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D2162E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D2162E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D2162E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D2162E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D2162E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D2162E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D2162E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D2162E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D2162E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D2162E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149B9D97" w:rsidR="00FA46A0" w:rsidRPr="00D2162E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D2162E">
              <w:rPr>
                <w:lang w:val="ru-RU"/>
              </w:rPr>
              <w:t xml:space="preserve">Женева, </w:t>
            </w:r>
            <w:r w:rsidR="00A91950" w:rsidRPr="00D2162E">
              <w:rPr>
                <w:lang w:val="ru-RU"/>
              </w:rPr>
              <w:t xml:space="preserve">18 июня </w:t>
            </w:r>
            <w:r w:rsidRPr="00D2162E">
              <w:rPr>
                <w:lang w:val="ru-RU"/>
              </w:rPr>
              <w:t>202</w:t>
            </w:r>
            <w:r w:rsidR="00EC460D" w:rsidRPr="00D2162E">
              <w:rPr>
                <w:lang w:val="ru-RU"/>
              </w:rPr>
              <w:t>6</w:t>
            </w:r>
            <w:r w:rsidRPr="00D2162E">
              <w:rPr>
                <w:lang w:val="ru-RU"/>
              </w:rPr>
              <w:t xml:space="preserve"> года</w:t>
            </w:r>
          </w:p>
        </w:tc>
      </w:tr>
      <w:tr w:rsidR="00B84746" w:rsidRPr="00D2162E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D2162E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D2162E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D2162E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1E3C3680" w:rsidR="00B84746" w:rsidRPr="00D2162E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D2162E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EC460D" w:rsidRPr="00D2162E">
              <w:rPr>
                <w:b/>
                <w:bCs/>
                <w:szCs w:val="22"/>
                <w:lang w:val="ru-RU"/>
              </w:rPr>
              <w:t>1</w:t>
            </w:r>
            <w:r w:rsidR="00A91950" w:rsidRPr="00D2162E">
              <w:rPr>
                <w:b/>
                <w:bCs/>
                <w:szCs w:val="22"/>
                <w:lang w:val="ru-RU"/>
              </w:rPr>
              <w:t>42</w:t>
            </w:r>
            <w:r w:rsidRPr="00D2162E">
              <w:rPr>
                <w:b/>
                <w:bCs/>
                <w:szCs w:val="22"/>
                <w:lang w:val="ru-RU"/>
              </w:rPr>
              <w:t xml:space="preserve"> БСЭ</w:t>
            </w:r>
            <w:r w:rsidRPr="00D2162E">
              <w:rPr>
                <w:b/>
                <w:bCs/>
                <w:szCs w:val="22"/>
                <w:lang w:val="ru-RU"/>
              </w:rPr>
              <w:br/>
            </w:r>
            <w:r w:rsidR="009B3939" w:rsidRPr="00D2162E">
              <w:rPr>
                <w:lang w:val="ru-RU"/>
              </w:rPr>
              <w:t>SG</w:t>
            </w:r>
            <w:r w:rsidR="00A178E8" w:rsidRPr="00D2162E">
              <w:rPr>
                <w:lang w:val="ru-RU"/>
              </w:rPr>
              <w:t>17</w:t>
            </w:r>
            <w:r w:rsidR="009B3939" w:rsidRPr="00D2162E">
              <w:rPr>
                <w:lang w:val="ru-RU"/>
              </w:rPr>
              <w:t>/</w:t>
            </w:r>
            <w:proofErr w:type="spellStart"/>
            <w:r w:rsidR="00A91950" w:rsidRPr="00D2162E">
              <w:rPr>
                <w:lang w:val="ru-RU"/>
              </w:rPr>
              <w:t>XY</w:t>
            </w:r>
            <w:proofErr w:type="spellEnd"/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D2162E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D2162E">
              <w:rPr>
                <w:b/>
                <w:bCs/>
                <w:szCs w:val="22"/>
                <w:lang w:val="ru-RU"/>
              </w:rPr>
              <w:t>Кому</w:t>
            </w:r>
            <w:r w:rsidRPr="00D2162E">
              <w:rPr>
                <w:szCs w:val="22"/>
                <w:lang w:val="ru-RU"/>
              </w:rPr>
              <w:t>:</w:t>
            </w:r>
          </w:p>
          <w:p w14:paraId="1A727018" w14:textId="7E1C0631" w:rsidR="00B84746" w:rsidRPr="00D2162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–</w:t>
            </w:r>
            <w:r w:rsidRPr="00D2162E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14268389" w14:textId="39E8AB01" w:rsidR="009B3939" w:rsidRPr="00D2162E" w:rsidRDefault="009B3939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–</w:t>
            </w:r>
            <w:r w:rsidRPr="00D2162E">
              <w:rPr>
                <w:szCs w:val="22"/>
                <w:lang w:val="ru-RU"/>
              </w:rPr>
              <w:tab/>
            </w:r>
            <w:r w:rsidRPr="00D2162E">
              <w:rPr>
                <w:rFonts w:asciiTheme="minorHAnsi" w:hAnsiTheme="minorHAnsi" w:cstheme="minorHAnsi"/>
                <w:szCs w:val="22"/>
                <w:lang w:val="ru-RU"/>
              </w:rPr>
              <w:t>Государству Палестина (Рез. 99 (</w:t>
            </w:r>
            <w:proofErr w:type="spellStart"/>
            <w:r w:rsidRPr="00D2162E">
              <w:rPr>
                <w:rFonts w:asciiTheme="minorHAnsi" w:hAnsiTheme="minorHAnsi" w:cstheme="minorHAnsi"/>
                <w:szCs w:val="22"/>
                <w:lang w:val="ru-RU"/>
              </w:rPr>
              <w:t>Пересм</w:t>
            </w:r>
            <w:proofErr w:type="spellEnd"/>
            <w:r w:rsidRPr="00D2162E">
              <w:rPr>
                <w:rFonts w:asciiTheme="minorHAnsi" w:hAnsiTheme="minorHAnsi" w:cstheme="minorHAnsi"/>
                <w:szCs w:val="22"/>
                <w:lang w:val="ru-RU"/>
              </w:rPr>
              <w:t>. Дубай, 2018 г.))</w:t>
            </w:r>
          </w:p>
          <w:p w14:paraId="30EFCD1F" w14:textId="77777777" w:rsidR="00E30580" w:rsidRPr="00D2162E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b/>
                <w:bCs/>
                <w:szCs w:val="22"/>
                <w:lang w:val="ru-RU"/>
              </w:rPr>
              <w:t>Копии</w:t>
            </w:r>
            <w:r w:rsidRPr="00D2162E">
              <w:rPr>
                <w:szCs w:val="22"/>
                <w:lang w:val="ru-RU"/>
              </w:rPr>
              <w:t>:</w:t>
            </w:r>
          </w:p>
          <w:p w14:paraId="081F1570" w14:textId="74A3B43A" w:rsidR="00B84746" w:rsidRPr="00D2162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–</w:t>
            </w:r>
            <w:r w:rsidRPr="00D2162E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274EBD47" w:rsidR="00B84746" w:rsidRPr="00D2162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–</w:t>
            </w:r>
            <w:r w:rsidRPr="00D2162E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D2162E">
              <w:rPr>
                <w:szCs w:val="22"/>
                <w:lang w:val="ru-RU"/>
              </w:rPr>
              <w:t xml:space="preserve">, </w:t>
            </w:r>
            <w:r w:rsidR="00F12D97" w:rsidRPr="00D2162E">
              <w:rPr>
                <w:lang w:val="ru-RU"/>
              </w:rPr>
              <w:t xml:space="preserve">участвующим в работе </w:t>
            </w:r>
            <w:r w:rsidR="00A91950" w:rsidRPr="00D2162E">
              <w:rPr>
                <w:lang w:val="ru-RU"/>
              </w:rPr>
              <w:t>17</w:t>
            </w:r>
            <w:r w:rsidR="00F12D97" w:rsidRPr="00D2162E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D2162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–</w:t>
            </w:r>
            <w:r w:rsidRPr="00D2162E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650000A7" w:rsidR="00B84746" w:rsidRPr="00D2162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–</w:t>
            </w:r>
            <w:r w:rsidRPr="00D2162E">
              <w:rPr>
                <w:szCs w:val="22"/>
                <w:lang w:val="ru-RU"/>
              </w:rPr>
              <w:tab/>
            </w:r>
            <w:r w:rsidR="00F12D97" w:rsidRPr="00D2162E">
              <w:rPr>
                <w:lang w:val="ru-RU"/>
              </w:rPr>
              <w:t xml:space="preserve">Председателю и заместителям </w:t>
            </w:r>
            <w:r w:rsidR="00F26A42" w:rsidRPr="00D2162E">
              <w:rPr>
                <w:lang w:val="ru-RU"/>
              </w:rPr>
              <w:t xml:space="preserve">Председателя </w:t>
            </w:r>
            <w:r w:rsidR="00EA6345" w:rsidRPr="00D2162E">
              <w:rPr>
                <w:lang w:val="ru-RU"/>
              </w:rPr>
              <w:br/>
            </w:r>
            <w:r w:rsidR="00A91950" w:rsidRPr="00D2162E">
              <w:rPr>
                <w:lang w:val="ru-RU"/>
              </w:rPr>
              <w:t>17</w:t>
            </w:r>
            <w:r w:rsidR="00F12D97" w:rsidRPr="00D2162E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D2162E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−</w:t>
            </w:r>
            <w:r w:rsidRPr="00D2162E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D2162E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−</w:t>
            </w:r>
            <w:r w:rsidRPr="00D2162E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D2162E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344876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344876">
              <w:rPr>
                <w:szCs w:val="22"/>
                <w:lang w:val="ru-RU"/>
              </w:rPr>
              <w:t>Тел</w:t>
            </w:r>
            <w:r w:rsidR="00832E53" w:rsidRPr="00344876">
              <w:rPr>
                <w:szCs w:val="22"/>
                <w:lang w:val="ru-RU"/>
              </w:rPr>
              <w:t>.</w:t>
            </w:r>
            <w:r w:rsidRPr="00344876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4B8B2492" w:rsidR="00F5182A" w:rsidRPr="00D2162E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 xml:space="preserve">+41 22 730 </w:t>
            </w:r>
            <w:r w:rsidR="00EC460D" w:rsidRPr="00D2162E">
              <w:rPr>
                <w:rFonts w:asciiTheme="minorHAnsi" w:hAnsiTheme="minorHAnsi" w:cstheme="minorHAnsi"/>
                <w:szCs w:val="22"/>
                <w:lang w:val="ru-RU"/>
              </w:rPr>
              <w:t>6</w:t>
            </w:r>
            <w:r w:rsidR="00A91950" w:rsidRPr="00D2162E">
              <w:rPr>
                <w:rFonts w:asciiTheme="minorHAnsi" w:hAnsiTheme="minorHAnsi" w:cstheme="minorHAnsi"/>
                <w:szCs w:val="22"/>
                <w:lang w:val="ru-RU"/>
              </w:rPr>
              <w:t>2</w:t>
            </w:r>
            <w:r w:rsidR="00EC460D" w:rsidRPr="00D2162E">
              <w:rPr>
                <w:rFonts w:asciiTheme="minorHAnsi" w:hAnsiTheme="minorHAnsi" w:cstheme="minorHAnsi"/>
                <w:szCs w:val="22"/>
                <w:lang w:val="ru-RU"/>
              </w:rPr>
              <w:t>0</w:t>
            </w:r>
            <w:r w:rsidR="00A91950" w:rsidRPr="00D2162E">
              <w:rPr>
                <w:rFonts w:asciiTheme="minorHAnsi" w:hAnsiTheme="minorHAnsi" w:cstheme="minorHAnsi"/>
                <w:szCs w:val="22"/>
                <w:lang w:val="ru-RU"/>
              </w:rPr>
              <w:t>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D2162E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D2162E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344876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344876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CBD69B0" w:rsidR="00F5182A" w:rsidRPr="00D2162E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D2162E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D2162E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9B3939" w:rsidRPr="00D2162E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9B3939" w:rsidRPr="00344876" w:rsidRDefault="009B3939" w:rsidP="009B3939">
            <w:pPr>
              <w:pStyle w:val="Tabletext"/>
              <w:rPr>
                <w:szCs w:val="22"/>
                <w:lang w:val="ru-RU"/>
              </w:rPr>
            </w:pPr>
            <w:r w:rsidRPr="00344876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22C0E7FE" w:rsidR="009B3939" w:rsidRPr="00D2162E" w:rsidRDefault="00344876" w:rsidP="009B393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="00A91950" w:rsidRPr="00D2162E">
                <w:rPr>
                  <w:rStyle w:val="Hyperlink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9B3939" w:rsidRPr="00D2162E" w:rsidRDefault="009B3939" w:rsidP="009B393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D2162E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D2162E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D2162E">
              <w:rPr>
                <w:b/>
                <w:bCs/>
                <w:szCs w:val="22"/>
                <w:lang w:val="ru-RU"/>
              </w:rPr>
              <w:t>Предмет</w:t>
            </w:r>
            <w:r w:rsidRPr="00D2162E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66168B6" w:rsidR="00F12D97" w:rsidRPr="00D2162E" w:rsidRDefault="009B3939" w:rsidP="00A91950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D2162E">
              <w:rPr>
                <w:b/>
                <w:lang w:val="ru-RU"/>
              </w:rPr>
              <w:t>Статус Рекомендаций</w:t>
            </w:r>
            <w:r w:rsidR="008D6C06" w:rsidRPr="00D2162E">
              <w:rPr>
                <w:lang w:val="ru-RU"/>
              </w:rPr>
              <w:t xml:space="preserve"> </w:t>
            </w:r>
            <w:r w:rsidR="008D6C06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X.1821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X.5Gsec-asra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X.2105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X.st-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ssc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X.1350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X.sr-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iiot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X.1910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X.tc-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ifd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X.1607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X.asm-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cc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X.1651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X.soar-cc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X.1286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X.accsadlt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X.1417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X.sr-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dpts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X.1418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(ранее − X.sg-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dcs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), </w:t>
            </w:r>
            <w:r w:rsidR="00A91950" w:rsidRPr="00D2162E">
              <w:rPr>
                <w:b/>
                <w:lang w:val="ru-RU"/>
              </w:rPr>
              <w:t xml:space="preserve">МСЭ-T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X.2210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(</w:t>
            </w:r>
            <w:hyperlink r:id="rId13" w:history="1">
              <w:r w:rsidR="00A91950" w:rsidRPr="00D2162E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  <w:lang w:val="ru-RU"/>
                </w:rPr>
                <w:t xml:space="preserve">ранее − </w:t>
              </w:r>
              <w:proofErr w:type="spellStart"/>
              <w:r w:rsidR="00A91950" w:rsidRPr="00D2162E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  <w:lang w:val="ru-RU"/>
                </w:rPr>
                <w:t>X.ig-dw</w:t>
              </w:r>
              <w:proofErr w:type="spellEnd"/>
            </w:hyperlink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) и пересмотренной Рекомендации МСЭ-Т </w:t>
            </w:r>
            <w:proofErr w:type="spellStart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X.1280</w:t>
            </w:r>
            <w:proofErr w:type="spellEnd"/>
            <w:r w:rsidR="00A91950" w:rsidRPr="00D2162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Pr="00D2162E">
              <w:rPr>
                <w:b/>
                <w:lang w:val="ru-RU"/>
              </w:rPr>
              <w:t>по</w:t>
            </w:r>
            <w:r w:rsidR="00C35412" w:rsidRPr="00D2162E">
              <w:rPr>
                <w:b/>
                <w:lang w:val="ru-RU"/>
              </w:rPr>
              <w:t> </w:t>
            </w:r>
            <w:r w:rsidRPr="00D2162E">
              <w:rPr>
                <w:b/>
                <w:lang w:val="ru-RU"/>
              </w:rPr>
              <w:t xml:space="preserve">итогам собрания </w:t>
            </w:r>
            <w:r w:rsidR="00A91950" w:rsidRPr="00D2162E">
              <w:rPr>
                <w:b/>
                <w:lang w:val="ru-RU"/>
              </w:rPr>
              <w:t>17</w:t>
            </w:r>
            <w:r w:rsidRPr="00D2162E">
              <w:rPr>
                <w:b/>
                <w:lang w:val="ru-RU"/>
              </w:rPr>
              <w:t>-й Исследовательской комиссии МСЭ-Т (</w:t>
            </w:r>
            <w:r w:rsidR="002F647B" w:rsidRPr="00D2162E">
              <w:rPr>
                <w:b/>
                <w:lang w:val="ru-RU"/>
              </w:rPr>
              <w:t>Женева</w:t>
            </w:r>
            <w:r w:rsidRPr="00D2162E">
              <w:rPr>
                <w:b/>
                <w:lang w:val="ru-RU"/>
              </w:rPr>
              <w:t xml:space="preserve">, </w:t>
            </w:r>
            <w:r w:rsidR="002F647B" w:rsidRPr="00D2162E">
              <w:rPr>
                <w:b/>
                <w:lang w:val="ru-RU"/>
              </w:rPr>
              <w:t>1</w:t>
            </w:r>
            <w:r w:rsidRPr="00D2162E">
              <w:rPr>
                <w:b/>
                <w:lang w:val="ru-RU"/>
              </w:rPr>
              <w:t>–</w:t>
            </w:r>
            <w:r w:rsidR="002F647B" w:rsidRPr="00D2162E">
              <w:rPr>
                <w:b/>
                <w:lang w:val="ru-RU"/>
              </w:rPr>
              <w:t>1</w:t>
            </w:r>
            <w:r w:rsidR="00A91950" w:rsidRPr="00D2162E">
              <w:rPr>
                <w:b/>
                <w:lang w:val="ru-RU"/>
              </w:rPr>
              <w:t>0</w:t>
            </w:r>
            <w:r w:rsidR="002F647B" w:rsidRPr="00D2162E">
              <w:rPr>
                <w:b/>
                <w:lang w:val="ru-RU"/>
              </w:rPr>
              <w:t xml:space="preserve"> </w:t>
            </w:r>
            <w:r w:rsidR="00A91950" w:rsidRPr="00D2162E">
              <w:rPr>
                <w:b/>
                <w:lang w:val="ru-RU"/>
              </w:rPr>
              <w:t>июня</w:t>
            </w:r>
            <w:r w:rsidR="002F647B" w:rsidRPr="00D2162E">
              <w:rPr>
                <w:b/>
                <w:lang w:val="ru-RU"/>
              </w:rPr>
              <w:t xml:space="preserve"> </w:t>
            </w:r>
            <w:r w:rsidRPr="00D2162E">
              <w:rPr>
                <w:b/>
                <w:lang w:val="ru-RU"/>
              </w:rPr>
              <w:t>202</w:t>
            </w:r>
            <w:r w:rsidR="002F647B" w:rsidRPr="00D2162E">
              <w:rPr>
                <w:b/>
                <w:lang w:val="ru-RU"/>
              </w:rPr>
              <w:t>6</w:t>
            </w:r>
            <w:r w:rsidR="00C35412" w:rsidRPr="00D2162E">
              <w:rPr>
                <w:b/>
                <w:lang w:val="ru-RU"/>
              </w:rPr>
              <w:t> </w:t>
            </w:r>
            <w:r w:rsidRPr="00D2162E">
              <w:rPr>
                <w:b/>
                <w:lang w:val="ru-RU"/>
              </w:rPr>
              <w:t>г.)</w:t>
            </w:r>
          </w:p>
        </w:tc>
      </w:tr>
    </w:tbl>
    <w:p w14:paraId="660599B5" w14:textId="77777777" w:rsidR="00414B3C" w:rsidRPr="00D2162E" w:rsidRDefault="00414B3C" w:rsidP="003E38F2">
      <w:pPr>
        <w:spacing w:before="360" w:after="120"/>
        <w:jc w:val="left"/>
        <w:rPr>
          <w:lang w:val="ru-RU"/>
        </w:rPr>
      </w:pPr>
      <w:r w:rsidRPr="00D2162E">
        <w:rPr>
          <w:lang w:val="ru-RU"/>
        </w:rPr>
        <w:t>Уважаемая госпожа,</w:t>
      </w:r>
      <w:r w:rsidRPr="00D2162E">
        <w:rPr>
          <w:lang w:val="ru-RU"/>
        </w:rPr>
        <w:br/>
        <w:t>уважаемый господин,</w:t>
      </w:r>
    </w:p>
    <w:p w14:paraId="2B04C245" w14:textId="2AA80882" w:rsidR="009B3939" w:rsidRPr="00D2162E" w:rsidRDefault="009B3939" w:rsidP="009B3939">
      <w:pPr>
        <w:spacing w:after="120"/>
        <w:jc w:val="left"/>
        <w:rPr>
          <w:lang w:val="ru-RU"/>
        </w:rPr>
      </w:pPr>
      <w:r w:rsidRPr="00D2162E">
        <w:rPr>
          <w:lang w:val="ru-RU"/>
        </w:rPr>
        <w:t>1</w:t>
      </w:r>
      <w:r w:rsidRPr="00D2162E">
        <w:rPr>
          <w:lang w:val="ru-RU"/>
        </w:rPr>
        <w:tab/>
        <w:t xml:space="preserve">В дополнение к </w:t>
      </w:r>
      <w:hyperlink r:id="rId14" w:history="1">
        <w:r w:rsidRPr="00D2162E">
          <w:rPr>
            <w:rStyle w:val="Hyperlink"/>
            <w:szCs w:val="22"/>
            <w:lang w:val="ru-RU"/>
          </w:rPr>
          <w:t xml:space="preserve">Циркуляру </w:t>
        </w:r>
        <w:r w:rsidR="00A91950" w:rsidRPr="00D2162E">
          <w:rPr>
            <w:rStyle w:val="Hyperlink"/>
            <w:szCs w:val="22"/>
            <w:lang w:val="ru-RU"/>
          </w:rPr>
          <w:t>104</w:t>
        </w:r>
        <w:r w:rsidRPr="00D2162E">
          <w:rPr>
            <w:rStyle w:val="Hyperlink"/>
            <w:szCs w:val="22"/>
            <w:lang w:val="ru-RU"/>
          </w:rPr>
          <w:t xml:space="preserve"> БСЭ</w:t>
        </w:r>
      </w:hyperlink>
      <w:r w:rsidRPr="00D2162E">
        <w:rPr>
          <w:lang w:val="ru-RU"/>
        </w:rPr>
        <w:t xml:space="preserve"> от 1</w:t>
      </w:r>
      <w:r w:rsidR="00A91950" w:rsidRPr="00D2162E">
        <w:rPr>
          <w:lang w:val="ru-RU"/>
        </w:rPr>
        <w:t>3</w:t>
      </w:r>
      <w:r w:rsidRPr="00D2162E">
        <w:rPr>
          <w:lang w:val="ru-RU"/>
        </w:rPr>
        <w:t xml:space="preserve"> </w:t>
      </w:r>
      <w:r w:rsidR="00A91950" w:rsidRPr="00D2162E">
        <w:rPr>
          <w:lang w:val="ru-RU"/>
        </w:rPr>
        <w:t xml:space="preserve">февраля </w:t>
      </w:r>
      <w:r w:rsidRPr="00D2162E">
        <w:rPr>
          <w:lang w:val="ru-RU"/>
        </w:rPr>
        <w:t>202</w:t>
      </w:r>
      <w:r w:rsidR="00A91950" w:rsidRPr="00D2162E">
        <w:rPr>
          <w:lang w:val="ru-RU"/>
        </w:rPr>
        <w:t>6</w:t>
      </w:r>
      <w:r w:rsidRPr="00D2162E">
        <w:rPr>
          <w:lang w:val="ru-RU"/>
        </w:rPr>
        <w:t xml:space="preserve"> года, а также в соответствии с п.</w:t>
      </w:r>
      <w:r w:rsidR="00344876">
        <w:rPr>
          <w:lang w:val="en-US"/>
        </w:rPr>
        <w:t> </w:t>
      </w:r>
      <w:r w:rsidRPr="00D2162E">
        <w:rPr>
          <w:lang w:val="ru-RU"/>
        </w:rPr>
        <w:t>9.5 Резолюции 1 (</w:t>
      </w:r>
      <w:proofErr w:type="spellStart"/>
      <w:r w:rsidRPr="00D2162E">
        <w:rPr>
          <w:lang w:val="ru-RU"/>
        </w:rPr>
        <w:t>Пересм</w:t>
      </w:r>
      <w:proofErr w:type="spellEnd"/>
      <w:r w:rsidRPr="00D2162E">
        <w:rPr>
          <w:lang w:val="ru-RU"/>
        </w:rPr>
        <w:t xml:space="preserve">. Женева, 2022 г.) настоящим довожу до вашего сведения, что </w:t>
      </w:r>
      <w:r w:rsidR="00A91950" w:rsidRPr="00D2162E">
        <w:rPr>
          <w:lang w:val="ru-RU"/>
        </w:rPr>
        <w:t>17</w:t>
      </w:r>
      <w:r w:rsidR="00344876">
        <w:rPr>
          <w:lang w:val="ru-RU"/>
        </w:rPr>
        <w:noBreakHyphen/>
      </w:r>
      <w:r w:rsidRPr="00D2162E">
        <w:rPr>
          <w:lang w:val="ru-RU"/>
        </w:rPr>
        <w:t>я</w:t>
      </w:r>
      <w:r w:rsidR="00344876">
        <w:rPr>
          <w:lang w:val="en-US"/>
        </w:rPr>
        <w:t> </w:t>
      </w:r>
      <w:r w:rsidRPr="00D2162E">
        <w:rPr>
          <w:lang w:val="ru-RU"/>
        </w:rPr>
        <w:t>Исследовательская комиссия МСЭ-Т на сво</w:t>
      </w:r>
      <w:r w:rsidR="00A91950" w:rsidRPr="00D2162E">
        <w:rPr>
          <w:lang w:val="ru-RU"/>
        </w:rPr>
        <w:t>ем</w:t>
      </w:r>
      <w:r w:rsidRPr="00D2162E">
        <w:rPr>
          <w:lang w:val="ru-RU"/>
        </w:rPr>
        <w:t xml:space="preserve"> пленарн</w:t>
      </w:r>
      <w:r w:rsidR="00A91950" w:rsidRPr="00D2162E">
        <w:rPr>
          <w:lang w:val="ru-RU"/>
        </w:rPr>
        <w:t>ом</w:t>
      </w:r>
      <w:r w:rsidRPr="00D2162E">
        <w:rPr>
          <w:lang w:val="ru-RU"/>
        </w:rPr>
        <w:t xml:space="preserve"> заседани</w:t>
      </w:r>
      <w:r w:rsidR="00A91950" w:rsidRPr="00D2162E">
        <w:rPr>
          <w:lang w:val="ru-RU"/>
        </w:rPr>
        <w:t>и</w:t>
      </w:r>
      <w:r w:rsidRPr="00D2162E">
        <w:rPr>
          <w:lang w:val="ru-RU"/>
        </w:rPr>
        <w:t>, состоявш</w:t>
      </w:r>
      <w:r w:rsidR="00A91950" w:rsidRPr="00D2162E">
        <w:rPr>
          <w:lang w:val="ru-RU"/>
        </w:rPr>
        <w:t xml:space="preserve">емся </w:t>
      </w:r>
      <w:r w:rsidR="008D6C06" w:rsidRPr="00D2162E">
        <w:rPr>
          <w:lang w:val="ru-RU"/>
        </w:rPr>
        <w:t>1</w:t>
      </w:r>
      <w:r w:rsidR="00A91950" w:rsidRPr="00D2162E">
        <w:rPr>
          <w:lang w:val="ru-RU"/>
        </w:rPr>
        <w:t>0</w:t>
      </w:r>
      <w:r w:rsidR="00344876">
        <w:rPr>
          <w:lang w:val="en-US"/>
        </w:rPr>
        <w:t> </w:t>
      </w:r>
      <w:r w:rsidR="00A178E8" w:rsidRPr="00D2162E">
        <w:rPr>
          <w:lang w:val="ru-RU"/>
        </w:rPr>
        <w:t xml:space="preserve">июня </w:t>
      </w:r>
      <w:r w:rsidRPr="00D2162E">
        <w:rPr>
          <w:lang w:val="ru-RU"/>
        </w:rPr>
        <w:t>202</w:t>
      </w:r>
      <w:r w:rsidR="008D6C06" w:rsidRPr="00D2162E">
        <w:rPr>
          <w:lang w:val="ru-RU"/>
        </w:rPr>
        <w:t>6</w:t>
      </w:r>
      <w:r w:rsidR="00A178E8" w:rsidRPr="00D2162E">
        <w:rPr>
          <w:lang w:val="ru-RU"/>
        </w:rPr>
        <w:t> </w:t>
      </w:r>
      <w:r w:rsidRPr="00D2162E">
        <w:rPr>
          <w:lang w:val="ru-RU"/>
        </w:rPr>
        <w:t xml:space="preserve">года в </w:t>
      </w:r>
      <w:r w:rsidR="008D6C06" w:rsidRPr="00D2162E">
        <w:rPr>
          <w:lang w:val="ru-RU"/>
        </w:rPr>
        <w:t>Женеве</w:t>
      </w:r>
      <w:r w:rsidRPr="00D2162E">
        <w:rPr>
          <w:lang w:val="ru-RU"/>
        </w:rPr>
        <w:t>, приняла следующие решения по</w:t>
      </w:r>
      <w:r w:rsidR="00F82A83" w:rsidRPr="00D2162E">
        <w:rPr>
          <w:lang w:val="ru-RU"/>
        </w:rPr>
        <w:t> </w:t>
      </w:r>
      <w:r w:rsidRPr="00D2162E">
        <w:rPr>
          <w:lang w:val="ru-RU"/>
        </w:rPr>
        <w:t>перечисленным ниже текст</w:t>
      </w:r>
      <w:r w:rsidR="00A178E8" w:rsidRPr="00D2162E">
        <w:rPr>
          <w:lang w:val="ru-RU"/>
        </w:rPr>
        <w:t>ам</w:t>
      </w:r>
      <w:r w:rsidRPr="00D2162E">
        <w:rPr>
          <w:lang w:val="ru-RU"/>
        </w:rPr>
        <w:t xml:space="preserve"> МСЭ-Т: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4678"/>
        <w:gridCol w:w="2403"/>
      </w:tblGrid>
      <w:tr w:rsidR="009B3939" w:rsidRPr="00D2162E" w14:paraId="647837F1" w14:textId="77777777" w:rsidTr="000771E1">
        <w:trPr>
          <w:tblHeader/>
        </w:trPr>
        <w:tc>
          <w:tcPr>
            <w:tcW w:w="1323" w:type="pct"/>
          </w:tcPr>
          <w:p w14:paraId="30C7436F" w14:textId="77777777" w:rsidR="009B3939" w:rsidRPr="00D2162E" w:rsidRDefault="009B3939" w:rsidP="000771E1">
            <w:pPr>
              <w:pStyle w:val="Tablehead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Номер</w:t>
            </w:r>
          </w:p>
        </w:tc>
        <w:tc>
          <w:tcPr>
            <w:tcW w:w="2429" w:type="pct"/>
          </w:tcPr>
          <w:p w14:paraId="6772D269" w14:textId="77777777" w:rsidR="009B3939" w:rsidRPr="00D2162E" w:rsidRDefault="009B3939" w:rsidP="000771E1">
            <w:pPr>
              <w:pStyle w:val="Tablehead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Название</w:t>
            </w:r>
          </w:p>
        </w:tc>
        <w:tc>
          <w:tcPr>
            <w:tcW w:w="1248" w:type="pct"/>
          </w:tcPr>
          <w:p w14:paraId="3AFF0539" w14:textId="77777777" w:rsidR="009B3939" w:rsidRPr="00D2162E" w:rsidRDefault="009B3939" w:rsidP="000771E1">
            <w:pPr>
              <w:pStyle w:val="Tablehead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Решение</w:t>
            </w:r>
          </w:p>
        </w:tc>
      </w:tr>
      <w:tr w:rsidR="00A91950" w:rsidRPr="00D2162E" w14:paraId="6FA125BF" w14:textId="77777777" w:rsidTr="00D2162E">
        <w:tc>
          <w:tcPr>
            <w:tcW w:w="1323" w:type="pct"/>
          </w:tcPr>
          <w:p w14:paraId="73070964" w14:textId="51A87BDE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X.1821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15" w:anchor="/t-wp/item?isn=21691" w:history="1"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X.5Gsec-asra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7000304B" w14:textId="751AAB81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 xml:space="preserve">Руководящие указания по анализу риска безопасности активов сетей </w:t>
            </w:r>
            <w:proofErr w:type="spellStart"/>
            <w:r w:rsidRPr="00D2162E">
              <w:rPr>
                <w:sz w:val="20"/>
                <w:lang w:val="ru-RU"/>
              </w:rPr>
              <w:t>5G</w:t>
            </w:r>
            <w:proofErr w:type="spellEnd"/>
            <w:r w:rsidRPr="00D2162E">
              <w:rPr>
                <w:sz w:val="20"/>
                <w:lang w:val="ru-RU"/>
              </w:rPr>
              <w:t xml:space="preserve"> и технические требования к нему</w:t>
            </w:r>
          </w:p>
        </w:tc>
        <w:tc>
          <w:tcPr>
            <w:tcW w:w="1248" w:type="pct"/>
          </w:tcPr>
          <w:p w14:paraId="5249ADE6" w14:textId="575E69C9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7F651D06" w14:textId="77777777" w:rsidTr="00D2162E">
        <w:tc>
          <w:tcPr>
            <w:tcW w:w="1323" w:type="pct"/>
          </w:tcPr>
          <w:p w14:paraId="2ABC7BD3" w14:textId="1B1DE70C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X.2105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16" w:anchor="/t-wp/item?isn=21709" w:history="1">
              <w:r w:rsidRPr="00D2162E">
                <w:rPr>
                  <w:rStyle w:val="Hyperlink"/>
                  <w:sz w:val="20"/>
                  <w:lang w:val="ru-RU"/>
                </w:rPr>
                <w:t>X.st-</w:t>
              </w:r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ssc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1BE7100B" w14:textId="6D527FDE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Угрозы безопасности для цепочки поставок программного обеспечения</w:t>
            </w:r>
          </w:p>
        </w:tc>
        <w:tc>
          <w:tcPr>
            <w:tcW w:w="1248" w:type="pct"/>
          </w:tcPr>
          <w:p w14:paraId="0A5F26EE" w14:textId="00981792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7C379311" w14:textId="77777777" w:rsidTr="00D2162E">
        <w:tc>
          <w:tcPr>
            <w:tcW w:w="1323" w:type="pct"/>
          </w:tcPr>
          <w:p w14:paraId="391DD361" w14:textId="4E8117B4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X.1350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17" w:anchor="/t-wp/item?isn=21718" w:history="1">
              <w:r w:rsidRPr="00D2162E">
                <w:rPr>
                  <w:rStyle w:val="Hyperlink"/>
                  <w:sz w:val="20"/>
                  <w:lang w:val="ru-RU"/>
                </w:rPr>
                <w:t>X.sr-</w:t>
              </w:r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iiot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4842F94B" w14:textId="39BC84A2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Требования безопасности для эталонной модели интеллектуального производства на основе промышленного интернета вещей</w:t>
            </w:r>
          </w:p>
        </w:tc>
        <w:tc>
          <w:tcPr>
            <w:tcW w:w="1248" w:type="pct"/>
          </w:tcPr>
          <w:p w14:paraId="4C628FE8" w14:textId="7F642B46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5D02AF4D" w14:textId="77777777" w:rsidTr="00D2162E">
        <w:tc>
          <w:tcPr>
            <w:tcW w:w="1323" w:type="pct"/>
          </w:tcPr>
          <w:p w14:paraId="13D9BD19" w14:textId="7FAAB745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X.1910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18" w:history="1">
              <w:r w:rsidRPr="00D2162E">
                <w:rPr>
                  <w:rStyle w:val="Hyperlink"/>
                  <w:sz w:val="20"/>
                  <w:lang w:val="ru-RU"/>
                </w:rPr>
                <w:t>X.tc-</w:t>
              </w:r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ifd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23383004" w14:textId="61848AA5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Технические возможности интерактивного обнаружения риска обмана</w:t>
            </w:r>
          </w:p>
        </w:tc>
        <w:tc>
          <w:tcPr>
            <w:tcW w:w="1248" w:type="pct"/>
          </w:tcPr>
          <w:p w14:paraId="3D96CB51" w14:textId="7C2A9568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77226546" w14:textId="77777777" w:rsidTr="00D2162E">
        <w:tc>
          <w:tcPr>
            <w:tcW w:w="1323" w:type="pct"/>
          </w:tcPr>
          <w:p w14:paraId="1431FE62" w14:textId="3810B948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X.1607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19" w:anchor="/t-wp/item?isn=21746" w:history="1">
              <w:r w:rsidRPr="00D2162E">
                <w:rPr>
                  <w:rStyle w:val="Hyperlink"/>
                  <w:sz w:val="20"/>
                  <w:lang w:val="ru-RU"/>
                </w:rPr>
                <w:t>X.asm-</w:t>
              </w:r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cc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5CF8C1F4" w14:textId="434F88AE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Требования к управлению поверхностью атаки для облачных вычислений</w:t>
            </w:r>
          </w:p>
        </w:tc>
        <w:tc>
          <w:tcPr>
            <w:tcW w:w="1248" w:type="pct"/>
          </w:tcPr>
          <w:p w14:paraId="4E358B00" w14:textId="4BE90A4B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2FCBDE5A" w14:textId="77777777" w:rsidTr="00D2162E">
        <w:tc>
          <w:tcPr>
            <w:tcW w:w="1323" w:type="pct"/>
          </w:tcPr>
          <w:p w14:paraId="7D942C4E" w14:textId="570DFEB3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X.1651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20" w:anchor="/t-wp/item?isn=21744" w:history="1"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X.soar-cc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3874B289" w14:textId="67750FA2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Структура оркестровки, автоматизации и реагирования на угрозы безопасности для облачных вычислений</w:t>
            </w:r>
          </w:p>
        </w:tc>
        <w:tc>
          <w:tcPr>
            <w:tcW w:w="1248" w:type="pct"/>
          </w:tcPr>
          <w:p w14:paraId="6FF1F188" w14:textId="25E54C84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5C94F164" w14:textId="77777777" w:rsidTr="00D2162E">
        <w:tc>
          <w:tcPr>
            <w:tcW w:w="1323" w:type="pct"/>
          </w:tcPr>
          <w:p w14:paraId="3B1DE48F" w14:textId="62A1F5F6" w:rsidR="00A91950" w:rsidRPr="00D2162E" w:rsidRDefault="00344876" w:rsidP="00A91950">
            <w:pPr>
              <w:pStyle w:val="Tabletext"/>
              <w:jc w:val="center"/>
              <w:rPr>
                <w:sz w:val="20"/>
                <w:lang w:val="ru-RU"/>
              </w:rPr>
            </w:pPr>
            <w:hyperlink r:id="rId21" w:anchor="/t-wp/item?isn=22284" w:history="1">
              <w:proofErr w:type="spellStart"/>
              <w:r w:rsidR="00A91950" w:rsidRPr="00D2162E">
                <w:rPr>
                  <w:rStyle w:val="Hyperlink"/>
                  <w:sz w:val="20"/>
                  <w:lang w:val="ru-RU"/>
                </w:rPr>
                <w:t>X.1280</w:t>
              </w:r>
              <w:proofErr w:type="spellEnd"/>
            </w:hyperlink>
            <w:r w:rsidR="00A91950" w:rsidRPr="00D2162E">
              <w:rPr>
                <w:sz w:val="20"/>
                <w:lang w:val="ru-RU"/>
              </w:rPr>
              <w:t xml:space="preserve"> (</w:t>
            </w:r>
            <w:proofErr w:type="spellStart"/>
            <w:r w:rsidR="00A91950" w:rsidRPr="00D2162E">
              <w:rPr>
                <w:sz w:val="20"/>
                <w:lang w:val="ru-RU"/>
              </w:rPr>
              <w:t>Пересм</w:t>
            </w:r>
            <w:proofErr w:type="spellEnd"/>
            <w:r w:rsidR="00A91950" w:rsidRPr="00D2162E">
              <w:rPr>
                <w:sz w:val="20"/>
                <w:lang w:val="ru-RU"/>
              </w:rPr>
              <w:t>.)</w:t>
            </w:r>
          </w:p>
        </w:tc>
        <w:tc>
          <w:tcPr>
            <w:tcW w:w="2429" w:type="pct"/>
          </w:tcPr>
          <w:p w14:paraId="04D60ED4" w14:textId="10026ABD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Структура внеполосной взаимной аутентификации с использованием мобильных устройств</w:t>
            </w:r>
          </w:p>
        </w:tc>
        <w:tc>
          <w:tcPr>
            <w:tcW w:w="1248" w:type="pct"/>
          </w:tcPr>
          <w:p w14:paraId="23039C6E" w14:textId="080874DA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7EB15E9C" w14:textId="77777777" w:rsidTr="00D2162E">
        <w:tc>
          <w:tcPr>
            <w:tcW w:w="1323" w:type="pct"/>
          </w:tcPr>
          <w:p w14:paraId="4B47C204" w14:textId="0DFAF0CE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X.1286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22" w:anchor="/t-wp/item?isn=21764" w:history="1"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X.accsadlt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1AEAFE87" w14:textId="0AB51F12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Платформа управления доступом с использованием метода аутентификации на основе технологии распределенного реестра (</w:t>
            </w:r>
            <w:proofErr w:type="spellStart"/>
            <w:r w:rsidRPr="00D2162E">
              <w:rPr>
                <w:color w:val="000000"/>
                <w:sz w:val="20"/>
                <w:lang w:val="ru-RU"/>
              </w:rPr>
              <w:t>DLT</w:t>
            </w:r>
            <w:proofErr w:type="spellEnd"/>
            <w:r w:rsidRPr="00D2162E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248" w:type="pct"/>
          </w:tcPr>
          <w:p w14:paraId="44334A2C" w14:textId="4C4A8FC5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6CAF81E2" w14:textId="77777777" w:rsidTr="00D2162E">
        <w:tc>
          <w:tcPr>
            <w:tcW w:w="1323" w:type="pct"/>
          </w:tcPr>
          <w:p w14:paraId="761E2808" w14:textId="3F5F0245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X.1417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23" w:anchor="/t-wp/item?isn=21800" w:history="1">
              <w:r w:rsidRPr="00D2162E">
                <w:rPr>
                  <w:rStyle w:val="Hyperlink"/>
                  <w:sz w:val="20"/>
                  <w:lang w:val="ru-RU"/>
                </w:rPr>
                <w:t>X.sr-</w:t>
              </w:r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dpts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7DF2A261" w14:textId="7C54508A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Требования к безопасности данных распределенного реестра (</w:t>
            </w:r>
            <w:proofErr w:type="spellStart"/>
            <w:r w:rsidRPr="00D2162E">
              <w:rPr>
                <w:color w:val="000000"/>
                <w:sz w:val="20"/>
                <w:lang w:val="ru-RU"/>
              </w:rPr>
              <w:t>DLT</w:t>
            </w:r>
            <w:proofErr w:type="spellEnd"/>
            <w:r w:rsidRPr="00D2162E">
              <w:rPr>
                <w:color w:val="000000"/>
                <w:sz w:val="20"/>
                <w:lang w:val="ru-RU"/>
              </w:rPr>
              <w:t xml:space="preserve">) в системах распределенной торговли электроэнергией на базе контролируемого </w:t>
            </w:r>
            <w:proofErr w:type="spellStart"/>
            <w:r w:rsidRPr="00D2162E">
              <w:rPr>
                <w:color w:val="000000"/>
                <w:sz w:val="20"/>
                <w:lang w:val="ru-RU"/>
              </w:rPr>
              <w:t>DLT</w:t>
            </w:r>
            <w:proofErr w:type="spellEnd"/>
          </w:p>
        </w:tc>
        <w:tc>
          <w:tcPr>
            <w:tcW w:w="1248" w:type="pct"/>
          </w:tcPr>
          <w:p w14:paraId="604C5D98" w14:textId="6A196A86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12074F30" w14:textId="77777777" w:rsidTr="00D2162E">
        <w:tc>
          <w:tcPr>
            <w:tcW w:w="1323" w:type="pct"/>
          </w:tcPr>
          <w:p w14:paraId="5C617548" w14:textId="459B314D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X.1418</w:t>
            </w:r>
            <w:proofErr w:type="spellEnd"/>
            <w:r w:rsidRPr="00D2162E">
              <w:rPr>
                <w:sz w:val="20"/>
                <w:lang w:val="ru-RU"/>
              </w:rPr>
              <w:br/>
              <w:t xml:space="preserve">(ранее − </w:t>
            </w:r>
            <w:hyperlink r:id="rId24" w:anchor="/t-wp/item?isn=21799" w:history="1">
              <w:r w:rsidRPr="00D2162E">
                <w:rPr>
                  <w:rStyle w:val="Hyperlink"/>
                  <w:sz w:val="20"/>
                  <w:lang w:val="ru-RU"/>
                </w:rPr>
                <w:t>X.sg-</w:t>
              </w:r>
              <w:proofErr w:type="spellStart"/>
              <w:r w:rsidRPr="00D2162E">
                <w:rPr>
                  <w:rStyle w:val="Hyperlink"/>
                  <w:sz w:val="20"/>
                  <w:lang w:val="ru-RU"/>
                </w:rPr>
                <w:t>dcs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21DD4524" w14:textId="0F1D5CAB" w:rsidR="00A91950" w:rsidRPr="00D2162E" w:rsidRDefault="000B4CA3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 xml:space="preserve">Руководящие указания по безопасности услуг цифровых коллекций на основе </w:t>
            </w:r>
            <w:r w:rsidR="00A178E8" w:rsidRPr="00D2162E">
              <w:rPr>
                <w:color w:val="000000"/>
                <w:sz w:val="20"/>
                <w:lang w:val="ru-RU"/>
              </w:rPr>
              <w:t>технологии распределенного реестра</w:t>
            </w:r>
          </w:p>
        </w:tc>
        <w:tc>
          <w:tcPr>
            <w:tcW w:w="1248" w:type="pct"/>
          </w:tcPr>
          <w:p w14:paraId="40B244D4" w14:textId="046464AB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Утверждена</w:t>
            </w:r>
          </w:p>
        </w:tc>
      </w:tr>
      <w:tr w:rsidR="00A91950" w:rsidRPr="00D2162E" w14:paraId="399B7524" w14:textId="77777777" w:rsidTr="00D2162E">
        <w:tc>
          <w:tcPr>
            <w:tcW w:w="1323" w:type="pct"/>
          </w:tcPr>
          <w:p w14:paraId="56BBD769" w14:textId="04C3B6F1" w:rsidR="00A91950" w:rsidRPr="00D2162E" w:rsidRDefault="00A91950" w:rsidP="00A91950">
            <w:pPr>
              <w:pStyle w:val="Tabletext"/>
              <w:jc w:val="center"/>
              <w:rPr>
                <w:sz w:val="20"/>
                <w:lang w:val="ru-RU"/>
              </w:rPr>
            </w:pPr>
            <w:proofErr w:type="spellStart"/>
            <w:r w:rsidRPr="00D2162E">
              <w:rPr>
                <w:sz w:val="20"/>
                <w:lang w:val="ru-RU"/>
              </w:rPr>
              <w:t>X.2210</w:t>
            </w:r>
            <w:proofErr w:type="spellEnd"/>
            <w:r w:rsidRPr="00D2162E">
              <w:rPr>
                <w:sz w:val="20"/>
                <w:lang w:val="ru-RU"/>
              </w:rPr>
              <w:t xml:space="preserve"> </w:t>
            </w:r>
            <w:r w:rsidRPr="00D2162E">
              <w:rPr>
                <w:sz w:val="20"/>
                <w:lang w:val="ru-RU"/>
              </w:rPr>
              <w:br/>
              <w:t>(</w:t>
            </w:r>
            <w:hyperlink r:id="rId25" w:history="1">
              <w:r w:rsidRPr="00D2162E">
                <w:rPr>
                  <w:rStyle w:val="Hyperlink"/>
                  <w:sz w:val="20"/>
                  <w:lang w:val="ru-RU"/>
                </w:rPr>
                <w:t xml:space="preserve">ранее − </w:t>
              </w:r>
              <w:proofErr w:type="spellStart"/>
              <w:proofErr w:type="gramStart"/>
              <w:r w:rsidRPr="00D2162E">
                <w:rPr>
                  <w:rStyle w:val="Hyperlink"/>
                  <w:sz w:val="20"/>
                  <w:lang w:val="ru-RU"/>
                </w:rPr>
                <w:t>X.ig</w:t>
              </w:r>
              <w:proofErr w:type="gramEnd"/>
              <w:r w:rsidRPr="00D2162E">
                <w:rPr>
                  <w:rStyle w:val="Hyperlink"/>
                  <w:sz w:val="20"/>
                  <w:lang w:val="ru-RU"/>
                </w:rPr>
                <w:t>-dw</w:t>
              </w:r>
              <w:proofErr w:type="spellEnd"/>
            </w:hyperlink>
            <w:r w:rsidRPr="00D2162E">
              <w:rPr>
                <w:sz w:val="20"/>
                <w:lang w:val="ru-RU"/>
              </w:rPr>
              <w:t>)</w:t>
            </w:r>
          </w:p>
        </w:tc>
        <w:tc>
          <w:tcPr>
            <w:tcW w:w="2429" w:type="pct"/>
          </w:tcPr>
          <w:p w14:paraId="7F43AF55" w14:textId="26B4E1ED" w:rsidR="00A91950" w:rsidRPr="00D2162E" w:rsidRDefault="00A178E8" w:rsidP="00D2162E">
            <w:pPr>
              <w:pStyle w:val="Tabletext"/>
              <w:jc w:val="left"/>
              <w:rPr>
                <w:sz w:val="20"/>
                <w:lang w:val="ru-RU"/>
              </w:rPr>
            </w:pPr>
            <w:r w:rsidRPr="00D2162E">
              <w:rPr>
                <w:color w:val="000000"/>
                <w:sz w:val="20"/>
                <w:lang w:val="ru-RU"/>
              </w:rPr>
              <w:t>Руководящие указания по внедрению цифрового водяного знака</w:t>
            </w:r>
          </w:p>
        </w:tc>
        <w:tc>
          <w:tcPr>
            <w:tcW w:w="1248" w:type="pct"/>
          </w:tcPr>
          <w:p w14:paraId="62AA4810" w14:textId="550E29FF" w:rsidR="00A91950" w:rsidRPr="00D2162E" w:rsidRDefault="00A178E8" w:rsidP="00A91950">
            <w:pPr>
              <w:pStyle w:val="Tabletext"/>
              <w:jc w:val="center"/>
              <w:rPr>
                <w:sz w:val="20"/>
                <w:lang w:val="ru-RU"/>
              </w:rPr>
            </w:pPr>
            <w:r w:rsidRPr="00D2162E">
              <w:rPr>
                <w:sz w:val="20"/>
                <w:lang w:val="ru-RU"/>
              </w:rPr>
              <w:t>Не утверждена</w:t>
            </w:r>
          </w:p>
        </w:tc>
      </w:tr>
    </w:tbl>
    <w:p w14:paraId="2B2E6F00" w14:textId="77777777" w:rsidR="009B3939" w:rsidRPr="00D2162E" w:rsidRDefault="009B3939" w:rsidP="00497780">
      <w:pPr>
        <w:keepNext/>
        <w:keepLines/>
        <w:spacing w:before="240"/>
        <w:jc w:val="left"/>
        <w:rPr>
          <w:lang w:val="ru-RU"/>
        </w:rPr>
      </w:pPr>
      <w:r w:rsidRPr="00D2162E">
        <w:rPr>
          <w:lang w:val="ru-RU"/>
        </w:rPr>
        <w:t>2</w:t>
      </w:r>
      <w:r w:rsidRPr="00D2162E">
        <w:rPr>
          <w:lang w:val="ru-RU"/>
        </w:rPr>
        <w:tab/>
        <w:t xml:space="preserve">Имеющаяся патентная информация доступна в онлайновом режиме на </w:t>
      </w:r>
      <w:hyperlink r:id="rId26" w:history="1">
        <w:r w:rsidRPr="00D2162E">
          <w:rPr>
            <w:rStyle w:val="Hyperlink"/>
            <w:szCs w:val="22"/>
            <w:lang w:val="ru-RU"/>
          </w:rPr>
          <w:t>веб-сайте МСЭ-T</w:t>
        </w:r>
      </w:hyperlink>
      <w:r w:rsidRPr="00D2162E">
        <w:rPr>
          <w:lang w:val="ru-RU"/>
        </w:rPr>
        <w:t>.</w:t>
      </w:r>
    </w:p>
    <w:p w14:paraId="2F651191" w14:textId="35206988" w:rsidR="009B3939" w:rsidRPr="00D2162E" w:rsidRDefault="002F647B" w:rsidP="00F82A83">
      <w:pPr>
        <w:jc w:val="left"/>
        <w:rPr>
          <w:lang w:val="ru-RU"/>
        </w:rPr>
      </w:pPr>
      <w:r w:rsidRPr="00D2162E">
        <w:rPr>
          <w:lang w:val="ru-RU"/>
        </w:rPr>
        <w:t>3</w:t>
      </w:r>
      <w:r w:rsidRPr="00D2162E">
        <w:rPr>
          <w:lang w:val="ru-RU"/>
        </w:rPr>
        <w:tab/>
      </w:r>
      <w:r w:rsidR="00A91950" w:rsidRPr="00D2162E">
        <w:rPr>
          <w:lang w:val="ru-RU"/>
        </w:rPr>
        <w:t xml:space="preserve">Тексты утвержденных Рекомендаций будут опубликованы МСЭ в кратчайшие сроки. Тем временем тексты предварительно опубликованных Рекомендаций размещены на веб-сайте МСЭ-Т на </w:t>
      </w:r>
      <w:hyperlink r:id="rId27" w:history="1">
        <w:r w:rsidR="00A91950" w:rsidRPr="00D2162E">
          <w:rPr>
            <w:rStyle w:val="Hyperlink"/>
            <w:lang w:val="ru-RU"/>
          </w:rPr>
          <w:t>этой странице</w:t>
        </w:r>
      </w:hyperlink>
      <w:r w:rsidRPr="00D2162E">
        <w:rPr>
          <w:lang w:val="ru-RU"/>
        </w:rPr>
        <w:t>.</w:t>
      </w:r>
    </w:p>
    <w:p w14:paraId="3D464895" w14:textId="133829FB" w:rsidR="00F12D97" w:rsidRPr="00D2162E" w:rsidRDefault="00F12D97" w:rsidP="00F82A83">
      <w:pPr>
        <w:jc w:val="left"/>
        <w:rPr>
          <w:lang w:val="ru-RU"/>
        </w:rPr>
      </w:pPr>
      <w:r w:rsidRPr="00D2162E">
        <w:rPr>
          <w:lang w:val="ru-RU"/>
        </w:rPr>
        <w:t>С уважением,</w:t>
      </w:r>
    </w:p>
    <w:p w14:paraId="6CAF4877" w14:textId="1909D6E4" w:rsidR="003E38F2" w:rsidRPr="00D2162E" w:rsidRDefault="003E38F2" w:rsidP="00F82A83">
      <w:pPr>
        <w:spacing w:before="360"/>
        <w:jc w:val="left"/>
        <w:rPr>
          <w:lang w:val="ru-RU"/>
        </w:rPr>
      </w:pPr>
      <w:r w:rsidRPr="00D2162E">
        <w:rPr>
          <w:lang w:val="ru-RU"/>
        </w:rPr>
        <w:t>(</w:t>
      </w:r>
      <w:r w:rsidRPr="00D2162E">
        <w:rPr>
          <w:i/>
          <w:iCs/>
          <w:lang w:val="ru-RU"/>
        </w:rPr>
        <w:t>подпись</w:t>
      </w:r>
      <w:r w:rsidRPr="00D2162E">
        <w:rPr>
          <w:lang w:val="ru-RU"/>
        </w:rPr>
        <w:t>)</w:t>
      </w:r>
    </w:p>
    <w:p w14:paraId="0F1C6E01" w14:textId="205FB890" w:rsidR="00414B3C" w:rsidRPr="00D2162E" w:rsidRDefault="003E38F2" w:rsidP="00F82A83">
      <w:pPr>
        <w:spacing w:before="360"/>
        <w:jc w:val="left"/>
        <w:rPr>
          <w:lang w:val="ru-RU"/>
        </w:rPr>
      </w:pPr>
      <w:proofErr w:type="spellStart"/>
      <w:r w:rsidRPr="00D2162E">
        <w:rPr>
          <w:lang w:val="ru-RU"/>
        </w:rPr>
        <w:t>Сейдзо</w:t>
      </w:r>
      <w:proofErr w:type="spellEnd"/>
      <w:r w:rsidRPr="00D2162E">
        <w:rPr>
          <w:lang w:val="ru-RU"/>
        </w:rPr>
        <w:t xml:space="preserve"> </w:t>
      </w:r>
      <w:proofErr w:type="spellStart"/>
      <w:r w:rsidRPr="00D2162E">
        <w:rPr>
          <w:lang w:val="ru-RU"/>
        </w:rPr>
        <w:t>Оноэ</w:t>
      </w:r>
      <w:proofErr w:type="spellEnd"/>
      <w:r w:rsidR="00414B3C" w:rsidRPr="00D2162E">
        <w:rPr>
          <w:lang w:val="ru-RU"/>
        </w:rPr>
        <w:t xml:space="preserve"> </w:t>
      </w:r>
      <w:r w:rsidR="00414B3C" w:rsidRPr="00D2162E">
        <w:rPr>
          <w:lang w:val="ru-RU"/>
        </w:rPr>
        <w:br/>
        <w:t xml:space="preserve">Директор Бюро </w:t>
      </w:r>
      <w:r w:rsidR="00414B3C" w:rsidRPr="00D2162E">
        <w:rPr>
          <w:lang w:val="ru-RU"/>
        </w:rPr>
        <w:br/>
        <w:t>стандартизации электросвязи</w:t>
      </w:r>
    </w:p>
    <w:sectPr w:rsidR="00414B3C" w:rsidRPr="00D2162E" w:rsidSect="001A1F24">
      <w:headerReference w:type="default" r:id="rId28"/>
      <w:footerReference w:type="first" r:id="rId29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4D78" w14:textId="77777777" w:rsidR="0061260C" w:rsidRDefault="0061260C">
      <w:r>
        <w:separator/>
      </w:r>
    </w:p>
  </w:endnote>
  <w:endnote w:type="continuationSeparator" w:id="0">
    <w:p w14:paraId="55A9789C" w14:textId="77777777" w:rsidR="0061260C" w:rsidRDefault="0061260C">
      <w:r>
        <w:continuationSeparator/>
      </w:r>
    </w:p>
  </w:endnote>
  <w:endnote w:type="continuationNotice" w:id="1">
    <w:p w14:paraId="404794DB" w14:textId="77777777" w:rsidR="0061260C" w:rsidRDefault="006126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B5F" w14:textId="56E552CD" w:rsidR="00FA46A0" w:rsidRPr="00BB633B" w:rsidRDefault="004A54F8">
    <w:pPr>
      <w:pStyle w:val="FirstFooter"/>
      <w:ind w:left="-397" w:right="-397"/>
      <w:jc w:val="center"/>
      <w:rPr>
        <w:sz w:val="18"/>
        <w:szCs w:val="18"/>
      </w:rPr>
    </w:pPr>
    <w:r w:rsidRPr="00BB633B">
      <w:rPr>
        <w:color w:val="0070C0"/>
        <w:sz w:val="18"/>
        <w:szCs w:val="18"/>
      </w:rPr>
      <w:t>International Telecommunication Union • Place des Nations • CH-1211 Geneva 20 • Switzerland</w:t>
    </w:r>
    <w:r w:rsidRPr="00BB633B">
      <w:rPr>
        <w:color w:val="0070C0"/>
        <w:sz w:val="18"/>
        <w:szCs w:val="18"/>
      </w:rPr>
      <w:br/>
    </w:r>
    <w:r w:rsidRPr="00BB633B">
      <w:rPr>
        <w:color w:val="0070C0"/>
        <w:sz w:val="18"/>
        <w:szCs w:val="18"/>
        <w:lang w:val="ru-RU"/>
      </w:rPr>
      <w:t>Тел.</w:t>
    </w:r>
    <w:r w:rsidRPr="00BB633B">
      <w:rPr>
        <w:color w:val="0070C0"/>
        <w:sz w:val="18"/>
        <w:szCs w:val="18"/>
      </w:rPr>
      <w:t xml:space="preserve">: +41 22 730 5111 • </w:t>
    </w:r>
    <w:r w:rsidRPr="00BB633B">
      <w:rPr>
        <w:color w:val="0070C0"/>
        <w:sz w:val="18"/>
        <w:szCs w:val="18"/>
        <w:lang w:val="ru-RU"/>
      </w:rPr>
      <w:t>Факс</w:t>
    </w:r>
    <w:r w:rsidRPr="00BB633B">
      <w:rPr>
        <w:color w:val="0070C0"/>
        <w:sz w:val="18"/>
        <w:szCs w:val="18"/>
      </w:rPr>
      <w:t xml:space="preserve">: +41 22 733 7256 • </w:t>
    </w:r>
    <w:r w:rsidRPr="00BB633B">
      <w:rPr>
        <w:color w:val="0070C0"/>
        <w:sz w:val="18"/>
        <w:szCs w:val="18"/>
        <w:lang w:val="ru-RU"/>
      </w:rPr>
      <w:t>Эл. почта</w:t>
    </w:r>
    <w:r w:rsidRPr="00BB633B">
      <w:rPr>
        <w:color w:val="0070C0"/>
        <w:sz w:val="18"/>
        <w:szCs w:val="18"/>
      </w:rPr>
      <w:t xml:space="preserve">: </w:t>
    </w:r>
    <w:hyperlink r:id="rId1" w:history="1">
      <w:r w:rsidRPr="00BB633B">
        <w:rPr>
          <w:rStyle w:val="Hyperlink"/>
          <w:color w:val="0070C0"/>
          <w:sz w:val="18"/>
          <w:szCs w:val="18"/>
        </w:rPr>
        <w:t>itumail@itu.int</w:t>
      </w:r>
    </w:hyperlink>
    <w:r w:rsidRPr="00BB633B">
      <w:rPr>
        <w:color w:val="0070C0"/>
        <w:sz w:val="18"/>
        <w:szCs w:val="18"/>
      </w:rPr>
      <w:t xml:space="preserve"> • </w:t>
    </w:r>
    <w:hyperlink r:id="rId2" w:history="1">
      <w:r w:rsidRPr="00BB633B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02A1" w14:textId="77777777" w:rsidR="0061260C" w:rsidRDefault="0061260C">
      <w:r>
        <w:t>____________________</w:t>
      </w:r>
    </w:p>
  </w:footnote>
  <w:footnote w:type="continuationSeparator" w:id="0">
    <w:p w14:paraId="6775901F" w14:textId="77777777" w:rsidR="0061260C" w:rsidRDefault="0061260C">
      <w:r>
        <w:continuationSeparator/>
      </w:r>
    </w:p>
  </w:footnote>
  <w:footnote w:type="continuationNotice" w:id="1">
    <w:p w14:paraId="03C95D3F" w14:textId="77777777" w:rsidR="0061260C" w:rsidRDefault="0061260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529717AB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636428">
      <w:rPr>
        <w:lang w:val="ru-RU"/>
      </w:rPr>
      <w:t>1</w:t>
    </w:r>
    <w:r w:rsidR="000B4CA3">
      <w:rPr>
        <w:lang w:val="ru-RU"/>
      </w:rPr>
      <w:t>42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1B3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771E1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4CA3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647B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876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D6953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97780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260C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36428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173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6C0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0C30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3939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178E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1950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0D86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33B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35412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162E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460D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2A83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yworkspace/t-wp/item?isn=21686" TargetMode="External"/><Relationship Id="rId18" Type="http://schemas.openxmlformats.org/officeDocument/2006/relationships/hyperlink" Target="https://www.itu.int/ITU-T/workprog/wp_item.aspx?isn=21727" TargetMode="External"/><Relationship Id="rId26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yworkspace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hyperlink" Target="https://www.itu.int/myworkspace/t-wp/item?isn=2168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yworkspace/" TargetMode="External"/><Relationship Id="rId20" Type="http://schemas.openxmlformats.org/officeDocument/2006/relationships/hyperlink" Target="https://www.itu.int/myworkspace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yworkspac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yworkspace/" TargetMode="External"/><Relationship Id="rId23" Type="http://schemas.openxmlformats.org/officeDocument/2006/relationships/hyperlink" Target="https://www.itu.int/myworkspace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yworkspace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104/en" TargetMode="External"/><Relationship Id="rId22" Type="http://schemas.openxmlformats.org/officeDocument/2006/relationships/hyperlink" Target="https://www.itu.int/myworkspace/" TargetMode="External"/><Relationship Id="rId27" Type="http://schemas.openxmlformats.org/officeDocument/2006/relationships/hyperlink" Target="https://www.itu.int/itu-t/recommendations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4418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Maloletkova, Svetlana</cp:lastModifiedBy>
  <cp:revision>3</cp:revision>
  <cp:lastPrinted>2024-05-01T09:32:00Z</cp:lastPrinted>
  <dcterms:created xsi:type="dcterms:W3CDTF">2026-06-23T09:21:00Z</dcterms:created>
  <dcterms:modified xsi:type="dcterms:W3CDTF">2026-06-23T09:55:00Z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