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13EE77E" w14:textId="77777777" w:rsidTr="00D517B2">
        <w:trPr>
          <w:cantSplit/>
          <w:trHeight w:val="1134"/>
        </w:trPr>
        <w:tc>
          <w:tcPr>
            <w:tcW w:w="798" w:type="pct"/>
          </w:tcPr>
          <w:p w14:paraId="19C70BED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7729550E" wp14:editId="07B0E1CA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42130F5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85FE0C7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7EB38103" w14:textId="77777777" w:rsidTr="001E2788">
        <w:trPr>
          <w:cantSplit/>
          <w:jc w:val="center"/>
        </w:trPr>
        <w:tc>
          <w:tcPr>
            <w:tcW w:w="810" w:type="pct"/>
          </w:tcPr>
          <w:p w14:paraId="4543A544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4F27E909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923D51C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03938C90" w14:textId="77777777" w:rsidTr="001E2788">
        <w:trPr>
          <w:cantSplit/>
          <w:jc w:val="center"/>
        </w:trPr>
        <w:tc>
          <w:tcPr>
            <w:tcW w:w="810" w:type="pct"/>
          </w:tcPr>
          <w:p w14:paraId="47695B3B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2FDDCC1D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6AEC3AAA" w14:textId="4A188590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1466CE">
              <w:rPr>
                <w:rFonts w:hint="cs"/>
                <w:position w:val="2"/>
                <w:rtl/>
              </w:rPr>
              <w:t>18 يونيو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372F67" w:rsidRPr="00D517B2" w14:paraId="3EC5CC64" w14:textId="77777777" w:rsidTr="001E2788">
        <w:trPr>
          <w:cantSplit/>
          <w:jc w:val="center"/>
        </w:trPr>
        <w:tc>
          <w:tcPr>
            <w:tcW w:w="810" w:type="pct"/>
          </w:tcPr>
          <w:p w14:paraId="4E842D14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3FC23E05" w14:textId="63B7AA39" w:rsidR="00372F67" w:rsidRPr="001466CE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val="en-GB"/>
              </w:rPr>
            </w:pPr>
            <w:r w:rsidRPr="001466CE">
              <w:rPr>
                <w:b/>
                <w:bCs/>
                <w:position w:val="2"/>
                <w:lang w:val="en-GB"/>
              </w:rPr>
              <w:t>TSB Circular 142</w:t>
            </w:r>
            <w:r>
              <w:rPr>
                <w:b/>
                <w:bCs/>
                <w:position w:val="2"/>
                <w:rtl/>
                <w:lang w:val="en-GB"/>
              </w:rPr>
              <w:br/>
            </w:r>
            <w:r w:rsidRPr="001466CE">
              <w:rPr>
                <w:bCs/>
                <w:position w:val="2"/>
                <w:lang w:val="en-GB"/>
              </w:rPr>
              <w:t>SG17/XY</w:t>
            </w:r>
          </w:p>
        </w:tc>
        <w:tc>
          <w:tcPr>
            <w:tcW w:w="2206" w:type="pct"/>
            <w:vMerge w:val="restart"/>
          </w:tcPr>
          <w:p w14:paraId="6A3AB4D7" w14:textId="77777777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b/>
                <w:bCs/>
                <w:position w:val="2"/>
              </w:rPr>
            </w:pPr>
            <w:r w:rsidRPr="001466CE">
              <w:rPr>
                <w:b/>
                <w:bCs/>
                <w:position w:val="2"/>
                <w:rtl/>
              </w:rPr>
              <w:t>إلى:</w:t>
            </w:r>
          </w:p>
          <w:p w14:paraId="69388FDE" w14:textId="12B41BB0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إدارات الدول الأعضاء في الاتحاد؛</w:t>
            </w:r>
          </w:p>
          <w:p w14:paraId="39F429D7" w14:textId="1372B76C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دولة فلسطين (القرار 99 (المراجَع في دبي، 2018))</w:t>
            </w:r>
          </w:p>
          <w:p w14:paraId="66F5F00D" w14:textId="3DD79B5C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b/>
                <w:bCs/>
                <w:position w:val="2"/>
              </w:rPr>
            </w:pPr>
            <w:r w:rsidRPr="001466CE">
              <w:rPr>
                <w:b/>
                <w:bCs/>
                <w:position w:val="2"/>
                <w:rtl/>
              </w:rPr>
              <w:t>نسخة إلى:</w:t>
            </w:r>
          </w:p>
          <w:p w14:paraId="0406FF7D" w14:textId="45AB68AC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أعضاء قطاع تقييس الاتصالات في الاتحاد؛</w:t>
            </w:r>
          </w:p>
          <w:p w14:paraId="1B840CF1" w14:textId="7E84ADBF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 xml:space="preserve">المنتسبين إلى قطاع تقييس الاتصالات </w:t>
            </w:r>
            <w:r>
              <w:rPr>
                <w:rFonts w:hint="cs"/>
                <w:position w:val="2"/>
                <w:rtl/>
              </w:rPr>
              <w:t xml:space="preserve">المشاركين في أعمال </w:t>
            </w:r>
            <w:r w:rsidRPr="001466CE">
              <w:rPr>
                <w:position w:val="2"/>
                <w:rtl/>
              </w:rPr>
              <w:t>لجنة الدراسات 17 ؛</w:t>
            </w:r>
          </w:p>
          <w:p w14:paraId="33F14BAC" w14:textId="7364661A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الهيئات الأكاديمية المنضمة إلى الاتحاد؛</w:t>
            </w:r>
          </w:p>
          <w:p w14:paraId="4AF0E252" w14:textId="45F8B296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رئيس لجنة الدراسات 17 لقطاع تقييس الاتصالات ونوابه؛</w:t>
            </w:r>
          </w:p>
          <w:p w14:paraId="16273FA7" w14:textId="0DEFA1BF" w:rsidR="001466CE" w:rsidRPr="001466CE" w:rsidRDefault="001466CE" w:rsidP="001466C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1" w:hanging="281"/>
              <w:jc w:val="left"/>
              <w:rPr>
                <w:position w:val="2"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مدير مكتب تنمية الاتصالات؛</w:t>
            </w:r>
          </w:p>
          <w:p w14:paraId="219DD374" w14:textId="150EA695" w:rsidR="00372F67" w:rsidRPr="00D517B2" w:rsidRDefault="001466CE" w:rsidP="001466C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1" w:hanging="281"/>
              <w:rPr>
                <w:position w:val="2"/>
                <w:rtl/>
              </w:rPr>
            </w:pPr>
            <w:r w:rsidRPr="001466CE">
              <w:rPr>
                <w:rFonts w:hint="cs"/>
                <w:position w:val="2"/>
                <w:rtl/>
              </w:rPr>
              <w:t>-</w:t>
            </w:r>
            <w:r w:rsidRPr="001466CE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1466CE" w:rsidRPr="00D517B2" w14:paraId="4BCB29CF" w14:textId="77777777" w:rsidTr="001E2788">
        <w:trPr>
          <w:cantSplit/>
          <w:jc w:val="center"/>
        </w:trPr>
        <w:tc>
          <w:tcPr>
            <w:tcW w:w="810" w:type="pct"/>
          </w:tcPr>
          <w:p w14:paraId="453EDFD9" w14:textId="6295C596" w:rsidR="001466CE" w:rsidRPr="00A9156F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181E5CF4" w14:textId="26CA0913" w:rsidR="001466CE" w:rsidRPr="00D517B2" w:rsidRDefault="001466CE" w:rsidP="001466CE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1466CE">
              <w:rPr>
                <w:position w:val="2"/>
                <w:lang w:val="en-GB"/>
              </w:rPr>
              <w:t>+41 22 730 6206</w:t>
            </w:r>
          </w:p>
        </w:tc>
        <w:tc>
          <w:tcPr>
            <w:tcW w:w="2206" w:type="pct"/>
            <w:vMerge/>
          </w:tcPr>
          <w:p w14:paraId="5FE0BD4D" w14:textId="77777777" w:rsidR="001466CE" w:rsidRPr="00D517B2" w:rsidRDefault="001466CE" w:rsidP="001466C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1466CE" w:rsidRPr="00D517B2" w14:paraId="3A670850" w14:textId="77777777" w:rsidTr="001E2788">
        <w:trPr>
          <w:cantSplit/>
          <w:jc w:val="center"/>
        </w:trPr>
        <w:tc>
          <w:tcPr>
            <w:tcW w:w="810" w:type="pct"/>
          </w:tcPr>
          <w:p w14:paraId="4C0FC72F" w14:textId="2FCAE1DD" w:rsidR="001466CE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14593FE0" w14:textId="1547AB76" w:rsidR="001466CE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1466CE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3EF43A22" w14:textId="77777777" w:rsidR="001466CE" w:rsidRPr="00D517B2" w:rsidRDefault="001466CE" w:rsidP="001466C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1466CE" w:rsidRPr="00D517B2" w14:paraId="644CB6FF" w14:textId="77777777" w:rsidTr="00194E90">
        <w:trPr>
          <w:cantSplit/>
          <w:trHeight w:val="880"/>
          <w:jc w:val="center"/>
        </w:trPr>
        <w:tc>
          <w:tcPr>
            <w:tcW w:w="810" w:type="pct"/>
          </w:tcPr>
          <w:p w14:paraId="1DB6B65D" w14:textId="79898EFA" w:rsidR="001466CE" w:rsidRPr="00A9156F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057EC456" w14:textId="2D3F071B" w:rsidR="001466CE" w:rsidRPr="001466CE" w:rsidRDefault="001466CE" w:rsidP="001466CE">
            <w:pPr>
              <w:spacing w:before="80" w:after="60" w:line="300" w:lineRule="exact"/>
              <w:jc w:val="left"/>
              <w:rPr>
                <w:position w:val="2"/>
                <w:lang w:val="en-GB"/>
              </w:rPr>
            </w:pPr>
            <w:hyperlink r:id="rId9" w:history="1">
              <w:r w:rsidRPr="001466CE">
                <w:rPr>
                  <w:rStyle w:val="Hyperlink"/>
                  <w:position w:val="2"/>
                  <w:lang w:val="en-GB"/>
                </w:rPr>
                <w:t>tsbsg17@itu.int</w:t>
              </w:r>
            </w:hyperlink>
          </w:p>
        </w:tc>
        <w:tc>
          <w:tcPr>
            <w:tcW w:w="2206" w:type="pct"/>
            <w:vMerge/>
          </w:tcPr>
          <w:p w14:paraId="6B3ED3B5" w14:textId="77777777" w:rsidR="001466CE" w:rsidRPr="00D517B2" w:rsidRDefault="001466CE" w:rsidP="001466C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1466CE" w:rsidRPr="00D517B2" w14:paraId="0200493B" w14:textId="77777777" w:rsidTr="001E2788">
        <w:trPr>
          <w:cantSplit/>
          <w:jc w:val="center"/>
        </w:trPr>
        <w:tc>
          <w:tcPr>
            <w:tcW w:w="810" w:type="pct"/>
          </w:tcPr>
          <w:p w14:paraId="36CAE945" w14:textId="77777777" w:rsidR="001466CE" w:rsidRPr="00A9156F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2163CB7E" w14:textId="77777777" w:rsidR="001466CE" w:rsidRPr="00D517B2" w:rsidRDefault="001466CE" w:rsidP="001466CE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C8268EF" w14:textId="77777777" w:rsidR="001466CE" w:rsidRPr="00D517B2" w:rsidRDefault="001466CE" w:rsidP="001466CE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466CE" w:rsidRPr="00D517B2" w14:paraId="14091FCC" w14:textId="77777777" w:rsidTr="001E2788">
        <w:trPr>
          <w:cantSplit/>
          <w:jc w:val="center"/>
        </w:trPr>
        <w:tc>
          <w:tcPr>
            <w:tcW w:w="810" w:type="pct"/>
          </w:tcPr>
          <w:p w14:paraId="60061CF2" w14:textId="77777777" w:rsidR="001466CE" w:rsidRPr="00A9156F" w:rsidRDefault="001466CE" w:rsidP="001466C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59158D0" w14:textId="7932C226" w:rsidR="001466CE" w:rsidRPr="00D517B2" w:rsidRDefault="001466CE" w:rsidP="001466CE">
            <w:pPr>
              <w:spacing w:before="80" w:after="60" w:line="300" w:lineRule="exact"/>
              <w:rPr>
                <w:position w:val="2"/>
                <w:rtl/>
              </w:rPr>
            </w:pPr>
            <w:r w:rsidRPr="001466CE">
              <w:rPr>
                <w:b/>
                <w:bCs/>
                <w:position w:val="2"/>
                <w:rtl/>
              </w:rPr>
              <w:t>حالة التوصيات ITU-T X.1821 (X.5Gsec-asra سابقاً) وX.2105 (X.st-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ssc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وX.1350</w:t>
            </w:r>
            <w:r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>
              <w:rPr>
                <w:b/>
                <w:bCs/>
                <w:position w:val="2"/>
              </w:rPr>
              <w:t>)</w:t>
            </w:r>
            <w:r w:rsidRPr="001466CE">
              <w:rPr>
                <w:b/>
                <w:bCs/>
                <w:position w:val="2"/>
                <w:rtl/>
              </w:rPr>
              <w:t>X.sr</w:t>
            </w:r>
            <w:r>
              <w:rPr>
                <w:b/>
                <w:bCs/>
                <w:position w:val="2"/>
                <w:rtl/>
              </w:rPr>
              <w:noBreakHyphen/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iiot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وX.1910 (X.tc-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ifd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وX.1607 (X.asm-cc سابقاً) وX.1651 (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X.soar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>-cc سابقاً) وX.1286 (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X.accsadlt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وX.1417 (X.sr-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dpts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</w:t>
            </w:r>
            <w:r>
              <w:rPr>
                <w:rFonts w:hint="cs"/>
                <w:b/>
                <w:bCs/>
                <w:position w:val="2"/>
                <w:rtl/>
              </w:rPr>
              <w:t>و</w:t>
            </w:r>
            <w:r>
              <w:rPr>
                <w:b/>
                <w:bCs/>
                <w:position w:val="2"/>
              </w:rPr>
              <w:t>X.1418</w:t>
            </w:r>
            <w:r>
              <w:rPr>
                <w:rFonts w:hint="cs"/>
                <w:b/>
                <w:bCs/>
                <w:position w:val="2"/>
                <w:rtl/>
              </w:rPr>
              <w:t xml:space="preserve"> (</w:t>
            </w:r>
            <w:r w:rsidRPr="001466CE">
              <w:rPr>
                <w:b/>
                <w:bCs/>
                <w:position w:val="2"/>
                <w:rtl/>
              </w:rPr>
              <w:t>X.sg-</w:t>
            </w:r>
            <w:proofErr w:type="spellStart"/>
            <w:r w:rsidRPr="001466CE">
              <w:rPr>
                <w:b/>
                <w:bCs/>
                <w:position w:val="2"/>
                <w:rtl/>
              </w:rPr>
              <w:t>dcs</w:t>
            </w:r>
            <w:proofErr w:type="spellEnd"/>
            <w:r w:rsidRPr="001466CE">
              <w:rPr>
                <w:b/>
                <w:bCs/>
                <w:position w:val="2"/>
                <w:rtl/>
              </w:rPr>
              <w:t xml:space="preserve"> سابقاً) وX.2210 (</w:t>
            </w:r>
            <w:proofErr w:type="spellStart"/>
            <w:r>
              <w:rPr>
                <w:b/>
                <w:bCs/>
                <w:position w:val="2"/>
                <w:rtl/>
              </w:rPr>
              <w:fldChar w:fldCharType="begin"/>
            </w:r>
            <w:r>
              <w:rPr>
                <w:b/>
                <w:bCs/>
                <w:position w:val="2"/>
                <w:rtl/>
              </w:rPr>
              <w:instrText xml:space="preserve"> </w:instrText>
            </w:r>
            <w:r>
              <w:rPr>
                <w:b/>
                <w:bCs/>
                <w:position w:val="2"/>
              </w:rPr>
              <w:instrText>HYPERLINK</w:instrText>
            </w:r>
            <w:r>
              <w:rPr>
                <w:b/>
                <w:bCs/>
                <w:position w:val="2"/>
                <w:rtl/>
              </w:rPr>
              <w:instrText xml:space="preserve"> "</w:instrText>
            </w:r>
            <w:r>
              <w:rPr>
                <w:b/>
                <w:bCs/>
                <w:position w:val="2"/>
              </w:rPr>
              <w:instrText>https://www.itu.int/myworkspace/t-wp/item?isn=21686</w:instrText>
            </w:r>
            <w:r>
              <w:rPr>
                <w:b/>
                <w:bCs/>
                <w:position w:val="2"/>
                <w:rtl/>
              </w:rPr>
              <w:instrText xml:space="preserve">" </w:instrText>
            </w:r>
            <w:r>
              <w:rPr>
                <w:b/>
                <w:bCs/>
                <w:position w:val="2"/>
                <w:rtl/>
              </w:rPr>
            </w:r>
            <w:r>
              <w:rPr>
                <w:b/>
                <w:bCs/>
                <w:position w:val="2"/>
                <w:rtl/>
              </w:rPr>
              <w:fldChar w:fldCharType="separate"/>
            </w:r>
            <w:r w:rsidRPr="001466CE">
              <w:rPr>
                <w:rStyle w:val="Hyperlink"/>
                <w:b/>
                <w:bCs/>
                <w:position w:val="2"/>
                <w:rtl/>
              </w:rPr>
              <w:t>X.ig-dw</w:t>
            </w:r>
            <w:proofErr w:type="spellEnd"/>
            <w:r w:rsidRPr="001466CE">
              <w:rPr>
                <w:rStyle w:val="Hyperlink"/>
                <w:b/>
                <w:bCs/>
                <w:position w:val="2"/>
                <w:rtl/>
              </w:rPr>
              <w:t xml:space="preserve"> سابقاً</w:t>
            </w:r>
            <w:r>
              <w:rPr>
                <w:b/>
                <w:bCs/>
                <w:position w:val="2"/>
                <w:rtl/>
              </w:rPr>
              <w:fldChar w:fldCharType="end"/>
            </w:r>
            <w:r w:rsidRPr="001466CE">
              <w:rPr>
                <w:b/>
                <w:bCs/>
                <w:position w:val="2"/>
                <w:rtl/>
              </w:rPr>
              <w:t>) والتوصية المراجَعة X.1280، بعد اجتماع لجنة الدراسات 17 لقطاع تقييس الاتصالات (جنيف، 1-10 يونيو 2026)</w:t>
            </w:r>
            <w:hyperlink r:id="rId10" w:history="1"/>
          </w:p>
        </w:tc>
      </w:tr>
    </w:tbl>
    <w:p w14:paraId="3D158EBB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7F11698E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4E427AB7" w14:textId="33E822E6" w:rsidR="001466CE" w:rsidRPr="001466CE" w:rsidRDefault="001466CE" w:rsidP="001466CE">
      <w:pPr>
        <w:rPr>
          <w:lang w:val="ar-SA" w:bidi="ar-SY"/>
        </w:rPr>
      </w:pPr>
      <w:r w:rsidRPr="001466CE">
        <w:rPr>
          <w:rtl/>
        </w:rPr>
        <w:t>1</w:t>
      </w:r>
      <w:r w:rsidRPr="001466CE">
        <w:rPr>
          <w:rtl/>
        </w:rPr>
        <w:tab/>
        <w:t xml:space="preserve">إلحاقاً </w:t>
      </w:r>
      <w:hyperlink r:id="rId11" w:history="1">
        <w:r w:rsidRPr="001466CE">
          <w:rPr>
            <w:rStyle w:val="Hyperlink"/>
            <w:rtl/>
          </w:rPr>
          <w:t>بالرسالة المعممة 104 من مكتب تقييس الاتصالات</w:t>
        </w:r>
      </w:hyperlink>
      <w:r w:rsidRPr="001466CE">
        <w:rPr>
          <w:rtl/>
        </w:rPr>
        <w:t xml:space="preserve"> المؤرخة 13 فبراير 2026، وعملاً بالفقرة 5.9 من القرار 1 (المراجَع في جنيف، 2022)، أبلغكم بأن لجنة دراسات 17 لقطاع تقييس الاتصالات توصلت إلى القرارات التالية خلال جلستها</w:t>
      </w:r>
      <w:r>
        <w:rPr>
          <w:rFonts w:hint="cs"/>
          <w:rtl/>
        </w:rPr>
        <w:t xml:space="preserve"> </w:t>
      </w:r>
      <w:r w:rsidRPr="001466CE">
        <w:rPr>
          <w:rtl/>
        </w:rPr>
        <w:t>العامة المعقودة في 10 يونيو 2026 بشأن النصوص التالية لقطاع تقييس الاتصالات:</w:t>
      </w:r>
      <w:hyperlink r:id="rId12" w:history="1"/>
    </w:p>
    <w:tbl>
      <w:tblPr>
        <w:bidiVisual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6"/>
        <w:gridCol w:w="1700"/>
      </w:tblGrid>
      <w:tr w:rsidR="001466CE" w:rsidRPr="001466CE" w14:paraId="4095B0F2" w14:textId="77777777" w:rsidTr="001466CE">
        <w:trPr>
          <w:cantSplit/>
          <w:tblHeader/>
          <w:jc w:val="center"/>
        </w:trPr>
        <w:tc>
          <w:tcPr>
            <w:tcW w:w="1838" w:type="dxa"/>
          </w:tcPr>
          <w:p w14:paraId="676A96BE" w14:textId="77777777" w:rsidR="001466CE" w:rsidRPr="001466CE" w:rsidRDefault="001466CE" w:rsidP="001466CE">
            <w:pPr>
              <w:pStyle w:val="Tablehead0"/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الرقم</w:t>
            </w:r>
          </w:p>
        </w:tc>
        <w:tc>
          <w:tcPr>
            <w:tcW w:w="6096" w:type="dxa"/>
          </w:tcPr>
          <w:p w14:paraId="7F25F62C" w14:textId="77777777" w:rsidR="001466CE" w:rsidRPr="001466CE" w:rsidRDefault="001466CE" w:rsidP="001466CE">
            <w:pPr>
              <w:pStyle w:val="Tablehead0"/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العنوان</w:t>
            </w:r>
          </w:p>
        </w:tc>
        <w:tc>
          <w:tcPr>
            <w:tcW w:w="1700" w:type="dxa"/>
          </w:tcPr>
          <w:p w14:paraId="6E61FF8D" w14:textId="77777777" w:rsidR="001466CE" w:rsidRPr="001466CE" w:rsidRDefault="001466CE" w:rsidP="001466CE">
            <w:pPr>
              <w:pStyle w:val="Tablehead0"/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القرار</w:t>
            </w:r>
          </w:p>
        </w:tc>
      </w:tr>
      <w:tr w:rsidR="001466CE" w:rsidRPr="001466CE" w14:paraId="60B31AF3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CF8" w14:textId="1113C48B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>X.1821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13" w:anchor="/t-wp/item?isn=21691" w:history="1">
              <w:r w:rsidRPr="001466CE">
                <w:rPr>
                  <w:rStyle w:val="Hyperlink"/>
                  <w:sz w:val="20"/>
                  <w:szCs w:val="20"/>
                </w:rPr>
                <w:t>X.5Gsec-asra</w:t>
              </w:r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3C1" w14:textId="4E92F9A1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 xml:space="preserve">المبادئ التوجيهية والمتطلبات التقنية لتحليل المخاطر الأمنية لأصول شبكة الجيل الخامس </w:t>
            </w:r>
            <w:r w:rsidRPr="001466CE">
              <w:rPr>
                <w:sz w:val="20"/>
                <w:szCs w:val="20"/>
                <w:lang w:val="en-GB" w:bidi="ar-SY"/>
              </w:rPr>
              <w:t>(</w:t>
            </w:r>
            <w:r w:rsidRPr="001466CE">
              <w:rPr>
                <w:sz w:val="20"/>
                <w:szCs w:val="20"/>
              </w:rPr>
              <w:t>5G</w:t>
            </w:r>
            <w:r w:rsidRPr="001466CE">
              <w:rPr>
                <w:sz w:val="20"/>
                <w:szCs w:val="20"/>
                <w:lang w:val="en-GB" w:bidi="ar-SY"/>
              </w:rPr>
              <w:t>)</w:t>
            </w:r>
            <w:r w:rsidRPr="001466CE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EE7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73928E76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D9C" w14:textId="4BCB495D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>X.2105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14" w:anchor="/t-wp/item?isn=21709" w:history="1">
              <w:r w:rsidRPr="001466CE">
                <w:rPr>
                  <w:rStyle w:val="Hyperlink"/>
                  <w:sz w:val="20"/>
                  <w:szCs w:val="20"/>
                </w:rPr>
                <w:t>X.st-</w:t>
              </w:r>
              <w:proofErr w:type="spellStart"/>
              <w:r w:rsidRPr="001466CE">
                <w:rPr>
                  <w:rStyle w:val="Hyperlink"/>
                  <w:sz w:val="20"/>
                  <w:szCs w:val="20"/>
                </w:rPr>
                <w:t>ssc</w:t>
              </w:r>
              <w:proofErr w:type="spellEnd"/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1A3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التهديدات الأمنية التي تستهدف سلسلة توريد البرمجيات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D7F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5EF95611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3017" w14:textId="3935E2BA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lang w:val="pt-BR"/>
              </w:rPr>
              <w:t>X.1350</w:t>
            </w:r>
            <w:r w:rsidRPr="001466CE">
              <w:rPr>
                <w:sz w:val="20"/>
                <w:szCs w:val="20"/>
                <w:lang w:val="pt-BR"/>
              </w:rPr>
              <w:br/>
            </w:r>
            <w:r w:rsidRPr="001466CE">
              <w:rPr>
                <w:sz w:val="20"/>
                <w:szCs w:val="20"/>
                <w:rtl/>
                <w:lang w:val="pt-BR"/>
              </w:rPr>
              <w:t>(</w:t>
            </w:r>
            <w:hyperlink r:id="rId15" w:anchor="/t-wp/item?isn=21718" w:history="1">
              <w:r w:rsidRPr="001466CE">
                <w:rPr>
                  <w:rStyle w:val="Hyperlink"/>
                  <w:sz w:val="20"/>
                  <w:szCs w:val="20"/>
                  <w:lang w:val="pt-BR"/>
                </w:rPr>
                <w:t>X.sr-iiot</w:t>
              </w:r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97F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المتطلبات الأمنية للنموذج المرجعي للتصنيع الذكي القائم على إنترنت الأشياء الصناعية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07D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10B253C6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15B" w14:textId="4E9EF4D9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lastRenderedPageBreak/>
              <w:t>X.1910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16" w:history="1">
              <w:r w:rsidRPr="001466CE">
                <w:rPr>
                  <w:rStyle w:val="Hyperlink"/>
                  <w:sz w:val="20"/>
                  <w:szCs w:val="20"/>
                </w:rPr>
                <w:t>X.tc-</w:t>
              </w:r>
              <w:proofErr w:type="spellStart"/>
              <w:r w:rsidRPr="001466CE">
                <w:rPr>
                  <w:rStyle w:val="Hyperlink"/>
                  <w:sz w:val="20"/>
                  <w:szCs w:val="20"/>
                </w:rPr>
                <w:t>ifd</w:t>
              </w:r>
              <w:proofErr w:type="spellEnd"/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81C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 xml:space="preserve">القدرات التقنية للكشف التفاعلي عن </w:t>
            </w:r>
            <w:proofErr w:type="gramStart"/>
            <w:r w:rsidRPr="001466CE">
              <w:rPr>
                <w:sz w:val="20"/>
                <w:szCs w:val="20"/>
                <w:rtl/>
              </w:rPr>
              <w:t>مخاطر</w:t>
            </w:r>
            <w:proofErr w:type="gramEnd"/>
            <w:r w:rsidRPr="001466CE">
              <w:rPr>
                <w:sz w:val="20"/>
                <w:szCs w:val="20"/>
                <w:rtl/>
              </w:rPr>
              <w:t xml:space="preserve"> الخداع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88D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2AF41A1F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1A6" w14:textId="7AE52C52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>X.1607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17" w:anchor="/t-wp/item?isn=21746" w:history="1">
              <w:r w:rsidRPr="001466CE">
                <w:rPr>
                  <w:rStyle w:val="Hyperlink"/>
                  <w:sz w:val="20"/>
                  <w:szCs w:val="20"/>
                </w:rPr>
                <w:t>X.asm-cc</w:t>
              </w:r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20D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متطلبات إدارة سطح الهجمات في الحوسبة السحابية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821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56DC55A4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2D2" w14:textId="30052613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lang w:val="pt-BR"/>
              </w:rPr>
              <w:t>X.1651</w:t>
            </w:r>
            <w:r w:rsidRPr="001466CE">
              <w:rPr>
                <w:sz w:val="20"/>
                <w:szCs w:val="20"/>
                <w:lang w:val="pt-BR"/>
              </w:rPr>
              <w:br/>
            </w:r>
            <w:r w:rsidRPr="001466CE">
              <w:rPr>
                <w:sz w:val="20"/>
                <w:szCs w:val="20"/>
                <w:rtl/>
                <w:lang w:val="pt-BR"/>
              </w:rPr>
              <w:t>(</w:t>
            </w:r>
            <w:hyperlink r:id="rId18" w:anchor="/t-wp/item?isn=21744" w:history="1">
              <w:r w:rsidRPr="001466CE">
                <w:rPr>
                  <w:rStyle w:val="Hyperlink"/>
                  <w:sz w:val="20"/>
                  <w:szCs w:val="20"/>
                  <w:lang w:val="pt-BR"/>
                </w:rPr>
                <w:t>X.soar-cc</w:t>
              </w:r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124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إطار تنسيق الأمن والأتمتة والاستجابة في الحوسبة السحابية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FD9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39DBC6AD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E4D" w14:textId="5E3E713E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hyperlink r:id="rId19" w:anchor="/t-wp/item?isn=22284" w:history="1">
              <w:r w:rsidRPr="001466CE">
                <w:rPr>
                  <w:rStyle w:val="Hyperlink"/>
                  <w:sz w:val="20"/>
                  <w:szCs w:val="20"/>
                </w:rPr>
                <w:t>X.1280</w:t>
              </w:r>
            </w:hyperlink>
            <w:r w:rsidRPr="001466CE">
              <w:rPr>
                <w:sz w:val="20"/>
                <w:szCs w:val="20"/>
              </w:rPr>
              <w:t xml:space="preserve"> (Rev.)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520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إطار الاستيقان المتبادل خارج النطاق باستخدام أجهزة متنقلة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EB5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378AD4E2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B48" w14:textId="533DD589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>X.1286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20" w:anchor="/t-wp/item?isn=21764" w:history="1">
              <w:proofErr w:type="spellStart"/>
              <w:r w:rsidRPr="001466CE">
                <w:rPr>
                  <w:rStyle w:val="Hyperlink"/>
                  <w:sz w:val="20"/>
                  <w:szCs w:val="20"/>
                </w:rPr>
                <w:t>X.accsadlt</w:t>
              </w:r>
              <w:proofErr w:type="spellEnd"/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A3B" w14:textId="5536D56C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منصة التحكم في النفاذ باستعمال أسلوب الاستيقان القائم على تكنولوجيا سجل الحسابات الموزَّع</w:t>
            </w:r>
            <w:r>
              <w:rPr>
                <w:rFonts w:hint="cs"/>
                <w:sz w:val="20"/>
                <w:szCs w:val="20"/>
                <w:rtl/>
              </w:rPr>
              <w:t>ة</w:t>
            </w:r>
            <w:r w:rsidRPr="001466CE">
              <w:rPr>
                <w:sz w:val="20"/>
                <w:szCs w:val="20"/>
                <w:rtl/>
              </w:rPr>
              <w:t xml:space="preserve"> </w:t>
            </w:r>
            <w:r w:rsidRPr="001466CE">
              <w:rPr>
                <w:sz w:val="20"/>
                <w:szCs w:val="20"/>
                <w:lang w:val="en-GB" w:bidi="ar-SY"/>
              </w:rPr>
              <w:t>(DLT)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170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0919C115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ADB" w14:textId="247FF3D3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lang w:val="pt-BR"/>
              </w:rPr>
              <w:t>X.1417</w:t>
            </w:r>
            <w:r w:rsidRPr="001466CE">
              <w:rPr>
                <w:sz w:val="20"/>
                <w:szCs w:val="20"/>
                <w:lang w:val="pt-BR"/>
              </w:rPr>
              <w:br/>
            </w:r>
            <w:r w:rsidRPr="001466CE">
              <w:rPr>
                <w:sz w:val="20"/>
                <w:szCs w:val="20"/>
                <w:rtl/>
                <w:lang w:val="pt-BR"/>
              </w:rPr>
              <w:t>(</w:t>
            </w:r>
            <w:hyperlink r:id="rId21" w:anchor="/t-wp/item?isn=21800" w:history="1">
              <w:r w:rsidRPr="001466CE">
                <w:rPr>
                  <w:rStyle w:val="Hyperlink"/>
                  <w:sz w:val="20"/>
                  <w:szCs w:val="20"/>
                  <w:lang w:val="pt-BR"/>
                </w:rPr>
                <w:t>X.sr-dpts</w:t>
              </w:r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BB6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 xml:space="preserve">المتطلبات الأمنية لبيانات تكنولوجيا السجلات الموزعة </w:t>
            </w:r>
            <w:r w:rsidRPr="001466CE">
              <w:rPr>
                <w:sz w:val="20"/>
                <w:szCs w:val="20"/>
                <w:lang w:val="en-GB" w:bidi="ar-SY"/>
              </w:rPr>
              <w:t>(DLT)</w:t>
            </w:r>
            <w:r w:rsidRPr="001466CE">
              <w:rPr>
                <w:sz w:val="20"/>
                <w:szCs w:val="20"/>
                <w:rtl/>
              </w:rPr>
              <w:t xml:space="preserve"> بشأن أنظمة تداول الطاقة الموزعة المرخصة القائمة على تكنولوجيا السجلات الموزعة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B07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7C41F4C8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552" w14:textId="63E6A005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>X.1418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sz w:val="20"/>
                <w:szCs w:val="20"/>
                <w:rtl/>
              </w:rPr>
              <w:t>(</w:t>
            </w:r>
            <w:hyperlink r:id="rId22" w:anchor="/t-wp/item?isn=21799" w:history="1">
              <w:r w:rsidRPr="001466CE">
                <w:rPr>
                  <w:rStyle w:val="Hyperlink"/>
                  <w:sz w:val="20"/>
                  <w:szCs w:val="20"/>
                </w:rPr>
                <w:t>X.sg-</w:t>
              </w:r>
              <w:proofErr w:type="spellStart"/>
              <w:r w:rsidRPr="001466CE">
                <w:rPr>
                  <w:rStyle w:val="Hyperlink"/>
                  <w:sz w:val="20"/>
                  <w:szCs w:val="20"/>
                </w:rPr>
                <w:t>dcs</w:t>
              </w:r>
              <w:proofErr w:type="spellEnd"/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872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 xml:space="preserve">المبادئ التوجيهية الأمنية من أجل خدمات المجموعات الرقمية القائمة على تكنولوجيا سجل الحسابات الموزع </w:t>
            </w:r>
            <w:r w:rsidRPr="001466CE">
              <w:rPr>
                <w:sz w:val="20"/>
                <w:szCs w:val="20"/>
                <w:lang w:val="en-GB" w:bidi="ar-SY"/>
              </w:rPr>
              <w:t>(DLT)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F91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تمت الموافقة عليه</w:t>
            </w:r>
          </w:p>
        </w:tc>
      </w:tr>
      <w:tr w:rsidR="001466CE" w:rsidRPr="001466CE" w14:paraId="3CB03B37" w14:textId="77777777" w:rsidTr="001466C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4F6" w14:textId="4A5D4542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</w:rPr>
              <w:t xml:space="preserve">X.2210 </w:t>
            </w:r>
            <w:r w:rsidRPr="001466CE">
              <w:rPr>
                <w:sz w:val="20"/>
                <w:szCs w:val="20"/>
              </w:rPr>
              <w:br/>
            </w:r>
            <w:r w:rsidRPr="001466CE">
              <w:rPr>
                <w:rFonts w:hint="cs"/>
                <w:sz w:val="20"/>
                <w:szCs w:val="20"/>
                <w:rtl/>
              </w:rPr>
              <w:t>(</w:t>
            </w:r>
            <w:hyperlink r:id="rId23" w:history="1">
              <w:proofErr w:type="spellStart"/>
              <w:r w:rsidRPr="001466CE">
                <w:rPr>
                  <w:rStyle w:val="Hyperlink"/>
                  <w:sz w:val="20"/>
                  <w:szCs w:val="20"/>
                </w:rPr>
                <w:t>X.ig-dw</w:t>
              </w:r>
              <w:proofErr w:type="spellEnd"/>
            </w:hyperlink>
            <w:r w:rsidRPr="001466CE">
              <w:rPr>
                <w:rFonts w:hint="cs"/>
                <w:sz w:val="20"/>
                <w:szCs w:val="20"/>
                <w:rtl/>
              </w:rPr>
              <w:t xml:space="preserve"> سابقاً)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EDA" w14:textId="77777777" w:rsidR="001466CE" w:rsidRPr="001466CE" w:rsidRDefault="001466CE" w:rsidP="001466CE">
            <w:pPr>
              <w:spacing w:before="60" w:after="60" w:line="260" w:lineRule="exact"/>
              <w:jc w:val="left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مبادئ توجيهية لتنفيذ العلامات المائية الرقمية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E7E" w14:textId="77777777" w:rsidR="001466CE" w:rsidRPr="001466CE" w:rsidRDefault="001466CE" w:rsidP="001466CE">
            <w:pPr>
              <w:spacing w:before="60" w:after="60" w:line="260" w:lineRule="exact"/>
              <w:jc w:val="center"/>
              <w:rPr>
                <w:sz w:val="20"/>
                <w:szCs w:val="20"/>
                <w:lang w:val="ar-SA" w:bidi="ar-SY"/>
              </w:rPr>
            </w:pPr>
            <w:r w:rsidRPr="001466CE">
              <w:rPr>
                <w:sz w:val="20"/>
                <w:szCs w:val="20"/>
                <w:rtl/>
              </w:rPr>
              <w:t>لم يوافَق عليه</w:t>
            </w:r>
          </w:p>
        </w:tc>
      </w:tr>
    </w:tbl>
    <w:p w14:paraId="4FDC8399" w14:textId="1B949D7F" w:rsidR="001466CE" w:rsidRPr="001466CE" w:rsidRDefault="001466CE" w:rsidP="001466CE">
      <w:pPr>
        <w:spacing w:before="240"/>
        <w:rPr>
          <w:lang w:val="ar-SA" w:bidi="ar-SY"/>
        </w:rPr>
      </w:pPr>
      <w:r w:rsidRPr="001466CE">
        <w:rPr>
          <w:rtl/>
        </w:rPr>
        <w:t>2</w:t>
      </w:r>
      <w:r w:rsidRPr="001466CE">
        <w:rPr>
          <w:rtl/>
        </w:rPr>
        <w:tab/>
        <w:t xml:space="preserve">ويمكن النفاذ إلى المعلومات المتاحة بشأن البراءات إلكترونياً من خلال </w:t>
      </w:r>
      <w:hyperlink r:id="rId24" w:history="1">
        <w:r w:rsidRPr="001466CE">
          <w:rPr>
            <w:rStyle w:val="Hyperlink"/>
            <w:rtl/>
          </w:rPr>
          <w:t>الموقع الإلكتروني لقطاع تقييس الاتصالات</w:t>
        </w:r>
      </w:hyperlink>
      <w:r w:rsidRPr="001466CE">
        <w:rPr>
          <w:rtl/>
        </w:rPr>
        <w:t>.</w:t>
      </w:r>
      <w:hyperlink r:id="rId25" w:history="1"/>
    </w:p>
    <w:p w14:paraId="59B17486" w14:textId="7586F769" w:rsidR="001466CE" w:rsidRPr="001466CE" w:rsidRDefault="001466CE" w:rsidP="001466CE">
      <w:pPr>
        <w:rPr>
          <w:lang w:val="ar-SA" w:bidi="ar-EG"/>
        </w:rPr>
      </w:pPr>
      <w:r w:rsidRPr="001466CE">
        <w:rPr>
          <w:rtl/>
        </w:rPr>
        <w:t>3</w:t>
      </w:r>
      <w:r w:rsidRPr="001466CE">
        <w:rPr>
          <w:rtl/>
        </w:rPr>
        <w:tab/>
        <w:t xml:space="preserve">وسينشر الاتحاد نص التوصية الموافق عليها في أقرب وقت ممكن. وفي الوقت نفسه، التوصيات المنشورة مسبقاً مُتاحة في الموقع الإلكتروني لقطاع تقييس الاتصالات في </w:t>
      </w:r>
      <w:hyperlink r:id="rId26" w:history="1">
        <w:r w:rsidRPr="001466CE">
          <w:rPr>
            <w:rStyle w:val="Hyperlink"/>
            <w:rtl/>
          </w:rPr>
          <w:t>هذه الصفحة</w:t>
        </w:r>
      </w:hyperlink>
      <w:r>
        <w:rPr>
          <w:rFonts w:hint="cs"/>
          <w:rtl/>
          <w:lang w:bidi="ar-EG"/>
        </w:rPr>
        <w:t>.</w:t>
      </w:r>
    </w:p>
    <w:p w14:paraId="0461C73C" w14:textId="77777777" w:rsidR="00E84438" w:rsidRPr="00D517B2" w:rsidRDefault="00E84438" w:rsidP="00891703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3625074A" w14:textId="77777777" w:rsidR="00E84438" w:rsidRPr="00D517B2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r w:rsidRPr="001E2788">
        <w:rPr>
          <w:rFonts w:hint="cs"/>
          <w:rtl/>
          <w:lang w:bidi="ar-SY"/>
        </w:rPr>
        <w:t>)</w:t>
      </w:r>
    </w:p>
    <w:p w14:paraId="45956817" w14:textId="77777777" w:rsidR="00E84438" w:rsidRPr="00D517B2" w:rsidRDefault="00807031" w:rsidP="00E84438">
      <w:pPr>
        <w:jc w:val="left"/>
        <w:rPr>
          <w:rtl/>
        </w:rPr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27"/>
      <w:footerReference w:type="first" r:id="rId2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3883" w14:textId="77777777" w:rsidR="007A5AEF" w:rsidRDefault="007A5AEF" w:rsidP="006C3242">
      <w:pPr>
        <w:spacing w:before="0" w:line="240" w:lineRule="auto"/>
      </w:pPr>
      <w:r>
        <w:separator/>
      </w:r>
    </w:p>
  </w:endnote>
  <w:endnote w:type="continuationSeparator" w:id="0">
    <w:p w14:paraId="41301D2C" w14:textId="77777777" w:rsidR="007A5AEF" w:rsidRDefault="007A5AE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B055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EFDA" w14:textId="77777777" w:rsidR="007A5AEF" w:rsidRDefault="007A5AEF" w:rsidP="006C3242">
      <w:pPr>
        <w:spacing w:before="0" w:line="240" w:lineRule="auto"/>
      </w:pPr>
      <w:r>
        <w:separator/>
      </w:r>
    </w:p>
  </w:footnote>
  <w:footnote w:type="continuationSeparator" w:id="0">
    <w:p w14:paraId="677B0F3A" w14:textId="77777777" w:rsidR="007A5AEF" w:rsidRDefault="007A5AE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562B" w14:textId="562B1A0B" w:rsidR="00447F32" w:rsidRPr="00AC572F" w:rsidRDefault="00596808" w:rsidP="00B916A7">
    <w:pPr>
      <w:pStyle w:val="Header"/>
      <w:spacing w:after="240" w:line="192" w:lineRule="auto"/>
      <w:jc w:val="center"/>
      <w:rPr>
        <w:sz w:val="18"/>
        <w:szCs w:val="18"/>
        <w:rtl/>
      </w:rPr>
    </w:pPr>
    <w:r w:rsidRPr="00AC572F">
      <w:rPr>
        <w:sz w:val="18"/>
        <w:szCs w:val="18"/>
      </w:rPr>
      <w:t xml:space="preserve">- </w:t>
    </w:r>
    <w:r w:rsidRPr="00AC572F">
      <w:rPr>
        <w:sz w:val="18"/>
        <w:szCs w:val="18"/>
      </w:rPr>
      <w:fldChar w:fldCharType="begin"/>
    </w:r>
    <w:r w:rsidRPr="00AC572F">
      <w:rPr>
        <w:sz w:val="18"/>
        <w:szCs w:val="18"/>
      </w:rPr>
      <w:instrText xml:space="preserve"> PAGE </w:instrText>
    </w:r>
    <w:r w:rsidRPr="00AC572F">
      <w:rPr>
        <w:sz w:val="18"/>
        <w:szCs w:val="18"/>
      </w:rPr>
      <w:fldChar w:fldCharType="separate"/>
    </w:r>
    <w:r w:rsidRPr="00AC572F">
      <w:rPr>
        <w:sz w:val="18"/>
        <w:szCs w:val="18"/>
      </w:rPr>
      <w:t>2</w:t>
    </w:r>
    <w:r w:rsidRPr="00AC572F">
      <w:rPr>
        <w:sz w:val="18"/>
        <w:szCs w:val="18"/>
      </w:rPr>
      <w:fldChar w:fldCharType="end"/>
    </w:r>
    <w:r w:rsidRPr="00AC572F">
      <w:rPr>
        <w:sz w:val="18"/>
        <w:szCs w:val="18"/>
      </w:rPr>
      <w:t xml:space="preserve"> -</w:t>
    </w:r>
    <w:r w:rsidR="00E84438" w:rsidRPr="00AC572F">
      <w:rPr>
        <w:sz w:val="18"/>
        <w:szCs w:val="18"/>
        <w:rtl/>
      </w:rPr>
      <w:br/>
    </w:r>
    <w:r w:rsidR="007139D8" w:rsidRPr="00AC572F">
      <w:rPr>
        <w:sz w:val="18"/>
        <w:szCs w:val="18"/>
        <w:lang w:bidi="ar-EG"/>
      </w:rPr>
      <w:t xml:space="preserve">TSB Circular </w:t>
    </w:r>
    <w:r w:rsidR="001466CE" w:rsidRPr="00AC572F">
      <w:rPr>
        <w:sz w:val="18"/>
        <w:szCs w:val="18"/>
        <w:lang w:bidi="ar-EG"/>
      </w:rPr>
      <w:t>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CE"/>
    <w:rsid w:val="00002A63"/>
    <w:rsid w:val="0006468A"/>
    <w:rsid w:val="00090574"/>
    <w:rsid w:val="000C1C0E"/>
    <w:rsid w:val="000C548A"/>
    <w:rsid w:val="000E327F"/>
    <w:rsid w:val="001466CE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C57EB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A5AEF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C572F"/>
    <w:rsid w:val="00AF6B5C"/>
    <w:rsid w:val="00B03099"/>
    <w:rsid w:val="00B05BC8"/>
    <w:rsid w:val="00B361E5"/>
    <w:rsid w:val="00B64B47"/>
    <w:rsid w:val="00B916A7"/>
    <w:rsid w:val="00BB0F08"/>
    <w:rsid w:val="00BF341A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BBBE8"/>
  <w15:chartTrackingRefBased/>
  <w15:docId w15:val="{11641AF9-FCAD-4B8E-89CF-438C721E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head0">
    <w:name w:val="Table_head"/>
    <w:basedOn w:val="Normal"/>
    <w:rsid w:val="001466CE"/>
    <w:pPr>
      <w:spacing w:before="24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yworkspace/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hyperlink" Target="https://www.itu.int/itu-t/recommendati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yworkspa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104/en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ITU-T/workprog/wp_item.aspx?isn=21727" TargetMode="External"/><Relationship Id="rId20" Type="http://schemas.openxmlformats.org/officeDocument/2006/relationships/hyperlink" Target="https://www.itu.int/myworkspa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4/en" TargetMode="External"/><Relationship Id="rId24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yworkspace/" TargetMode="External"/><Relationship Id="rId23" Type="http://schemas.openxmlformats.org/officeDocument/2006/relationships/hyperlink" Target="https://www.itu.int/myworkspace/t-wp/item?isn=2168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yworkspace/t-wp/item?isn=21686" TargetMode="External"/><Relationship Id="rId19" Type="http://schemas.openxmlformats.org/officeDocument/2006/relationships/hyperlink" Target="https://www.itu.int/myworkspa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myworkspace/" TargetMode="External"/><Relationship Id="rId22" Type="http://schemas.openxmlformats.org/officeDocument/2006/relationships/hyperlink" Target="https://www.itu.int/myworkspace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atelb\ITU\Riz,%20Imad%20-%20Arabic%20Pool%20Drive\Templates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28</TotalTime>
  <Pages>2</Pages>
  <Words>1698</Words>
  <Characters>2600</Characters>
  <Application>Microsoft Office Word</Application>
  <DocSecurity>0</DocSecurity>
  <Lines>236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Maguire, Mairéad</cp:lastModifiedBy>
  <cp:revision>2</cp:revision>
  <dcterms:created xsi:type="dcterms:W3CDTF">2026-06-23T14:50:00Z</dcterms:created>
  <dcterms:modified xsi:type="dcterms:W3CDTF">2026-07-03T13:15:00Z</dcterms:modified>
</cp:coreProperties>
</file>