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343"/>
        <w:gridCol w:w="5107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B60868" w14:paraId="18B25741" w14:textId="77777777" w:rsidTr="00307FB4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399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051" w:type="dxa"/>
          </w:tcPr>
          <w:p w14:paraId="0DC34ECA" w14:textId="62979C84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E051CD">
              <w:t>27 mai 2026</w:t>
            </w:r>
            <w:r w:rsidR="00673E9F">
              <w:t xml:space="preserve"> </w:t>
            </w:r>
          </w:p>
        </w:tc>
      </w:tr>
      <w:tr w:rsidR="00E051CD" w:rsidRPr="00B60868" w14:paraId="16CDDFEF" w14:textId="77777777" w:rsidTr="00307FB4">
        <w:trPr>
          <w:cantSplit/>
          <w:trHeight w:val="340"/>
        </w:trPr>
        <w:tc>
          <w:tcPr>
            <w:tcW w:w="0" w:type="auto"/>
          </w:tcPr>
          <w:p w14:paraId="3EFF375D" w14:textId="58556577" w:rsidR="00E051CD" w:rsidRPr="00B60868" w:rsidRDefault="00E051CD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Réf.:</w:t>
            </w:r>
          </w:p>
        </w:tc>
        <w:tc>
          <w:tcPr>
            <w:tcW w:w="3399" w:type="dxa"/>
          </w:tcPr>
          <w:p w14:paraId="5FFBBC9B" w14:textId="2625C50B" w:rsidR="00E051CD" w:rsidRPr="00B60868" w:rsidRDefault="00E051CD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>
              <w:rPr>
                <w:b/>
              </w:rPr>
              <w:t>139</w:t>
            </w:r>
          </w:p>
          <w:p w14:paraId="577F6DA2" w14:textId="6C1C0176" w:rsidR="00E051CD" w:rsidRPr="00B60868" w:rsidRDefault="00E051CD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CE 20/CB</w:t>
            </w:r>
          </w:p>
        </w:tc>
        <w:tc>
          <w:tcPr>
            <w:tcW w:w="5051" w:type="dxa"/>
            <w:vMerge w:val="restart"/>
          </w:tcPr>
          <w:p w14:paraId="35271D8E" w14:textId="58F9C3E9" w:rsidR="00E051CD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Administrations des États Membres de l'Union;</w:t>
            </w:r>
          </w:p>
          <w:p w14:paraId="52A53E92" w14:textId="071DAFD0" w:rsidR="00E051CD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r>
              <w:t>–</w:t>
            </w:r>
            <w:r>
              <w:tab/>
              <w:t>À l'État de Palestine (Rés. 99 (Dubaï, 2018))</w:t>
            </w:r>
          </w:p>
          <w:p w14:paraId="3F5EEFB7" w14:textId="794AC832" w:rsidR="00E051CD" w:rsidRPr="00E051CD" w:rsidRDefault="00E051CD" w:rsidP="00E051CD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B60868">
              <w:rPr>
                <w:b/>
                <w:bCs/>
              </w:rPr>
              <w:t>Copie:</w:t>
            </w:r>
          </w:p>
          <w:p w14:paraId="38A5A6AE" w14:textId="0A9FD1D2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Membres du Secteur de l'UIT-T;</w:t>
            </w:r>
          </w:p>
          <w:p w14:paraId="45F82FBC" w14:textId="7DADE392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Associés de l'UIT-T;</w:t>
            </w:r>
          </w:p>
          <w:p w14:paraId="2905DDDA" w14:textId="02B79F5A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>Aux é</w:t>
            </w:r>
            <w:r w:rsidRPr="00B60868">
              <w:t>tablissements universitaires participant aux travaux de l'UIT</w:t>
            </w:r>
          </w:p>
          <w:p w14:paraId="27BD3097" w14:textId="4E7FD1DA" w:rsidR="00E051CD" w:rsidRPr="00B60868" w:rsidRDefault="00E051CD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Aux Président et Vice-Présidents de Commissions d'études</w:t>
            </w:r>
            <w:r>
              <w:t xml:space="preserve"> 20 de l'UIT-T</w:t>
            </w:r>
            <w:r w:rsidRPr="00B60868">
              <w:t>;</w:t>
            </w:r>
          </w:p>
          <w:p w14:paraId="1FFDEA2C" w14:textId="77777777" w:rsidR="00E051CD" w:rsidRPr="00B60868" w:rsidRDefault="00E051CD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 développement des télécommunications;</w:t>
            </w:r>
          </w:p>
          <w:p w14:paraId="461460AE" w14:textId="6B0D613D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</w:tc>
      </w:tr>
      <w:tr w:rsidR="00E051CD" w:rsidRPr="00B60868" w14:paraId="724FD23E" w14:textId="77777777" w:rsidTr="00307FB4">
        <w:trPr>
          <w:cantSplit/>
        </w:trPr>
        <w:tc>
          <w:tcPr>
            <w:tcW w:w="0" w:type="auto"/>
          </w:tcPr>
          <w:p w14:paraId="73149CCD" w14:textId="77777777" w:rsidR="00E051CD" w:rsidRPr="00B60868" w:rsidRDefault="00E051CD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Tél.:</w:t>
            </w:r>
          </w:p>
        </w:tc>
        <w:tc>
          <w:tcPr>
            <w:tcW w:w="3399" w:type="dxa"/>
          </w:tcPr>
          <w:p w14:paraId="78D06186" w14:textId="2318E767" w:rsidR="00E051CD" w:rsidRPr="00B60868" w:rsidRDefault="00E051CD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+41 22 730 6</w:t>
            </w:r>
            <w:r>
              <w:t>3</w:t>
            </w:r>
            <w:r w:rsidRPr="00B60868">
              <w:t>0</w:t>
            </w:r>
            <w:r>
              <w:t>1</w:t>
            </w:r>
          </w:p>
        </w:tc>
        <w:tc>
          <w:tcPr>
            <w:tcW w:w="5051" w:type="dxa"/>
            <w:vMerge/>
          </w:tcPr>
          <w:p w14:paraId="6D3A5806" w14:textId="317322AC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E051CD" w:rsidRPr="00B60868" w14:paraId="030F9AE5" w14:textId="77777777" w:rsidTr="00214142">
        <w:trPr>
          <w:cantSplit/>
          <w:trHeight w:val="249"/>
        </w:trPr>
        <w:tc>
          <w:tcPr>
            <w:tcW w:w="0" w:type="auto"/>
          </w:tcPr>
          <w:p w14:paraId="7B417C4C" w14:textId="77777777" w:rsidR="00E051CD" w:rsidRPr="00B60868" w:rsidRDefault="00E051CD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Télécopie:</w:t>
            </w:r>
          </w:p>
        </w:tc>
        <w:tc>
          <w:tcPr>
            <w:tcW w:w="3399" w:type="dxa"/>
          </w:tcPr>
          <w:p w14:paraId="1A4A5F7B" w14:textId="77777777" w:rsidR="00E051CD" w:rsidRPr="00B60868" w:rsidRDefault="00E051CD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+41 22 730 5853</w:t>
            </w:r>
          </w:p>
        </w:tc>
        <w:tc>
          <w:tcPr>
            <w:tcW w:w="5051" w:type="dxa"/>
            <w:vMerge/>
          </w:tcPr>
          <w:p w14:paraId="323DAC81" w14:textId="67966E86" w:rsidR="00E051CD" w:rsidRPr="00B60868" w:rsidRDefault="00E051CD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E051CD" w:rsidRPr="00B60868" w14:paraId="640FB6B9" w14:textId="77777777" w:rsidTr="00307FB4">
        <w:trPr>
          <w:cantSplit/>
        </w:trPr>
        <w:tc>
          <w:tcPr>
            <w:tcW w:w="0" w:type="auto"/>
          </w:tcPr>
          <w:p w14:paraId="15527369" w14:textId="0865F49A" w:rsidR="00E051CD" w:rsidRPr="00B60868" w:rsidRDefault="00E051CD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Courriel:</w:t>
            </w:r>
          </w:p>
        </w:tc>
        <w:tc>
          <w:tcPr>
            <w:tcW w:w="3399" w:type="dxa"/>
          </w:tcPr>
          <w:p w14:paraId="172249CE" w14:textId="0E1BE10F" w:rsidR="00E051CD" w:rsidRPr="00B60868" w:rsidRDefault="00E051CD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>
                <w:rPr>
                  <w:rStyle w:val="Hyperlink"/>
                </w:rPr>
                <w:t>tsbsg20@itu.int</w:t>
              </w:r>
            </w:hyperlink>
          </w:p>
        </w:tc>
        <w:tc>
          <w:tcPr>
            <w:tcW w:w="5051" w:type="dxa"/>
            <w:vMerge/>
          </w:tcPr>
          <w:p w14:paraId="19762254" w14:textId="24567FD2" w:rsidR="00E051CD" w:rsidRPr="00B60868" w:rsidRDefault="00E051CD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</w:p>
        </w:tc>
      </w:tr>
      <w:tr w:rsidR="00517A0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B6086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B6086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70D60F6C" w:rsidR="00517A03" w:rsidRPr="00B60868" w:rsidRDefault="00E051CD" w:rsidP="0048088B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E051CD">
              <w:rPr>
                <w:b/>
                <w:bCs/>
                <w:szCs w:val="22"/>
              </w:rPr>
              <w:t>Statut des Recommandations UIT-T Y.4813 (anciennement Y.iepi-dm-sa), UIT</w:t>
            </w:r>
            <w:r>
              <w:rPr>
                <w:b/>
                <w:bCs/>
                <w:szCs w:val="22"/>
              </w:rPr>
              <w:noBreakHyphen/>
            </w:r>
            <w:r w:rsidRPr="00E051CD">
              <w:rPr>
                <w:b/>
                <w:bCs/>
                <w:szCs w:val="22"/>
              </w:rPr>
              <w:t>T</w:t>
            </w:r>
            <w:r>
              <w:rPr>
                <w:b/>
                <w:bCs/>
                <w:szCs w:val="22"/>
              </w:rPr>
              <w:t> </w:t>
            </w:r>
            <w:r w:rsidRPr="00E051CD">
              <w:rPr>
                <w:b/>
                <w:bCs/>
                <w:szCs w:val="22"/>
              </w:rPr>
              <w:t>Y.4241 (anciennement Y.dt-SComCam), UIT-T Y.4242 (anciennement Y.energy</w:t>
            </w:r>
            <w:r>
              <w:rPr>
                <w:b/>
                <w:bCs/>
                <w:szCs w:val="22"/>
              </w:rPr>
              <w:noBreakHyphen/>
            </w:r>
            <w:r w:rsidRPr="00E051CD">
              <w:rPr>
                <w:b/>
                <w:bCs/>
                <w:szCs w:val="22"/>
              </w:rPr>
              <w:t>storage), UIT-T Y.4243 (anciennement Y.IoT-smartschool), UIT</w:t>
            </w:r>
            <w:r>
              <w:rPr>
                <w:b/>
                <w:bCs/>
                <w:szCs w:val="22"/>
              </w:rPr>
              <w:noBreakHyphen/>
            </w:r>
            <w:r w:rsidRPr="00E051CD">
              <w:rPr>
                <w:b/>
                <w:bCs/>
                <w:szCs w:val="22"/>
              </w:rPr>
              <w:t>T</w:t>
            </w:r>
            <w:r>
              <w:rPr>
                <w:b/>
                <w:bCs/>
                <w:szCs w:val="22"/>
              </w:rPr>
              <w:t> </w:t>
            </w:r>
            <w:r w:rsidRPr="00E051CD">
              <w:rPr>
                <w:b/>
                <w:bCs/>
                <w:szCs w:val="22"/>
              </w:rPr>
              <w:t>Y.4244 (anciennement Y.EPWS-fc), UIT-T Y.4420, UIT-T Y.4512 (anciennement Y.SC-DESMS), UIT</w:t>
            </w:r>
            <w:r>
              <w:rPr>
                <w:b/>
                <w:bCs/>
                <w:szCs w:val="22"/>
              </w:rPr>
              <w:noBreakHyphen/>
            </w:r>
            <w:r w:rsidRPr="00E051CD">
              <w:rPr>
                <w:b/>
                <w:bCs/>
                <w:szCs w:val="22"/>
              </w:rPr>
              <w:t>T</w:t>
            </w:r>
            <w:r>
              <w:rPr>
                <w:b/>
                <w:bCs/>
                <w:szCs w:val="22"/>
              </w:rPr>
              <w:t> </w:t>
            </w:r>
            <w:r w:rsidRPr="00E051CD">
              <w:rPr>
                <w:b/>
                <w:bCs/>
                <w:szCs w:val="22"/>
              </w:rPr>
              <w:t>Y.4614 (anciennement Y.CL-EDM), UIT-T Y.4815 (anciennement Y.uas-dc-fr), UIT</w:t>
            </w:r>
            <w:r>
              <w:rPr>
                <w:b/>
                <w:bCs/>
                <w:szCs w:val="22"/>
              </w:rPr>
              <w:noBreakHyphen/>
            </w:r>
            <w:r w:rsidRPr="00E051CD">
              <w:rPr>
                <w:b/>
                <w:bCs/>
                <w:szCs w:val="22"/>
              </w:rPr>
              <w:t>T</w:t>
            </w:r>
            <w:r>
              <w:rPr>
                <w:b/>
                <w:bCs/>
                <w:szCs w:val="22"/>
              </w:rPr>
              <w:t> </w:t>
            </w:r>
            <w:r w:rsidRPr="00E051CD">
              <w:rPr>
                <w:b/>
                <w:bCs/>
                <w:szCs w:val="22"/>
              </w:rPr>
              <w:t>Y.4816 (anciennement Y.bsis-sec) et UIT-T Y.4912 (anciennement Y.SNPG-ref) après la réunion de la CE 20 de l'UIT-T (Genève, 12-21 mai 2026)</w:t>
            </w:r>
          </w:p>
        </w:tc>
      </w:tr>
    </w:tbl>
    <w:p w14:paraId="2D1EC328" w14:textId="77777777" w:rsidR="00517A03" w:rsidRPr="00B60868" w:rsidRDefault="00517A03" w:rsidP="0048088B">
      <w:pPr>
        <w:spacing w:before="360"/>
      </w:pPr>
      <w:bookmarkStart w:id="1" w:name="StartTyping_F"/>
      <w:bookmarkEnd w:id="1"/>
      <w:r w:rsidRPr="00B60868">
        <w:t>Madame, Monsieur,</w:t>
      </w:r>
    </w:p>
    <w:p w14:paraId="46F2C3C2" w14:textId="1441ECDC" w:rsidR="00307FB4" w:rsidRDefault="00E051CD" w:rsidP="00E051CD">
      <w:pPr>
        <w:spacing w:after="120"/>
        <w:rPr>
          <w:bCs/>
        </w:rPr>
      </w:pPr>
      <w:r w:rsidRPr="00E051CD">
        <w:rPr>
          <w:bCs/>
        </w:rPr>
        <w:t>1</w:t>
      </w:r>
      <w:r w:rsidRPr="00E051CD">
        <w:rPr>
          <w:bCs/>
        </w:rPr>
        <w:tab/>
        <w:t xml:space="preserve">À la suite de la </w:t>
      </w:r>
      <w:hyperlink r:id="rId10" w:history="1">
        <w:r w:rsidRPr="00E051CD">
          <w:rPr>
            <w:rStyle w:val="Hyperlink"/>
            <w:bCs/>
          </w:rPr>
          <w:t>Circulaire TSB 39</w:t>
        </w:r>
      </w:hyperlink>
      <w:r w:rsidRPr="00E051CD">
        <w:rPr>
          <w:bCs/>
        </w:rPr>
        <w:t xml:space="preserve"> du 14 avril 2025 et de la </w:t>
      </w:r>
      <w:hyperlink r:id="rId11" w:history="1">
        <w:r w:rsidRPr="00E051CD">
          <w:rPr>
            <w:rStyle w:val="Hyperlink"/>
            <w:bCs/>
          </w:rPr>
          <w:t>Circulaire TSB 106</w:t>
        </w:r>
      </w:hyperlink>
      <w:r w:rsidRPr="00E051CD">
        <w:rPr>
          <w:bCs/>
        </w:rPr>
        <w:t xml:space="preserve"> du</w:t>
      </w:r>
      <w:r>
        <w:rPr>
          <w:bCs/>
        </w:rPr>
        <w:t> </w:t>
      </w:r>
      <w:r w:rsidRPr="00E051CD">
        <w:rPr>
          <w:bCs/>
        </w:rPr>
        <w:t>13</w:t>
      </w:r>
      <w:r>
        <w:rPr>
          <w:bCs/>
        </w:rPr>
        <w:t> </w:t>
      </w:r>
      <w:r w:rsidRPr="00E051CD">
        <w:rPr>
          <w:bCs/>
        </w:rPr>
        <w:t>février</w:t>
      </w:r>
      <w:r>
        <w:rPr>
          <w:bCs/>
        </w:rPr>
        <w:t> </w:t>
      </w:r>
      <w:r w:rsidRPr="00E051CD">
        <w:rPr>
          <w:bCs/>
        </w:rPr>
        <w:t>2026, et conformément au § 9.5 de la Résolution 1 (Rév. Genève, 2022) de l'AMNT, j'ai l'honneur de vous informer que la Commission d'études 20 de l'UIT-T a pris les décisions suivantes, durant ses séances plénières tenues les 12 et 20 mai 2026 à Genève, concernant les projets de texte de l'UIT-T énumérés ci-après: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5245"/>
        <w:gridCol w:w="2206"/>
      </w:tblGrid>
      <w:tr w:rsidR="00E051CD" w:rsidRPr="00214142" w14:paraId="412F0EFC" w14:textId="77777777" w:rsidTr="00D241FC">
        <w:trPr>
          <w:tblHeader/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3B592C" w14:textId="77777777" w:rsidR="00E051CD" w:rsidRPr="00214142" w:rsidRDefault="00E051CD" w:rsidP="00D241FC">
            <w:pPr>
              <w:pStyle w:val="TableHead"/>
            </w:pPr>
            <w:r w:rsidRPr="00214142">
              <w:t>Numéro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D8D655" w14:textId="77777777" w:rsidR="00E051CD" w:rsidRPr="00214142" w:rsidRDefault="00E051CD" w:rsidP="00D241FC">
            <w:pPr>
              <w:pStyle w:val="TableHead"/>
            </w:pPr>
            <w:r w:rsidRPr="00214142">
              <w:t>Titre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2A3638E" w14:textId="77777777" w:rsidR="00E051CD" w:rsidRPr="00214142" w:rsidRDefault="00E051CD" w:rsidP="00D241FC">
            <w:pPr>
              <w:pStyle w:val="TableHead"/>
            </w:pPr>
            <w:r w:rsidRPr="00214142">
              <w:t>Décision</w:t>
            </w:r>
          </w:p>
        </w:tc>
      </w:tr>
      <w:tr w:rsidR="00E051CD" w:rsidRPr="00214142" w14:paraId="03911A32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55EAF91" w14:textId="77777777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Y.4813 (anciennement Y.iepi-dm-sa)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C82153B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Exigences en matière d'évaluation de la sécurité de la gestion des données dans les infrastructures d'énergie électrique basées sur l'Internet des objets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575642F" w14:textId="453379D6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5C73DE51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0A6AFB3" w14:textId="3F3863E2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bookmarkStart w:id="2" w:name="_Hlk211598046"/>
            <w:r w:rsidRPr="00214142">
              <w:rPr>
                <w:b/>
              </w:rPr>
              <w:t>UIT-T Y.4241 (anciennement Y.dt</w:t>
            </w:r>
            <w:r w:rsidR="00214142">
              <w:rPr>
                <w:b/>
              </w:rPr>
              <w:noBreakHyphen/>
            </w:r>
            <w:r w:rsidRPr="00214142">
              <w:rPr>
                <w:b/>
              </w:rPr>
              <w:t>SComCam)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5AF676E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Exigences communes et cadre des capacités des jumeaux numériques pour les complexes et les campus intelligents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51FB51C" w14:textId="62D5ED04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1DF5D9DE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24C009" w14:textId="77777777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Y.4242 (anciennement Y.energy-storage)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0E807B6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Exigences et cadre des capacités du service de stockage d'énergie pour une communauté résidentielle dans une ville intelligente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07CC748" w14:textId="71930C58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037AA7B3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BB3E2C6" w14:textId="36CF373C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lastRenderedPageBreak/>
              <w:t>UIT-T Y.4243 (anciennement Y.IoT</w:t>
            </w:r>
            <w:r w:rsidR="00D241FC">
              <w:rPr>
                <w:b/>
              </w:rPr>
              <w:noBreakHyphen/>
            </w:r>
            <w:r w:rsidRPr="00214142">
              <w:rPr>
                <w:b/>
              </w:rPr>
              <w:t>smartschool)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F0FD0EC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Exigences relatives à la gestion des écoles intelligentes fondée sur l'Internet des objets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CCEC579" w14:textId="314D8DF8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31155AB7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380315B" w14:textId="77777777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Y.4244 (anciennement Y.EPWS-fc)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7F233CB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Capacités fonctionnelles nécessaires à la prise en charge des services fondés sur l'Internet des objets pour l'exploitation de sites d'intervention électrique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1B9D460" w14:textId="074C42A2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561BB224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B45F147" w14:textId="77777777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Y.4420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545FF9E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Cadre pour la surveillance et la gestion des ascenseurs basées sur l'Internet des objets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96C2D89" w14:textId="13A4E4AC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698D5B5C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F8DF2F4" w14:textId="0993BD8A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Y.4512 (anciennement Y.SC</w:t>
            </w:r>
            <w:r w:rsidR="00214142">
              <w:rPr>
                <w:b/>
              </w:rPr>
              <w:noBreakHyphen/>
            </w:r>
            <w:r w:rsidRPr="00214142">
              <w:rPr>
                <w:b/>
              </w:rPr>
              <w:t>DESMS)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AE7FB8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Architecture fonctionnelle applicable à un système de gestion du stockage décentralisé de l'énergie fondé sur l'Internet des objets dans les villes intelligentes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86659BC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</w:p>
        </w:tc>
      </w:tr>
      <w:tr w:rsidR="00E051CD" w:rsidRPr="00214142" w14:paraId="7E295160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EF6BEFF" w14:textId="0646C7EF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Y.4614 (anciennement Y.CL</w:t>
            </w:r>
            <w:r w:rsidR="00214142">
              <w:rPr>
                <w:b/>
              </w:rPr>
              <w:noBreakHyphen/>
            </w:r>
            <w:r w:rsidRPr="00214142">
              <w:rPr>
                <w:b/>
              </w:rPr>
              <w:t>EDM)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B0A3008" w14:textId="1B96996E" w:rsidR="00E051CD" w:rsidRPr="00214142" w:rsidRDefault="00E051CD" w:rsidP="00D241FC">
            <w:pPr>
              <w:pStyle w:val="TableText"/>
              <w:jc w:val="center"/>
            </w:pPr>
            <w:r w:rsidRPr="00214142">
              <w:t>Modèle de données énergétiques pour la plate</w:t>
            </w:r>
            <w:r w:rsidR="00214142" w:rsidRPr="00214142">
              <w:noBreakHyphen/>
            </w:r>
            <w:r w:rsidRPr="00214142">
              <w:t>forme de gestion de l'énergie en milieu urbain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0E14BE5" w14:textId="37E54738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385EB8B9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223D121" w14:textId="3B547F85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Y.4815 (anciennement Y.uas</w:t>
            </w:r>
            <w:r w:rsidR="00D241FC">
              <w:rPr>
                <w:b/>
              </w:rPr>
              <w:noBreakHyphen/>
            </w:r>
            <w:r w:rsidRPr="00214142">
              <w:rPr>
                <w:b/>
              </w:rPr>
              <w:t>dc-fr)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1A9F35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Cadre pour un service d'authentification unifié pour la collaboration des données dans l'infrastructure d'énergie électrique fondée sur l'Internet des objets (IoT)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F5A5AEB" w14:textId="71E9F3AD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2C8ACE73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4E16966" w14:textId="0A8CDD4E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Y.4816 (anciennement Y.bsis</w:t>
            </w:r>
            <w:r w:rsidR="00D241FC">
              <w:rPr>
                <w:b/>
              </w:rPr>
              <w:noBreakHyphen/>
            </w:r>
            <w:r w:rsidRPr="00214142">
              <w:rPr>
                <w:b/>
              </w:rPr>
              <w:t>sec)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6953FE0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Exigences et capacités en matière de sécurité des télécommunications des services d'inspection des stations de base utilisant des aéronefs sans pilote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6C05BB3" w14:textId="373626DD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  <w:tr w:rsidR="00E051CD" w:rsidRPr="00214142" w14:paraId="75BEA473" w14:textId="77777777" w:rsidTr="00D241FC">
        <w:trPr>
          <w:jc w:val="center"/>
        </w:trPr>
        <w:tc>
          <w:tcPr>
            <w:tcW w:w="1163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1EE53F" w14:textId="77777777" w:rsidR="00E051CD" w:rsidRPr="00214142" w:rsidRDefault="00E051CD" w:rsidP="00D241FC">
            <w:pPr>
              <w:pStyle w:val="TableText"/>
              <w:jc w:val="center"/>
              <w:rPr>
                <w:b/>
              </w:rPr>
            </w:pPr>
            <w:r w:rsidRPr="00214142">
              <w:rPr>
                <w:b/>
              </w:rPr>
              <w:t>UIT-T Y.4912 (anciennement Y.SNPG-ref)</w:t>
            </w:r>
          </w:p>
        </w:tc>
        <w:tc>
          <w:tcPr>
            <w:tcW w:w="2701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04D8911" w14:textId="77777777" w:rsidR="00E051CD" w:rsidRPr="00214142" w:rsidRDefault="00E051CD" w:rsidP="00D241FC">
            <w:pPr>
              <w:pStyle w:val="TableText"/>
              <w:jc w:val="center"/>
            </w:pPr>
            <w:r w:rsidRPr="00214142">
              <w:t>Cadre d'évaluation de la fiabilité des réseaux de capteurs dans le réseau électrique</w:t>
            </w:r>
          </w:p>
        </w:tc>
        <w:tc>
          <w:tcPr>
            <w:tcW w:w="1136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90093A" w14:textId="6F6CAE0E" w:rsidR="00E051CD" w:rsidRPr="00214142" w:rsidRDefault="00E051CD" w:rsidP="00D241FC">
            <w:pPr>
              <w:pStyle w:val="TableText"/>
              <w:jc w:val="center"/>
            </w:pPr>
            <w:r w:rsidRPr="00214142">
              <w:t>APPROUVÉ</w:t>
            </w:r>
            <w:r w:rsidR="00214142" w:rsidRPr="00214142">
              <w:t>E</w:t>
            </w:r>
          </w:p>
        </w:tc>
      </w:tr>
    </w:tbl>
    <w:bookmarkEnd w:id="2"/>
    <w:p w14:paraId="6168FBC8" w14:textId="181F204A" w:rsidR="00214142" w:rsidRPr="00214142" w:rsidRDefault="00214142" w:rsidP="00214142">
      <w:pPr>
        <w:rPr>
          <w:bCs/>
        </w:rPr>
      </w:pPr>
      <w:r w:rsidRPr="00214142">
        <w:rPr>
          <w:bCs/>
        </w:rPr>
        <w:t>2</w:t>
      </w:r>
      <w:r w:rsidRPr="00214142">
        <w:rPr>
          <w:bCs/>
        </w:rPr>
        <w:tab/>
        <w:t xml:space="preserve">Les renseignements existants sur les brevets sont accessibles en ligne sur le </w:t>
      </w:r>
      <w:hyperlink r:id="rId12" w:history="1">
        <w:r w:rsidRPr="00214142">
          <w:rPr>
            <w:rStyle w:val="Hyperlink"/>
            <w:bCs/>
          </w:rPr>
          <w:t>site web de l'UIT-T</w:t>
        </w:r>
      </w:hyperlink>
      <w:r w:rsidRPr="00214142">
        <w:rPr>
          <w:bCs/>
        </w:rPr>
        <w:t>.</w:t>
      </w:r>
    </w:p>
    <w:p w14:paraId="139006E5" w14:textId="09CFB323" w:rsidR="00214142" w:rsidRPr="00214142" w:rsidRDefault="00214142" w:rsidP="00214142">
      <w:pPr>
        <w:rPr>
          <w:bCs/>
        </w:rPr>
      </w:pPr>
      <w:r w:rsidRPr="00214142">
        <w:rPr>
          <w:bCs/>
        </w:rPr>
        <w:t>3</w:t>
      </w:r>
      <w:r w:rsidRPr="00214142">
        <w:rPr>
          <w:bCs/>
        </w:rPr>
        <w:tab/>
        <w:t xml:space="preserve">La version prépubliée de ces Recommandations sera disponible sur le site web de l'UIT-T à l'adresse </w:t>
      </w:r>
      <w:hyperlink r:id="rId13" w:history="1">
        <w:r w:rsidRPr="00214142">
          <w:rPr>
            <w:rStyle w:val="Hyperlink"/>
            <w:bCs/>
          </w:rPr>
          <w:t>https://www.itu.int/itu-t/recommendations/</w:t>
        </w:r>
      </w:hyperlink>
      <w:r w:rsidRPr="00214142">
        <w:rPr>
          <w:bCs/>
        </w:rPr>
        <w:t>.</w:t>
      </w:r>
    </w:p>
    <w:p w14:paraId="48ADC366" w14:textId="17652D80" w:rsidR="00E051CD" w:rsidRPr="00B60868" w:rsidRDefault="00214142" w:rsidP="00214142">
      <w:pPr>
        <w:rPr>
          <w:bCs/>
        </w:rPr>
      </w:pPr>
      <w:r w:rsidRPr="00214142">
        <w:rPr>
          <w:bCs/>
        </w:rPr>
        <w:t>4</w:t>
      </w:r>
      <w:r w:rsidRPr="00214142">
        <w:rPr>
          <w:bCs/>
        </w:rPr>
        <w:tab/>
        <w:t>L'Union internationale des télécommunications (UIT) publiera dès que possible le texte des Recommandations approuvées.</w:t>
      </w:r>
    </w:p>
    <w:p w14:paraId="6A4CD67F" w14:textId="77777777" w:rsidR="00307FB4" w:rsidRPr="00B60868" w:rsidRDefault="00307FB4" w:rsidP="00214142">
      <w:pPr>
        <w:keepNext/>
        <w:rPr>
          <w:bCs/>
        </w:rPr>
      </w:pPr>
      <w:r w:rsidRPr="00B60868">
        <w:rPr>
          <w:bCs/>
        </w:rPr>
        <w:t>Veuillez agréer, Madame, Monsieur, l'assurance de ma considération distinguée.</w:t>
      </w:r>
    </w:p>
    <w:p w14:paraId="3A296738" w14:textId="5A5DBCDD" w:rsidR="00B60868" w:rsidRPr="00B60868" w:rsidRDefault="00B60868" w:rsidP="00B60868">
      <w:pPr>
        <w:spacing w:before="480" w:after="480"/>
        <w:rPr>
          <w:bCs/>
        </w:rPr>
      </w:pPr>
      <w:r w:rsidRPr="00B60868">
        <w:rPr>
          <w:bCs/>
        </w:rPr>
        <w:t>(</w:t>
      </w:r>
      <w:r w:rsidRPr="00B60868">
        <w:rPr>
          <w:bCs/>
          <w:i/>
        </w:rPr>
        <w:t>signé</w:t>
      </w:r>
      <w:r w:rsidRPr="00B60868">
        <w:rPr>
          <w:bCs/>
        </w:rPr>
        <w:t>)</w:t>
      </w:r>
    </w:p>
    <w:p w14:paraId="3B647157" w14:textId="0D144095" w:rsidR="00517A03" w:rsidRPr="00B60868" w:rsidRDefault="00307FB4" w:rsidP="00214142">
      <w:pPr>
        <w:rPr>
          <w:bCs/>
        </w:rPr>
      </w:pPr>
      <w:r w:rsidRPr="00B60868">
        <w:rPr>
          <w:bCs/>
        </w:rPr>
        <w:t>Seizo Onoe</w:t>
      </w:r>
      <w:r w:rsidR="00B60868" w:rsidRPr="00B60868">
        <w:rPr>
          <w:bCs/>
        </w:rPr>
        <w:br/>
      </w:r>
      <w:r w:rsidRPr="00B60868">
        <w:rPr>
          <w:bCs/>
        </w:rPr>
        <w:t>Directeur du Bureau de la normalisation</w:t>
      </w:r>
      <w:r w:rsidR="00B60868" w:rsidRPr="00B60868">
        <w:rPr>
          <w:bCs/>
        </w:rPr>
        <w:br/>
      </w:r>
      <w:r w:rsidRPr="00B60868">
        <w:rPr>
          <w:bCs/>
        </w:rPr>
        <w:t>des télécommunications</w:t>
      </w:r>
    </w:p>
    <w:sectPr w:rsidR="00517A03" w:rsidRPr="00B60868" w:rsidSect="00A15179">
      <w:headerReference w:type="default" r:id="rId14"/>
      <w:footerReference w:type="first" r:id="rId15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88E5" w14:textId="77777777" w:rsidR="00BB1228" w:rsidRDefault="00BB1228">
      <w:r>
        <w:separator/>
      </w:r>
    </w:p>
  </w:endnote>
  <w:endnote w:type="continuationSeparator" w:id="0">
    <w:p w14:paraId="1FFACDDE" w14:textId="77777777" w:rsidR="00BB1228" w:rsidRDefault="00BB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Fax: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BBE3" w14:textId="77777777" w:rsidR="00BB1228" w:rsidRDefault="00BB1228">
      <w:r>
        <w:t>____________________</w:t>
      </w:r>
    </w:p>
  </w:footnote>
  <w:footnote w:type="continuationSeparator" w:id="0">
    <w:p w14:paraId="271969F0" w14:textId="77777777" w:rsidR="00BB1228" w:rsidRDefault="00BB1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796EB1E7" w:rsidR="00697BC1" w:rsidRPr="00697BC1" w:rsidRDefault="00BB1228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E051CD">
      <w:rPr>
        <w:noProof/>
        <w:sz w:val="18"/>
        <w:szCs w:val="16"/>
      </w:rPr>
      <w:t>139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120867">
    <w:abstractNumId w:val="1"/>
  </w:num>
  <w:num w:numId="2" w16cid:durableId="2119984868">
    <w:abstractNumId w:val="3"/>
  </w:num>
  <w:num w:numId="3" w16cid:durableId="2075545744">
    <w:abstractNumId w:val="2"/>
  </w:num>
  <w:num w:numId="4" w16cid:durableId="187144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7472"/>
    <w:rsid w:val="00167F92"/>
    <w:rsid w:val="00173738"/>
    <w:rsid w:val="001B79A3"/>
    <w:rsid w:val="001F04A5"/>
    <w:rsid w:val="00214142"/>
    <w:rsid w:val="002152A3"/>
    <w:rsid w:val="0023667A"/>
    <w:rsid w:val="002937DB"/>
    <w:rsid w:val="002E395D"/>
    <w:rsid w:val="00307FB4"/>
    <w:rsid w:val="003131F0"/>
    <w:rsid w:val="00333A80"/>
    <w:rsid w:val="00341117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601682"/>
    <w:rsid w:val="00603470"/>
    <w:rsid w:val="00625E79"/>
    <w:rsid w:val="006333F7"/>
    <w:rsid w:val="006427A1"/>
    <w:rsid w:val="00644741"/>
    <w:rsid w:val="00673E9F"/>
    <w:rsid w:val="00697BC1"/>
    <w:rsid w:val="006A6FFE"/>
    <w:rsid w:val="006C5A91"/>
    <w:rsid w:val="006D3B53"/>
    <w:rsid w:val="006F52F7"/>
    <w:rsid w:val="00716BBC"/>
    <w:rsid w:val="007205D3"/>
    <w:rsid w:val="007321BC"/>
    <w:rsid w:val="00760063"/>
    <w:rsid w:val="00775E4B"/>
    <w:rsid w:val="0079553B"/>
    <w:rsid w:val="00795679"/>
    <w:rsid w:val="007A40FE"/>
    <w:rsid w:val="00810105"/>
    <w:rsid w:val="008157E0"/>
    <w:rsid w:val="00850477"/>
    <w:rsid w:val="00854E1D"/>
    <w:rsid w:val="00887FA6"/>
    <w:rsid w:val="008C4397"/>
    <w:rsid w:val="008C465A"/>
    <w:rsid w:val="008F2C9B"/>
    <w:rsid w:val="00923CD6"/>
    <w:rsid w:val="00935AA8"/>
    <w:rsid w:val="00971C9A"/>
    <w:rsid w:val="00976B70"/>
    <w:rsid w:val="009D51FA"/>
    <w:rsid w:val="009F1E23"/>
    <w:rsid w:val="00A15179"/>
    <w:rsid w:val="00A51537"/>
    <w:rsid w:val="00A5280F"/>
    <w:rsid w:val="00A5645A"/>
    <w:rsid w:val="00A60FC1"/>
    <w:rsid w:val="00A84835"/>
    <w:rsid w:val="00A97C37"/>
    <w:rsid w:val="00AA131B"/>
    <w:rsid w:val="00AB726D"/>
    <w:rsid w:val="00AC37B5"/>
    <w:rsid w:val="00AD752F"/>
    <w:rsid w:val="00AF08A4"/>
    <w:rsid w:val="00AF0D7D"/>
    <w:rsid w:val="00B27B41"/>
    <w:rsid w:val="00B42659"/>
    <w:rsid w:val="00B46F2D"/>
    <w:rsid w:val="00B60868"/>
    <w:rsid w:val="00B8573E"/>
    <w:rsid w:val="00BB1228"/>
    <w:rsid w:val="00BB24C0"/>
    <w:rsid w:val="00BD6ECF"/>
    <w:rsid w:val="00C26F2E"/>
    <w:rsid w:val="00C302E3"/>
    <w:rsid w:val="00C41B89"/>
    <w:rsid w:val="00C45376"/>
    <w:rsid w:val="00C9028F"/>
    <w:rsid w:val="00CA0416"/>
    <w:rsid w:val="00CB1125"/>
    <w:rsid w:val="00CB4E80"/>
    <w:rsid w:val="00CD042E"/>
    <w:rsid w:val="00CF2560"/>
    <w:rsid w:val="00CF5B46"/>
    <w:rsid w:val="00D241FC"/>
    <w:rsid w:val="00D46B68"/>
    <w:rsid w:val="00D542A5"/>
    <w:rsid w:val="00DC3D47"/>
    <w:rsid w:val="00DD77DA"/>
    <w:rsid w:val="00E051CD"/>
    <w:rsid w:val="00E06C61"/>
    <w:rsid w:val="00E13DB3"/>
    <w:rsid w:val="00E2408B"/>
    <w:rsid w:val="00E62CEA"/>
    <w:rsid w:val="00E72AE1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paragraph" w:customStyle="1" w:styleId="Tabletext0">
    <w:name w:val="Table_text"/>
    <w:basedOn w:val="Normal"/>
    <w:link w:val="TabletextChar"/>
    <w:qFormat/>
    <w:rsid w:val="00E051CD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rFonts w:ascii="Calibri" w:hAnsi="Calibri"/>
      <w:lang w:val="en-GB"/>
    </w:rPr>
  </w:style>
  <w:style w:type="character" w:customStyle="1" w:styleId="TabletextChar">
    <w:name w:val="Table_text Char"/>
    <w:link w:val="Tabletext0"/>
    <w:qFormat/>
    <w:locked/>
    <w:rsid w:val="00E051CD"/>
    <w:rPr>
      <w:rFonts w:ascii="Calibri" w:hAnsi="Calibr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itu-t/recommend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net4/ipr/search.aspx?sector=ITU&amp;class=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T25-TSB-CIR-0106/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md/T25-TSB-CIR-0039/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20@itu.in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4385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2</cp:revision>
  <cp:lastPrinted>2011-04-15T08:01:00Z</cp:lastPrinted>
  <dcterms:created xsi:type="dcterms:W3CDTF">2026-08-04T07:44:00Z</dcterms:created>
  <dcterms:modified xsi:type="dcterms:W3CDTF">2026-08-04T07:44:00Z</dcterms:modified>
</cp:coreProperties>
</file>