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C13AAA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29E48205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C13AAA">
              <w:rPr>
                <w:lang w:val="en-US"/>
              </w:rPr>
              <w:t xml:space="preserve">19 </w:t>
            </w:r>
            <w:r w:rsidR="00C13AAA">
              <w:rPr>
                <w:lang w:val="ru-RU"/>
              </w:rPr>
              <w:t>мая</w:t>
            </w:r>
            <w:r w:rsidR="00631067" w:rsidRPr="00F26A42">
              <w:rPr>
                <w:lang w:val="ru-RU"/>
              </w:rPr>
              <w:t xml:space="preserve"> </w:t>
            </w:r>
            <w:r w:rsidRPr="00F26A42">
              <w:rPr>
                <w:lang w:val="ru-RU"/>
              </w:rPr>
              <w:t>202</w:t>
            </w:r>
            <w:r w:rsidR="00C13AAA">
              <w:rPr>
                <w:lang w:val="ru-RU"/>
              </w:rPr>
              <w:t>6</w:t>
            </w:r>
            <w:r w:rsidRPr="00F26A42">
              <w:rPr>
                <w:lang w:val="ru-RU"/>
              </w:rPr>
              <w:t xml:space="preserve"> года</w:t>
            </w:r>
          </w:p>
        </w:tc>
      </w:tr>
      <w:tr w:rsidR="00B84746" w:rsidRPr="00C13AAA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7A22D575" w:rsidR="00B84746" w:rsidRPr="00F26A42" w:rsidRDefault="00B84746" w:rsidP="00B84746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C13AAA">
              <w:rPr>
                <w:b/>
                <w:bCs/>
                <w:szCs w:val="22"/>
                <w:lang w:val="ru-RU"/>
              </w:rPr>
              <w:t>137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="00C13AAA" w:rsidRPr="004828FE">
              <w:rPr>
                <w:bCs/>
                <w:color w:val="000000"/>
                <w:lang w:val="ru-RU"/>
              </w:rPr>
              <w:t>FG-EAI/SP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26A42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2579F966" w:rsidR="00B84746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319C9181" w14:textId="33AD8D8D" w:rsidR="00C13AAA" w:rsidRDefault="00C13AAA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color w:val="000000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4828FE">
              <w:rPr>
                <w:color w:val="000000"/>
                <w:lang w:val="ru-RU"/>
              </w:rPr>
              <w:t>Государству Палестина (Рез. 99 (Пересм. Дубай, 2018 г.));</w:t>
            </w:r>
          </w:p>
          <w:p w14:paraId="7F55829D" w14:textId="628012C1" w:rsidR="00C13AAA" w:rsidRPr="00F26A42" w:rsidRDefault="00C13AAA" w:rsidP="00C13AA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szCs w:val="22"/>
                <w:lang w:val="ru-RU"/>
              </w:rPr>
              <w:t>;</w:t>
            </w:r>
          </w:p>
          <w:p w14:paraId="0E80B374" w14:textId="77777777" w:rsidR="00C13AAA" w:rsidRPr="00F26A42" w:rsidRDefault="00C13AAA" w:rsidP="00C13AA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Ассоциированным членам МСЭ-Т</w:t>
            </w:r>
            <w:r>
              <w:rPr>
                <w:szCs w:val="22"/>
                <w:lang w:val="ru-RU"/>
              </w:rPr>
              <w:t>;</w:t>
            </w:r>
          </w:p>
          <w:p w14:paraId="7B86D991" w14:textId="7A712AB3" w:rsidR="00C13AAA" w:rsidRPr="00F26A42" w:rsidRDefault="00C13AAA" w:rsidP="00C13AA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F26A42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42C0D163" w14:textId="20E10325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="00C13AAA" w:rsidRPr="004828FE">
              <w:rPr>
                <w:color w:val="000000"/>
                <w:lang w:val="ru-RU"/>
              </w:rPr>
              <w:t>Председателям и заместителям председателей исследовательских комиссий МСЭ-Т</w:t>
            </w:r>
          </w:p>
          <w:p w14:paraId="7A2D983B" w14:textId="77777777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F26A42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F26A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="00832E53" w:rsidRPr="00832E53">
              <w:rPr>
                <w:szCs w:val="22"/>
                <w:lang w:val="ru-RU"/>
              </w:rPr>
              <w:t>.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199683E3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</w:t>
            </w:r>
            <w:r w:rsidR="00C13AAA">
              <w:rPr>
                <w:szCs w:val="22"/>
                <w:lang w:val="ru-RU"/>
              </w:rPr>
              <w:t>858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F26A42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F26A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7D06EC58" w:rsidR="00F5182A" w:rsidRPr="00F26A42" w:rsidRDefault="00C13AAA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4828FE">
                <w:rPr>
                  <w:rStyle w:val="Hyperlink"/>
                  <w:lang w:val="ru-RU"/>
                </w:rPr>
                <w:t>tsbfgeai@itu.int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C13AAA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006C10F1" w:rsidR="00F12D97" w:rsidRPr="00F26A42" w:rsidRDefault="00C13AAA" w:rsidP="00F12D97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4828FE">
              <w:rPr>
                <w:b/>
                <w:bCs/>
                <w:color w:val="000000"/>
                <w:lang w:val="ru-RU"/>
              </w:rPr>
              <w:t>Второе собрание Оперативной группы МСЭ-Т по воплощенному искусственному интеллекту для мультимедийных технологий (ОГ-EAI) (Женева, 11 июля 2026 г.)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01E5B814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1</w:t>
      </w:r>
      <w:r w:rsidRPr="004828FE">
        <w:rPr>
          <w:lang w:val="ru-RU"/>
        </w:rPr>
        <w:tab/>
        <w:t xml:space="preserve">Имею честь пригласить вас принять участие во втором собрании </w:t>
      </w:r>
      <w:r w:rsidRPr="004828FE">
        <w:rPr>
          <w:b/>
          <w:bCs/>
          <w:lang w:val="ru-RU"/>
        </w:rPr>
        <w:t>Оперативной группы МСЭ-Т по воплощенному искусственному интеллекту для мультимедийных технологий (</w:t>
      </w:r>
      <w:hyperlink r:id="rId13" w:history="1">
        <w:r w:rsidRPr="004828FE">
          <w:rPr>
            <w:rStyle w:val="Hyperlink"/>
            <w:b/>
            <w:bCs/>
            <w:lang w:val="ru-RU"/>
          </w:rPr>
          <w:t>ОГ-EAI</w:t>
        </w:r>
      </w:hyperlink>
      <w:r w:rsidRPr="004828FE">
        <w:rPr>
          <w:b/>
          <w:bCs/>
          <w:lang w:val="ru-RU"/>
        </w:rPr>
        <w:t>)</w:t>
      </w:r>
      <w:r w:rsidRPr="004828FE">
        <w:rPr>
          <w:lang w:val="ru-RU"/>
        </w:rPr>
        <w:t xml:space="preserve">, которое планируется провести в штаб-квартире МСЭ в Женеве, Швейцария, </w:t>
      </w:r>
      <w:r w:rsidRPr="004828FE">
        <w:rPr>
          <w:b/>
          <w:bCs/>
          <w:lang w:val="ru-RU"/>
        </w:rPr>
        <w:t>в субботу, 11 июля 2026 года</w:t>
      </w:r>
      <w:r w:rsidRPr="004828FE">
        <w:rPr>
          <w:lang w:val="ru-RU"/>
        </w:rPr>
        <w:t>; собрание будет проводиться в очном формате с возможностью дистанционного участия.</w:t>
      </w:r>
      <w:hyperlink r:id="rId14" w:history="1"/>
    </w:p>
    <w:p w14:paraId="64D39B13" w14:textId="699881A9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 xml:space="preserve">Данное собрание ОГ-EAI будет </w:t>
      </w:r>
      <w:r>
        <w:rPr>
          <w:lang w:val="ru-RU"/>
        </w:rPr>
        <w:t xml:space="preserve">проведено во время </w:t>
      </w:r>
      <w:r w:rsidRPr="004828FE">
        <w:rPr>
          <w:lang w:val="ru-RU"/>
        </w:rPr>
        <w:t>собрани</w:t>
      </w:r>
      <w:r>
        <w:rPr>
          <w:lang w:val="ru-RU"/>
        </w:rPr>
        <w:t>я</w:t>
      </w:r>
      <w:r w:rsidRPr="004828FE">
        <w:rPr>
          <w:lang w:val="ru-RU"/>
        </w:rPr>
        <w:t xml:space="preserve"> </w:t>
      </w:r>
      <w:hyperlink r:id="rId15" w:history="1">
        <w:r w:rsidRPr="004828FE">
          <w:rPr>
            <w:rStyle w:val="Hyperlink"/>
            <w:lang w:val="ru-RU"/>
          </w:rPr>
          <w:t>21-й Исследовательской комиссии МСЭ</w:t>
        </w:r>
        <w:r w:rsidR="0085360B">
          <w:rPr>
            <w:rStyle w:val="Hyperlink"/>
            <w:lang w:val="ru-RU"/>
          </w:rPr>
          <w:noBreakHyphen/>
        </w:r>
        <w:r w:rsidRPr="004828FE">
          <w:rPr>
            <w:rStyle w:val="Hyperlink"/>
            <w:lang w:val="ru-RU"/>
          </w:rPr>
          <w:t>Т</w:t>
        </w:r>
      </w:hyperlink>
      <w:r w:rsidRPr="004828FE">
        <w:rPr>
          <w:lang w:val="ru-RU"/>
        </w:rPr>
        <w:t xml:space="preserve"> (6−17 июля 2026 г., см. </w:t>
      </w:r>
      <w:hyperlink r:id="rId16" w:history="1">
        <w:r w:rsidRPr="004828FE">
          <w:rPr>
            <w:rStyle w:val="Hyperlink"/>
            <w:lang w:val="ru-RU"/>
          </w:rPr>
          <w:t>Коллективное письмо 6/21 БСЭ</w:t>
        </w:r>
      </w:hyperlink>
      <w:r w:rsidRPr="004828FE">
        <w:rPr>
          <w:lang w:val="ru-RU"/>
        </w:rPr>
        <w:t xml:space="preserve">) и непосредственно после </w:t>
      </w:r>
      <w:hyperlink r:id="rId17" w:history="1">
        <w:r w:rsidRPr="004828FE">
          <w:rPr>
            <w:rStyle w:val="Hyperlink"/>
            <w:lang w:val="ru-RU"/>
          </w:rPr>
          <w:t>Глобального саммита "ИИ во благо"</w:t>
        </w:r>
      </w:hyperlink>
      <w:r w:rsidRPr="004828FE">
        <w:rPr>
          <w:lang w:val="ru-RU"/>
        </w:rPr>
        <w:t xml:space="preserve">, </w:t>
      </w:r>
      <w:r>
        <w:rPr>
          <w:lang w:val="ru-RU"/>
        </w:rPr>
        <w:t xml:space="preserve">который пройдет </w:t>
      </w:r>
      <w:r w:rsidRPr="004828FE">
        <w:rPr>
          <w:lang w:val="ru-RU"/>
        </w:rPr>
        <w:t>с 7 по 10 июля 2026 года в Palexpo, Женева, Швейцария. В</w:t>
      </w:r>
      <w:r w:rsidR="0085360B">
        <w:rPr>
          <w:lang w:val="ru-RU"/>
        </w:rPr>
        <w:t> </w:t>
      </w:r>
      <w:r w:rsidRPr="004828FE">
        <w:rPr>
          <w:lang w:val="ru-RU"/>
        </w:rPr>
        <w:t xml:space="preserve">рамках </w:t>
      </w:r>
      <w:hyperlink r:id="rId18" w:history="1">
        <w:r w:rsidRPr="004A1257">
          <w:rPr>
            <w:rStyle w:val="Hyperlink"/>
            <w:lang w:val="ru-RU"/>
          </w:rPr>
          <w:t>Глобального саммита "ИИ во благо"</w:t>
        </w:r>
      </w:hyperlink>
      <w:r w:rsidRPr="004828FE">
        <w:rPr>
          <w:lang w:val="ru-RU"/>
        </w:rPr>
        <w:t xml:space="preserve"> также планируется проведение </w:t>
      </w:r>
      <w:hyperlink r:id="rId19" w:history="1">
        <w:r w:rsidRPr="004828FE">
          <w:rPr>
            <w:rStyle w:val="Hyperlink"/>
            <w:lang w:val="ru-RU"/>
          </w:rPr>
          <w:t>семинара-практикума по воплощенному ИИ</w:t>
        </w:r>
      </w:hyperlink>
      <w:r w:rsidRPr="004828FE">
        <w:rPr>
          <w:lang w:val="ru-RU"/>
        </w:rPr>
        <w:t>.</w:t>
      </w:r>
      <w:hyperlink r:id="rId20" w:history="1"/>
      <w:hyperlink r:id="rId21" w:history="1"/>
      <w:hyperlink r:id="rId22" w:history="1"/>
      <w:hyperlink r:id="rId23" w:history="1"/>
    </w:p>
    <w:p w14:paraId="24F11082" w14:textId="6511C9A2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b/>
          <w:bCs/>
          <w:lang w:val="ru-RU"/>
        </w:rPr>
        <w:t>Базовая информация и задачи</w:t>
      </w:r>
      <w:r>
        <w:rPr>
          <w:lang w:val="ru-RU"/>
        </w:rPr>
        <w:t>.</w:t>
      </w:r>
      <w:r w:rsidRPr="004828FE">
        <w:rPr>
          <w:lang w:val="ru-RU"/>
        </w:rPr>
        <w:t xml:space="preserve"> На первом электронном собрании ОГ-EAI (6</w:t>
      </w:r>
      <w:r w:rsidR="00F7055B">
        <w:rPr>
          <w:rFonts w:cs="Calibri"/>
          <w:lang w:val="ru-RU"/>
        </w:rPr>
        <w:t>−</w:t>
      </w:r>
      <w:r w:rsidRPr="004828FE">
        <w:rPr>
          <w:lang w:val="ru-RU"/>
        </w:rPr>
        <w:t xml:space="preserve">7 мая 2026 г.) была согласована </w:t>
      </w:r>
      <w:hyperlink r:id="rId24" w:history="1">
        <w:r w:rsidRPr="004828FE">
          <w:rPr>
            <w:rStyle w:val="Hyperlink"/>
            <w:lang w:val="ru-RU"/>
          </w:rPr>
          <w:t>структура рабочих групп</w:t>
        </w:r>
      </w:hyperlink>
      <w:r w:rsidRPr="004828FE">
        <w:rPr>
          <w:lang w:val="ru-RU"/>
        </w:rPr>
        <w:t xml:space="preserve">, которая была представлена в Документе </w:t>
      </w:r>
      <w:hyperlink r:id="rId25" w:history="1">
        <w:r w:rsidRPr="004828FE">
          <w:rPr>
            <w:rStyle w:val="Hyperlink"/>
            <w:lang w:val="ru-RU"/>
          </w:rPr>
          <w:t>FG-EAI-O-001</w:t>
        </w:r>
      </w:hyperlink>
      <w:r w:rsidRPr="004828FE">
        <w:rPr>
          <w:lang w:val="ru-RU"/>
        </w:rPr>
        <w:t xml:space="preserve">. Вклады ко второму собранию следует представлять в соответствии с этой структурой и в рамках задачи начала исследований по новым направлениям работы (техническим отчетам и/или техническим спецификациям). Обращаем ваше внимание, что для этой цели был разработан </w:t>
      </w:r>
      <w:hyperlink r:id="rId26" w:history="1">
        <w:r w:rsidRPr="004828FE">
          <w:rPr>
            <w:rStyle w:val="Hyperlink"/>
            <w:lang w:val="ru-RU"/>
          </w:rPr>
          <w:t>шаблон для обоснования</w:t>
        </w:r>
      </w:hyperlink>
      <w:r w:rsidRPr="004828FE">
        <w:rPr>
          <w:lang w:val="ru-RU"/>
        </w:rPr>
        <w:t>. Помимо этого, следует также принять во внимание обсуждения на следующих промежуточных электронных собраниях РГ:</w:t>
      </w:r>
      <w:hyperlink r:id="rId27" w:history="1"/>
      <w:hyperlink r:id="rId28" w:history="1"/>
      <w:hyperlink r:id="rId29" w:history="1"/>
    </w:p>
    <w:p w14:paraId="4F130538" w14:textId="4E27D132" w:rsidR="00C13AAA" w:rsidRPr="004828FE" w:rsidRDefault="00C13AAA" w:rsidP="00F7055B">
      <w:pPr>
        <w:pStyle w:val="enumlev1"/>
        <w:rPr>
          <w:szCs w:val="22"/>
          <w:lang w:val="ru-RU"/>
        </w:rPr>
      </w:pPr>
      <w:r w:rsidRPr="004828FE">
        <w:rPr>
          <w:lang w:val="ru-RU"/>
        </w:rPr>
        <w:t>–</w:t>
      </w:r>
      <w:r w:rsidRPr="004828FE">
        <w:rPr>
          <w:lang w:val="ru-RU"/>
        </w:rPr>
        <w:tab/>
      </w:r>
      <w:hyperlink r:id="rId30" w:history="1">
        <w:r w:rsidRPr="00481E71">
          <w:rPr>
            <w:rStyle w:val="Hyperlink"/>
            <w:lang w:val="ru-RU"/>
          </w:rPr>
          <w:t>РГ1</w:t>
        </w:r>
        <w:r w:rsidRPr="004828FE">
          <w:rPr>
            <w:lang w:val="ru-RU"/>
          </w:rPr>
          <w:t xml:space="preserve"> "Основополагающая архитектура и терминология", 8−9 июня 2026 года (12 час. 00 мин. − 15</w:t>
        </w:r>
        <w:r w:rsidR="0085360B">
          <w:rPr>
            <w:lang w:val="ru-RU"/>
          </w:rPr>
          <w:t> </w:t>
        </w:r>
        <w:r w:rsidRPr="004828FE">
          <w:rPr>
            <w:lang w:val="ru-RU"/>
          </w:rPr>
          <w:t>час. 00 мин. по женевскому времени);</w:t>
        </w:r>
      </w:hyperlink>
    </w:p>
    <w:p w14:paraId="27BC25D0" w14:textId="2B4FC3A9" w:rsidR="00C13AAA" w:rsidRPr="004828FE" w:rsidRDefault="00C13AAA" w:rsidP="00F7055B">
      <w:pPr>
        <w:pStyle w:val="enumlev1"/>
        <w:rPr>
          <w:rFonts w:asciiTheme="minorHAnsi" w:hAnsiTheme="minorHAnsi" w:cstheme="minorHAnsi"/>
          <w:szCs w:val="22"/>
          <w:lang w:val="ru-RU"/>
        </w:rPr>
      </w:pPr>
      <w:r w:rsidRPr="004828FE">
        <w:rPr>
          <w:rFonts w:asciiTheme="minorHAnsi" w:hAnsiTheme="minorHAnsi" w:cstheme="minorHAnsi"/>
          <w:lang w:val="ru-RU"/>
        </w:rPr>
        <w:t>–</w:t>
      </w:r>
      <w:r w:rsidRPr="004828FE">
        <w:rPr>
          <w:rFonts w:asciiTheme="minorHAnsi" w:hAnsiTheme="minorHAnsi" w:cstheme="minorHAnsi"/>
          <w:lang w:val="ru-RU"/>
        </w:rPr>
        <w:tab/>
      </w:r>
      <w:hyperlink r:id="rId31" w:anchor="//sites/itu-t/focusgroups/eai/wg/SitePages/WG7.aspx" w:history="1">
        <w:r w:rsidRPr="00481E71">
          <w:rPr>
            <w:rStyle w:val="Hyperlink"/>
            <w:lang w:val="ru-RU"/>
          </w:rPr>
          <w:t>РГ7</w:t>
        </w:r>
        <w:r w:rsidRPr="004828FE">
          <w:rPr>
            <w:rFonts w:asciiTheme="minorHAnsi" w:hAnsiTheme="minorHAnsi" w:cstheme="minorHAnsi"/>
            <w:lang w:val="ru-RU"/>
          </w:rPr>
          <w:t xml:space="preserve"> "Согласован</w:t>
        </w:r>
        <w:r>
          <w:rPr>
            <w:rFonts w:asciiTheme="minorHAnsi" w:hAnsiTheme="minorHAnsi" w:cstheme="minorHAnsi"/>
            <w:lang w:val="ru-RU"/>
          </w:rPr>
          <w:t>ность</w:t>
        </w:r>
        <w:r w:rsidRPr="004828FE">
          <w:rPr>
            <w:rFonts w:asciiTheme="minorHAnsi" w:hAnsiTheme="minorHAnsi" w:cstheme="minorHAnsi"/>
            <w:lang w:val="ru-RU"/>
          </w:rPr>
          <w:t xml:space="preserve"> с </w:t>
        </w:r>
        <w:r>
          <w:rPr>
            <w:rFonts w:asciiTheme="minorHAnsi" w:hAnsiTheme="minorHAnsi" w:cstheme="minorHAnsi"/>
            <w:lang w:val="ru-RU"/>
          </w:rPr>
          <w:t xml:space="preserve">ожиданиями </w:t>
        </w:r>
        <w:r w:rsidRPr="004828FE">
          <w:rPr>
            <w:rFonts w:asciiTheme="minorHAnsi" w:hAnsiTheme="minorHAnsi" w:cstheme="minorHAnsi"/>
            <w:lang w:val="ru-RU"/>
          </w:rPr>
          <w:t>челове</w:t>
        </w:r>
        <w:r>
          <w:rPr>
            <w:rFonts w:asciiTheme="minorHAnsi" w:hAnsiTheme="minorHAnsi" w:cstheme="minorHAnsi"/>
            <w:lang w:val="ru-RU"/>
          </w:rPr>
          <w:t>ка</w:t>
        </w:r>
        <w:r w:rsidRPr="004828FE">
          <w:rPr>
            <w:rFonts w:asciiTheme="minorHAnsi" w:hAnsiTheme="minorHAnsi" w:cstheme="minorHAnsi"/>
            <w:lang w:val="ru-RU"/>
          </w:rPr>
          <w:t xml:space="preserve"> и взаимодействие с </w:t>
        </w:r>
        <w:r>
          <w:rPr>
            <w:rFonts w:asciiTheme="minorHAnsi" w:hAnsiTheme="minorHAnsi" w:cstheme="minorHAnsi"/>
            <w:lang w:val="ru-RU"/>
          </w:rPr>
          <w:t>человеком</w:t>
        </w:r>
        <w:r w:rsidRPr="004828FE">
          <w:rPr>
            <w:rFonts w:asciiTheme="minorHAnsi" w:hAnsiTheme="minorHAnsi" w:cstheme="minorHAnsi"/>
            <w:lang w:val="ru-RU"/>
          </w:rPr>
          <w:t>", 10−11 июня 2026</w:t>
        </w:r>
        <w:r w:rsidR="0085360B">
          <w:rPr>
            <w:rFonts w:cstheme="minorHAnsi"/>
            <w:lang w:val="ru-RU"/>
          </w:rPr>
          <w:t> </w:t>
        </w:r>
        <w:r w:rsidRPr="004828FE">
          <w:rPr>
            <w:rFonts w:asciiTheme="minorHAnsi" w:hAnsiTheme="minorHAnsi" w:cstheme="minorHAnsi"/>
            <w:lang w:val="ru-RU"/>
          </w:rPr>
          <w:t>года (12 час. 00 мин. − 15 час. 00 мин. по женевскому времени);</w:t>
        </w:r>
      </w:hyperlink>
    </w:p>
    <w:p w14:paraId="780368B0" w14:textId="07F38E81" w:rsidR="00C13AAA" w:rsidRPr="0085360B" w:rsidRDefault="00C13AAA" w:rsidP="00C13AAA">
      <w:pPr>
        <w:rPr>
          <w:rFonts w:cs="Calibri"/>
          <w:spacing w:val="-4"/>
          <w:szCs w:val="22"/>
          <w:lang w:val="ru-RU"/>
        </w:rPr>
      </w:pPr>
      <w:r w:rsidRPr="0085360B">
        <w:rPr>
          <w:spacing w:val="-4"/>
          <w:lang w:val="ru-RU"/>
        </w:rPr>
        <w:t xml:space="preserve">Более подробную информацию см. в проекте отчета о первом собрании ОГ-EAI (Документ </w:t>
      </w:r>
      <w:hyperlink r:id="rId32" w:history="1">
        <w:r w:rsidR="00F7055B" w:rsidRPr="006077D1">
          <w:rPr>
            <w:rStyle w:val="Hyperlink"/>
            <w:rFonts w:cs="Calibri"/>
            <w:szCs w:val="22"/>
          </w:rPr>
          <w:t>FGEAI</w:t>
        </w:r>
        <w:r w:rsidR="00F7055B" w:rsidRPr="00F7055B">
          <w:rPr>
            <w:rStyle w:val="Hyperlink"/>
            <w:rFonts w:cs="Calibri"/>
            <w:szCs w:val="22"/>
            <w:lang w:val="ru-RU"/>
          </w:rPr>
          <w:t>-</w:t>
        </w:r>
        <w:r w:rsidR="00F7055B" w:rsidRPr="006077D1">
          <w:rPr>
            <w:rStyle w:val="Hyperlink"/>
            <w:rFonts w:cs="Calibri"/>
            <w:szCs w:val="22"/>
          </w:rPr>
          <w:t>O</w:t>
        </w:r>
        <w:r w:rsidR="00F7055B" w:rsidRPr="00F7055B">
          <w:rPr>
            <w:rStyle w:val="Hyperlink"/>
            <w:rFonts w:cs="Calibri"/>
            <w:szCs w:val="22"/>
            <w:lang w:val="ru-RU"/>
          </w:rPr>
          <w:t>-003</w:t>
        </w:r>
      </w:hyperlink>
      <w:r w:rsidRPr="0085360B">
        <w:rPr>
          <w:spacing w:val="-4"/>
          <w:lang w:val="ru-RU"/>
        </w:rPr>
        <w:t>).</w:t>
      </w:r>
      <w:hyperlink r:id="rId33" w:history="1"/>
    </w:p>
    <w:p w14:paraId="35D416C2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2</w:t>
      </w:r>
      <w:r w:rsidRPr="004828FE">
        <w:rPr>
          <w:lang w:val="ru-RU"/>
        </w:rPr>
        <w:tab/>
        <w:t xml:space="preserve">Председателем ОГ-EAI назначен г-н Юньтао Ван (CAICT, Китай). Заместителями председателя ОГ-EAI и председателями РГ1 и РГ7 назначены г-н Син-Гак Кан (ETRI, Республика Корея) и г-н Авинаш Агарвал (Министерство связи, Индия), соответственно. ОГ-EAI назначит дополнительных руководителей для усиления руководящего состава ОГ и обеспечения возможности работы других </w:t>
      </w:r>
      <w:r w:rsidRPr="004828FE">
        <w:rPr>
          <w:lang w:val="ru-RU"/>
        </w:rPr>
        <w:lastRenderedPageBreak/>
        <w:t xml:space="preserve">рабочих групп. Если вы заинтересованы в выдвижении кандидата, см. информацию в Документе </w:t>
      </w:r>
      <w:hyperlink r:id="rId34" w:history="1">
        <w:r w:rsidRPr="004828FE">
          <w:rPr>
            <w:rStyle w:val="Hyperlink"/>
            <w:lang w:val="ru-RU"/>
          </w:rPr>
          <w:t>FGEAI-I-002R2</w:t>
        </w:r>
      </w:hyperlink>
      <w:r w:rsidRPr="004828FE">
        <w:rPr>
          <w:lang w:val="ru-RU"/>
        </w:rPr>
        <w:t>.</w:t>
      </w:r>
      <w:hyperlink r:id="rId35" w:history="1"/>
    </w:p>
    <w:p w14:paraId="2479DCD5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3</w:t>
      </w:r>
      <w:r w:rsidRPr="004828FE">
        <w:rPr>
          <w:lang w:val="ru-RU"/>
        </w:rPr>
        <w:tab/>
        <w:t xml:space="preserve">ОГ-EAI будет изучать вопрос о том, как именно воплощенный искусственный интеллект (ВИИ) может поддерживать ориентированные на человека мультимедийные приложения, исследовать его основные технические способности, такие как понимание физического мира, обучение методом проб и ошибок и взаимодействие с человеком и окружающей его средой. Группа будет изучать ключевые базовые технологии, включая реальные и виртуальные наборы данных, управление с обратной связью, обучение моделей мира и расширенное взаимодействие человек-машина. Более подробная информация о сфере деятельности приведена в </w:t>
      </w:r>
      <w:hyperlink r:id="rId36" w:history="1">
        <w:r w:rsidRPr="004828FE">
          <w:rPr>
            <w:rStyle w:val="Hyperlink"/>
            <w:lang w:val="ru-RU"/>
          </w:rPr>
          <w:t>круге ведения ОГ-EAI</w:t>
        </w:r>
      </w:hyperlink>
      <w:r w:rsidRPr="004828FE">
        <w:rPr>
          <w:lang w:val="ru-RU"/>
        </w:rPr>
        <w:t>.</w:t>
      </w:r>
      <w:hyperlink r:id="rId37" w:history="1"/>
    </w:p>
    <w:p w14:paraId="72198E60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4</w:t>
      </w:r>
      <w:r w:rsidRPr="004828FE">
        <w:rPr>
          <w:lang w:val="ru-RU"/>
        </w:rPr>
        <w:tab/>
        <w:t xml:space="preserve">Участие в работе ОГ-EAI является бесплатным и открыто для любого лица из всех секторов и соответствующих областей знаний, из страны, являющейся Членом МСЭ, которое пожелает активно участвовать в ее деятельности. Всем лицам, которые хотели бы следить за этой работой или участвовать в ней, предлагается зарегистрироваться в специальном списке рассылки; подробная информация о порядке регистрации размещена по адресу: </w:t>
      </w:r>
      <w:hyperlink r:id="rId38" w:history="1">
        <w:r w:rsidRPr="004828FE">
          <w:rPr>
            <w:rStyle w:val="Hyperlink"/>
            <w:lang w:val="ru-RU"/>
          </w:rPr>
          <w:t>https://www.itu.int/en/ITU-T/focusgroups/eai/Pages/reg.aspx</w:t>
        </w:r>
      </w:hyperlink>
      <w:r w:rsidRPr="004828FE">
        <w:rPr>
          <w:lang w:val="ru-RU"/>
        </w:rPr>
        <w:t>.</w:t>
      </w:r>
      <w:hyperlink r:id="rId39" w:history="1"/>
    </w:p>
    <w:p w14:paraId="5977DF27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5</w:t>
      </w:r>
      <w:r w:rsidRPr="004828FE">
        <w:rPr>
          <w:lang w:val="ru-RU"/>
        </w:rPr>
        <w:tab/>
        <w:t xml:space="preserve">Группа будет работать в соответствии с процедурами, изложенными в </w:t>
      </w:r>
      <w:hyperlink r:id="rId40" w:history="1">
        <w:r w:rsidRPr="004828FE">
          <w:rPr>
            <w:rStyle w:val="Hyperlink"/>
            <w:lang w:val="ru-RU"/>
          </w:rPr>
          <w:t>Рекомендации МСЭ-Т А.7</w:t>
        </w:r>
      </w:hyperlink>
      <w:r w:rsidRPr="004828FE">
        <w:rPr>
          <w:lang w:val="ru-RU"/>
        </w:rPr>
        <w:t>. Продолжительность работы Оперативной группы составляет один год с момента первого собрания с возможностью продления. Обсуждения будут проходить только на английском языке.</w:t>
      </w:r>
      <w:hyperlink r:id="rId41" w:history="1"/>
    </w:p>
    <w:p w14:paraId="66B8B2C2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6</w:t>
      </w:r>
      <w:r w:rsidRPr="004828FE">
        <w:rPr>
          <w:lang w:val="ru-RU"/>
        </w:rPr>
        <w:tab/>
        <w:t xml:space="preserve">Для того чтобы МСЭ мог предпринять необходимые действия по организации мероприятий, участникам предлагается пройти регистрацию на собрание ОГ-EAI в онлайновом режиме на </w:t>
      </w:r>
      <w:hyperlink r:id="rId42" w:history="1">
        <w:r w:rsidRPr="004828FE">
          <w:rPr>
            <w:rStyle w:val="Hyperlink"/>
            <w:lang w:val="ru-RU"/>
          </w:rPr>
          <w:t>домашней странице Оперативной группы</w:t>
        </w:r>
      </w:hyperlink>
      <w:r w:rsidRPr="004828FE">
        <w:rPr>
          <w:lang w:val="ru-RU"/>
        </w:rPr>
        <w:t>. Обращаем ваше внимание, что регистрация необходима как для очного, так и для дистанционного участия. Предварительная регистрация участников на эти мероприятия проводится только в онлайновой форме.</w:t>
      </w:r>
      <w:hyperlink r:id="rId43" w:history="1"/>
    </w:p>
    <w:p w14:paraId="56AEA347" w14:textId="27F73BF1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7</w:t>
      </w:r>
      <w:r w:rsidRPr="004828FE">
        <w:rPr>
          <w:lang w:val="ru-RU"/>
        </w:rPr>
        <w:tab/>
        <w:t xml:space="preserve">Настоятельно рекомендуется представлять письменные вклады для решения изложенных выше задач и в соответствии с </w:t>
      </w:r>
      <w:hyperlink r:id="rId44" w:history="1">
        <w:r w:rsidRPr="004828FE">
          <w:rPr>
            <w:rStyle w:val="Hyperlink"/>
            <w:lang w:val="ru-RU"/>
          </w:rPr>
          <w:t>кругом ведения ОГ-EAI</w:t>
        </w:r>
      </w:hyperlink>
      <w:r w:rsidRPr="004828FE">
        <w:rPr>
          <w:lang w:val="ru-RU"/>
        </w:rPr>
        <w:t xml:space="preserve">. Вклады в письменном виде следует представлять в секретариат БСЭ </w:t>
      </w:r>
      <w:r w:rsidR="00F7055B" w:rsidRPr="00F7055B">
        <w:rPr>
          <w:rFonts w:cs="Calibri"/>
          <w:szCs w:val="22"/>
          <w:lang w:val="ru-RU"/>
        </w:rPr>
        <w:t>(</w:t>
      </w:r>
      <w:hyperlink r:id="rId45" w:history="1">
        <w:r w:rsidR="00F7055B" w:rsidRPr="00EE3A88">
          <w:rPr>
            <w:rStyle w:val="Hyperlink"/>
            <w:rFonts w:cs="Calibri"/>
            <w:szCs w:val="22"/>
          </w:rPr>
          <w:t>tsbfg</w:t>
        </w:r>
        <w:r w:rsidR="00F7055B" w:rsidRPr="00EE3A88">
          <w:rPr>
            <w:rStyle w:val="Hyperlink"/>
            <w:rFonts w:cs="Calibri" w:hint="eastAsia"/>
            <w:szCs w:val="22"/>
            <w:lang w:eastAsia="zh-CN"/>
          </w:rPr>
          <w:t>eai</w:t>
        </w:r>
        <w:r w:rsidR="00F7055B" w:rsidRPr="00F7055B">
          <w:rPr>
            <w:rStyle w:val="Hyperlink"/>
            <w:rFonts w:cs="Calibri"/>
            <w:szCs w:val="22"/>
            <w:lang w:val="ru-RU"/>
          </w:rPr>
          <w:t>@</w:t>
        </w:r>
        <w:r w:rsidR="00F7055B" w:rsidRPr="00EE3A88">
          <w:rPr>
            <w:rStyle w:val="Hyperlink"/>
            <w:rFonts w:cs="Calibri"/>
            <w:szCs w:val="22"/>
          </w:rPr>
          <w:t>itu</w:t>
        </w:r>
        <w:r w:rsidR="00F7055B" w:rsidRPr="00F7055B">
          <w:rPr>
            <w:rStyle w:val="Hyperlink"/>
            <w:rFonts w:cs="Calibri"/>
            <w:szCs w:val="22"/>
            <w:lang w:val="ru-RU"/>
          </w:rPr>
          <w:t>.</w:t>
        </w:r>
        <w:r w:rsidR="00F7055B" w:rsidRPr="00EE3A88">
          <w:rPr>
            <w:rStyle w:val="Hyperlink"/>
            <w:rFonts w:cs="Calibri"/>
            <w:szCs w:val="22"/>
          </w:rPr>
          <w:t>int</w:t>
        </w:r>
      </w:hyperlink>
      <w:r w:rsidR="00F7055B" w:rsidRPr="00F7055B">
        <w:rPr>
          <w:rFonts w:cs="Calibri"/>
          <w:szCs w:val="22"/>
          <w:lang w:val="ru-RU"/>
        </w:rPr>
        <w:t xml:space="preserve">) </w:t>
      </w:r>
      <w:r w:rsidRPr="004828FE">
        <w:rPr>
          <w:lang w:val="ru-RU"/>
        </w:rPr>
        <w:t>в электронном формате, используя шаблоны документов, размещенные на домашней странице ОГ-EAI (</w:t>
      </w:r>
      <w:hyperlink r:id="rId46" w:history="1">
        <w:r w:rsidRPr="004828FE">
          <w:rPr>
            <w:rStyle w:val="Hyperlink"/>
            <w:lang w:val="ru-RU"/>
          </w:rPr>
          <w:t>https://www.itu.int/go/fgeai</w:t>
        </w:r>
      </w:hyperlink>
      <w:r w:rsidRPr="004828FE">
        <w:rPr>
          <w:lang w:val="ru-RU"/>
        </w:rPr>
        <w:t>).</w:t>
      </w:r>
      <w:hyperlink r:id="rId47" w:history="1"/>
      <w:hyperlink r:id="rId48" w:history="1"/>
      <w:hyperlink r:id="rId49" w:history="1"/>
    </w:p>
    <w:p w14:paraId="04BABCBA" w14:textId="77777777" w:rsidR="00C13AAA" w:rsidRPr="004828FE" w:rsidRDefault="00C13AAA" w:rsidP="009A38F2">
      <w:pPr>
        <w:rPr>
          <w:rFonts w:cs="Calibri"/>
          <w:szCs w:val="22"/>
          <w:lang w:val="ru-RU"/>
        </w:rPr>
      </w:pPr>
      <w:r w:rsidRPr="009A38F2">
        <w:rPr>
          <w:b/>
          <w:bCs/>
          <w:lang w:val="ru-RU"/>
        </w:rPr>
        <w:t>Предельный срок представления вкладов для второго собрания – 28 июня 2026 года</w:t>
      </w:r>
      <w:r w:rsidRPr="009A38F2">
        <w:rPr>
          <w:bCs/>
          <w:lang w:val="ru-RU"/>
        </w:rPr>
        <w:t>.</w:t>
      </w:r>
    </w:p>
    <w:p w14:paraId="0AE6EE8F" w14:textId="77777777" w:rsidR="00C13AAA" w:rsidRPr="004828FE" w:rsidRDefault="00C13AAA" w:rsidP="00F7055B">
      <w:pPr>
        <w:pStyle w:val="Note"/>
        <w:rPr>
          <w:rFonts w:cs="Calibri"/>
          <w:szCs w:val="22"/>
          <w:lang w:val="ru-RU"/>
        </w:rPr>
      </w:pPr>
      <w:r w:rsidRPr="004828FE">
        <w:rPr>
          <w:lang w:val="ru-RU"/>
        </w:rPr>
        <w:t>ПРИМЕЧАНИЕ. − Предельные сроки представления вкладов для промежуточных электронных собраний РГ1 и РГ7 – 1 июня 2026 года и 3 июня 2026 года, соответственно.</w:t>
      </w:r>
    </w:p>
    <w:p w14:paraId="585AA642" w14:textId="77777777" w:rsidR="00C13AAA" w:rsidRPr="004828FE" w:rsidRDefault="00C13AAA" w:rsidP="00C13AAA">
      <w:pPr>
        <w:rPr>
          <w:rFonts w:cs="Calibri"/>
          <w:szCs w:val="22"/>
          <w:lang w:val="ru-RU"/>
        </w:rPr>
      </w:pPr>
      <w:r w:rsidRPr="004828FE">
        <w:rPr>
          <w:lang w:val="ru-RU"/>
        </w:rPr>
        <w:t>8</w:t>
      </w:r>
      <w:r w:rsidRPr="004828FE">
        <w:rPr>
          <w:lang w:val="ru-RU"/>
        </w:rPr>
        <w:tab/>
        <w:t>Повестка дня собрания, документы и другая практическая информация (в том числе о порядке дистанционного участия) будут доступны на домашней странице ОГ-EAI до начала собрания.</w:t>
      </w:r>
    </w:p>
    <w:p w14:paraId="28A928AA" w14:textId="77777777" w:rsidR="00C13AAA" w:rsidRPr="004828FE" w:rsidRDefault="00C13AAA" w:rsidP="00C13AAA">
      <w:pPr>
        <w:spacing w:after="120"/>
        <w:rPr>
          <w:rFonts w:cs="Calibri"/>
          <w:szCs w:val="22"/>
          <w:lang w:val="ru-RU"/>
        </w:rPr>
      </w:pPr>
      <w:r w:rsidRPr="004828FE">
        <w:rPr>
          <w:lang w:val="ru-RU"/>
        </w:rPr>
        <w:t>9</w:t>
      </w:r>
      <w:r w:rsidRPr="004828FE">
        <w:rPr>
          <w:lang w:val="ru-RU"/>
        </w:rPr>
        <w:tab/>
        <w:t>Хотел бы напомнить вам, что случае необходимости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7C89D0CE" w14:textId="6018F504" w:rsidR="00C13AAA" w:rsidRPr="004828FE" w:rsidRDefault="00C13AAA" w:rsidP="00C13AAA">
      <w:pPr>
        <w:spacing w:after="120"/>
        <w:rPr>
          <w:rFonts w:cs="Calibri"/>
          <w:szCs w:val="22"/>
          <w:lang w:val="ru-RU"/>
        </w:rPr>
      </w:pPr>
      <w:r w:rsidRPr="004828FE">
        <w:rPr>
          <w:lang w:val="ru-RU"/>
        </w:rPr>
        <w:t xml:space="preserve">В случае возникновения трудностей у Государств </w:t>
      </w:r>
      <w:r w:rsidR="009A38F2">
        <w:rPr>
          <w:rFonts w:cs="Calibri"/>
          <w:lang w:val="ru-RU"/>
        </w:rPr>
        <w:t>−</w:t>
      </w:r>
      <w:r w:rsidRPr="004828FE">
        <w:rPr>
          <w:lang w:val="ru-RU"/>
        </w:rPr>
        <w:t xml:space="preserve"> Членов МСЭ, членов Сектора, Ассоциированных членов или Академических организаций </w:t>
      </w:r>
      <w:r w:rsidR="009A38F2">
        <w:rPr>
          <w:rFonts w:cs="Calibri"/>
          <w:lang w:val="ru-RU"/>
        </w:rPr>
        <w:t>−</w:t>
      </w:r>
      <w:r w:rsidRPr="004828FE">
        <w:rPr>
          <w:lang w:val="ru-RU"/>
        </w:rPr>
        <w:t xml:space="preserve"> членов МСЭ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Запросы следует делать путем отметки в соответствующей ячейке регистрационной формы не позднее чем за один месяц до начала собрания. Вопросы следует направлять в Секцию поездок МСЭ (</w:t>
      </w:r>
      <w:hyperlink r:id="rId50" w:history="1">
        <w:r w:rsidRPr="004828FE">
          <w:rPr>
            <w:rStyle w:val="Hyperlink"/>
            <w:lang w:val="ru-RU"/>
          </w:rPr>
          <w:t>travel@itu.int</w:t>
        </w:r>
      </w:hyperlink>
      <w:r w:rsidRPr="004828FE">
        <w:rPr>
          <w:lang w:val="ru-RU"/>
        </w:rPr>
        <w:t>) с пометкой "визовая поддержка" (visa support).</w:t>
      </w:r>
      <w:hyperlink r:id="rId51" w:history="1"/>
    </w:p>
    <w:p w14:paraId="4E1C60E0" w14:textId="77777777" w:rsidR="00C13AAA" w:rsidRPr="004828FE" w:rsidRDefault="00C13AAA" w:rsidP="00C13AAA">
      <w:pPr>
        <w:spacing w:after="120"/>
        <w:rPr>
          <w:rFonts w:asciiTheme="minorHAnsi" w:hAnsiTheme="minorHAnsi" w:cstheme="minorHAnsi"/>
          <w:szCs w:val="22"/>
          <w:lang w:val="ru-RU"/>
        </w:rPr>
      </w:pPr>
      <w:r w:rsidRPr="004828FE">
        <w:rPr>
          <w:lang w:val="ru-RU"/>
        </w:rPr>
        <w:t xml:space="preserve">Дополнительная информация и необходимые документы, если таковые потребуются, будут </w:t>
      </w:r>
      <w:r w:rsidRPr="004828FE">
        <w:rPr>
          <w:rFonts w:asciiTheme="minorHAnsi" w:hAnsiTheme="minorHAnsi" w:cstheme="minorHAnsi"/>
          <w:lang w:val="ru-RU"/>
        </w:rPr>
        <w:t>размещены на домашней странице ОГ-EAI.</w:t>
      </w:r>
    </w:p>
    <w:p w14:paraId="31BD5CE6" w14:textId="77777777" w:rsidR="00C13AAA" w:rsidRPr="004828FE" w:rsidRDefault="00C13AAA" w:rsidP="009A38F2">
      <w:pPr>
        <w:keepNext/>
        <w:spacing w:after="120"/>
        <w:rPr>
          <w:rFonts w:asciiTheme="minorHAnsi" w:hAnsiTheme="minorHAnsi" w:cstheme="minorHAnsi"/>
          <w:szCs w:val="22"/>
          <w:lang w:val="ru-RU"/>
        </w:rPr>
      </w:pPr>
      <w:r w:rsidRPr="004828FE">
        <w:rPr>
          <w:rFonts w:asciiTheme="minorHAnsi" w:hAnsiTheme="minorHAnsi" w:cstheme="minorHAnsi"/>
          <w:lang w:val="ru-RU"/>
        </w:rPr>
        <w:lastRenderedPageBreak/>
        <w:t>10</w:t>
      </w:r>
      <w:r w:rsidRPr="004828FE">
        <w:rPr>
          <w:rFonts w:asciiTheme="minorHAnsi" w:hAnsiTheme="minorHAnsi" w:cstheme="minorHAnsi"/>
          <w:lang w:val="ru-RU"/>
        </w:rPr>
        <w:tab/>
        <w:t>Предельные сроки для второго собрания ОГ-EAI:</w:t>
      </w:r>
    </w:p>
    <w:tbl>
      <w:tblPr>
        <w:tblStyle w:val="TableGrid"/>
        <w:tblW w:w="5076" w:type="pct"/>
        <w:tblLayout w:type="fixed"/>
        <w:tblLook w:val="04A0" w:firstRow="1" w:lastRow="0" w:firstColumn="1" w:lastColumn="0" w:noHBand="0" w:noVBand="1"/>
      </w:tblPr>
      <w:tblGrid>
        <w:gridCol w:w="1982"/>
        <w:gridCol w:w="7793"/>
      </w:tblGrid>
      <w:tr w:rsidR="00C13AAA" w:rsidRPr="00F7055B" w14:paraId="4E519B87" w14:textId="77777777" w:rsidTr="00C13AAA">
        <w:trPr>
          <w:trHeight w:val="438"/>
        </w:trPr>
        <w:tc>
          <w:tcPr>
            <w:tcW w:w="1982" w:type="dxa"/>
          </w:tcPr>
          <w:p w14:paraId="48A1B022" w14:textId="77777777" w:rsidR="00C13AAA" w:rsidRPr="00F7055B" w:rsidRDefault="00C13AAA" w:rsidP="00C13AAA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F7055B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11 июня 2026 г.</w:t>
            </w:r>
          </w:p>
        </w:tc>
        <w:tc>
          <w:tcPr>
            <w:tcW w:w="7794" w:type="dxa"/>
          </w:tcPr>
          <w:p w14:paraId="7DEED440" w14:textId="1876B78C" w:rsidR="00C13AAA" w:rsidRPr="00F7055B" w:rsidRDefault="00C13AAA" w:rsidP="00C13AAA">
            <w:pPr>
              <w:pStyle w:val="ListParagraph"/>
              <w:keepNext/>
              <w:keepLines/>
              <w:tabs>
                <w:tab w:val="left" w:pos="584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auto"/>
              <w:ind w:left="442" w:hanging="409"/>
              <w:contextualSpacing w:val="0"/>
              <w:rPr>
                <w:rFonts w:cstheme="minorHAnsi"/>
                <w:sz w:val="20"/>
                <w:szCs w:val="20"/>
                <w:lang w:val="ru-RU"/>
              </w:rPr>
            </w:pP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>−</w:t>
            </w: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ab/>
            </w: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>Направление запросов для содействия в получении визы (через онлайновую форму регистрации)</w:t>
            </w:r>
          </w:p>
        </w:tc>
      </w:tr>
      <w:tr w:rsidR="00C13AAA" w:rsidRPr="00F7055B" w14:paraId="33203512" w14:textId="77777777" w:rsidTr="00C13AAA">
        <w:trPr>
          <w:trHeight w:val="438"/>
        </w:trPr>
        <w:tc>
          <w:tcPr>
            <w:tcW w:w="1982" w:type="dxa"/>
          </w:tcPr>
          <w:p w14:paraId="2BC862AF" w14:textId="77777777" w:rsidR="00C13AAA" w:rsidRPr="00F7055B" w:rsidRDefault="00C13AAA" w:rsidP="00C13AAA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bookmarkStart w:id="0" w:name="_Hlk124850442"/>
            <w:r w:rsidRPr="00F7055B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28 июня 2026 г.</w:t>
            </w:r>
          </w:p>
        </w:tc>
        <w:tc>
          <w:tcPr>
            <w:tcW w:w="7794" w:type="dxa"/>
          </w:tcPr>
          <w:p w14:paraId="417EA8D8" w14:textId="0872BA84" w:rsidR="00C13AAA" w:rsidRPr="00F7055B" w:rsidRDefault="00C13AAA" w:rsidP="00C13AAA">
            <w:pPr>
              <w:pStyle w:val="ListParagraph"/>
              <w:keepNext/>
              <w:keepLines/>
              <w:tabs>
                <w:tab w:val="left" w:pos="584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auto"/>
              <w:ind w:left="442" w:hanging="409"/>
              <w:contextualSpacing w:val="0"/>
              <w:rPr>
                <w:rFonts w:cstheme="minorHAnsi"/>
                <w:sz w:val="20"/>
                <w:szCs w:val="20"/>
                <w:lang w:val="ru-RU"/>
              </w:rPr>
            </w:pP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>−</w:t>
            </w: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ab/>
              <w:t xml:space="preserve">Представление письменных вкладов (по адресу эл. почты: </w:t>
            </w:r>
            <w:hyperlink r:id="rId52" w:history="1">
              <w:r w:rsidR="00F7055B" w:rsidRPr="00F7055B">
                <w:rPr>
                  <w:rStyle w:val="Hyperlink"/>
                  <w:rFonts w:ascii="Calibri" w:hAnsi="Calibri" w:cs="Calibri"/>
                  <w:sz w:val="20"/>
                  <w:szCs w:val="20"/>
                </w:rPr>
                <w:t>tsbfg</w:t>
              </w:r>
              <w:r w:rsidR="00F7055B" w:rsidRPr="00F7055B">
                <w:rPr>
                  <w:rStyle w:val="Hyperlink"/>
                  <w:rFonts w:ascii="Calibri" w:hAnsi="Calibri" w:cs="Calibri" w:hint="eastAsia"/>
                  <w:sz w:val="20"/>
                  <w:szCs w:val="20"/>
                  <w:lang w:eastAsia="zh-CN"/>
                </w:rPr>
                <w:t>eai</w:t>
              </w:r>
              <w:r w:rsidR="00F7055B" w:rsidRPr="00F7055B">
                <w:rPr>
                  <w:rStyle w:val="Hyperlink"/>
                  <w:rFonts w:ascii="Calibri" w:hAnsi="Calibri" w:cs="Calibri"/>
                  <w:sz w:val="20"/>
                  <w:szCs w:val="20"/>
                  <w:lang w:val="ru-RU"/>
                </w:rPr>
                <w:t>@</w:t>
              </w:r>
              <w:r w:rsidR="00F7055B" w:rsidRPr="00F7055B">
                <w:rPr>
                  <w:rStyle w:val="Hyperlink"/>
                  <w:rFonts w:ascii="Calibri" w:hAnsi="Calibri" w:cs="Calibri"/>
                  <w:sz w:val="20"/>
                  <w:szCs w:val="20"/>
                </w:rPr>
                <w:t>itu</w:t>
              </w:r>
              <w:r w:rsidR="00F7055B" w:rsidRPr="00F7055B">
                <w:rPr>
                  <w:rStyle w:val="Hyperlink"/>
                  <w:rFonts w:ascii="Calibri" w:hAnsi="Calibri" w:cs="Calibri"/>
                  <w:sz w:val="20"/>
                  <w:szCs w:val="20"/>
                  <w:lang w:val="ru-RU"/>
                </w:rPr>
                <w:t>.</w:t>
              </w:r>
              <w:r w:rsidR="00F7055B" w:rsidRPr="00F7055B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</w:t>
              </w:r>
            </w:hyperlink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>)</w:t>
            </w:r>
            <w:hyperlink r:id="rId53" w:history="1"/>
          </w:p>
        </w:tc>
      </w:tr>
      <w:tr w:rsidR="00C13AAA" w:rsidRPr="00F7055B" w14:paraId="4E7236CD" w14:textId="77777777" w:rsidTr="00C13AAA">
        <w:trPr>
          <w:trHeight w:val="438"/>
        </w:trPr>
        <w:tc>
          <w:tcPr>
            <w:tcW w:w="1982" w:type="dxa"/>
          </w:tcPr>
          <w:p w14:paraId="75A0BBC4" w14:textId="77777777" w:rsidR="00C13AAA" w:rsidRPr="00F7055B" w:rsidRDefault="00C13AAA" w:rsidP="00C13AAA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F7055B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1 июля 2026 г.</w:t>
            </w:r>
          </w:p>
        </w:tc>
        <w:tc>
          <w:tcPr>
            <w:tcW w:w="7794" w:type="dxa"/>
          </w:tcPr>
          <w:p w14:paraId="3250524E" w14:textId="5C2CB462" w:rsidR="00C13AAA" w:rsidRPr="00F7055B" w:rsidRDefault="00C13AAA" w:rsidP="00C13AAA">
            <w:pPr>
              <w:pStyle w:val="ListParagraph"/>
              <w:keepNext/>
              <w:keepLines/>
              <w:tabs>
                <w:tab w:val="left" w:pos="584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auto"/>
              <w:ind w:left="442" w:hanging="409"/>
              <w:contextualSpacing w:val="0"/>
              <w:rPr>
                <w:rFonts w:cstheme="minorHAnsi"/>
                <w:sz w:val="20"/>
                <w:szCs w:val="20"/>
                <w:lang w:val="ru-RU"/>
              </w:rPr>
            </w:pP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>−</w:t>
            </w:r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ab/>
              <w:t xml:space="preserve">Предварительная регистрация (в онлайновой форме на </w:t>
            </w:r>
            <w:hyperlink r:id="rId54" w:history="1">
              <w:r w:rsidRPr="00F7055B">
                <w:rPr>
                  <w:rStyle w:val="Hyperlink"/>
                  <w:rFonts w:cstheme="minorHAnsi"/>
                  <w:sz w:val="20"/>
                  <w:szCs w:val="20"/>
                  <w:lang w:val="ru-RU"/>
                </w:rPr>
                <w:t>домашней странице ОГ-ЕAI</w:t>
              </w:r>
            </w:hyperlink>
            <w:r w:rsidRPr="00F7055B">
              <w:rPr>
                <w:rFonts w:cstheme="minorHAnsi"/>
                <w:color w:val="000000"/>
                <w:sz w:val="20"/>
                <w:szCs w:val="20"/>
                <w:lang w:val="ru-RU"/>
              </w:rPr>
              <w:t>)</w:t>
            </w:r>
            <w:hyperlink r:id="rId55" w:history="1"/>
          </w:p>
        </w:tc>
      </w:tr>
    </w:tbl>
    <w:bookmarkEnd w:id="0"/>
    <w:p w14:paraId="3E30C98E" w14:textId="0EAD46B8" w:rsidR="00F12D97" w:rsidRPr="00F26A42" w:rsidRDefault="00C13AAA" w:rsidP="001A1F24">
      <w:pPr>
        <w:rPr>
          <w:lang w:val="ru-RU"/>
        </w:rPr>
      </w:pPr>
      <w:r w:rsidRPr="004828FE">
        <w:rPr>
          <w:rFonts w:asciiTheme="minorHAnsi" w:hAnsiTheme="minorHAnsi" w:cstheme="minorHAnsi"/>
          <w:lang w:val="ru-RU"/>
        </w:rPr>
        <w:t>Желаю вам плодотворного и приятного собрания.</w:t>
      </w:r>
    </w:p>
    <w:p w14:paraId="3D464895" w14:textId="133829FB" w:rsidR="00F12D97" w:rsidRPr="00F26A42" w:rsidRDefault="00F12D97" w:rsidP="001A1F24">
      <w:pPr>
        <w:rPr>
          <w:lang w:val="ru-RU"/>
        </w:rPr>
      </w:pPr>
      <w:r w:rsidRPr="00F26A42">
        <w:rPr>
          <w:lang w:val="ru-RU"/>
        </w:rPr>
        <w:t>С уважением,</w:t>
      </w:r>
    </w:p>
    <w:p w14:paraId="6CAF4877" w14:textId="1909D6E4" w:rsidR="003E38F2" w:rsidRPr="00F26A42" w:rsidRDefault="003E38F2" w:rsidP="00C13AAA">
      <w:pPr>
        <w:spacing w:before="360"/>
        <w:rPr>
          <w:lang w:val="ru-RU"/>
        </w:rPr>
      </w:pPr>
      <w:r w:rsidRPr="00F26A42">
        <w:rPr>
          <w:lang w:val="ru-RU"/>
        </w:rPr>
        <w:t>(</w:t>
      </w:r>
      <w:r w:rsidRPr="00F26A42">
        <w:rPr>
          <w:i/>
          <w:iCs/>
          <w:lang w:val="ru-RU"/>
        </w:rPr>
        <w:t>подпись</w:t>
      </w:r>
      <w:r w:rsidRPr="00F26A42">
        <w:rPr>
          <w:lang w:val="ru-RU"/>
        </w:rPr>
        <w:t>)</w:t>
      </w:r>
    </w:p>
    <w:p w14:paraId="0F1C6E01" w14:textId="205FB890" w:rsidR="00414B3C" w:rsidRPr="00F26A42" w:rsidRDefault="003E38F2" w:rsidP="00C13AAA">
      <w:pPr>
        <w:spacing w:before="360"/>
        <w:rPr>
          <w:lang w:val="ru-RU"/>
        </w:rPr>
      </w:pPr>
      <w:r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sectPr w:rsidR="00414B3C" w:rsidRPr="00F26A42" w:rsidSect="001A1F24">
      <w:headerReference w:type="default" r:id="rId56"/>
      <w:footerReference w:type="first" r:id="rId5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7C19" w14:textId="77777777" w:rsidR="00F71970" w:rsidRDefault="00F71970">
      <w:r>
        <w:separator/>
      </w:r>
    </w:p>
  </w:endnote>
  <w:endnote w:type="continuationSeparator" w:id="0">
    <w:p w14:paraId="2837E8A7" w14:textId="77777777" w:rsidR="00F71970" w:rsidRDefault="00F71970">
      <w:r>
        <w:continuationSeparator/>
      </w:r>
    </w:p>
  </w:endnote>
  <w:endnote w:type="continuationNotice" w:id="1">
    <w:p w14:paraId="08E8598F" w14:textId="77777777" w:rsidR="00F71970" w:rsidRDefault="00F7197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43F7" w14:textId="77777777" w:rsidR="00F71970" w:rsidRDefault="00F71970">
      <w:r>
        <w:t>____________________</w:t>
      </w:r>
    </w:p>
  </w:footnote>
  <w:footnote w:type="continuationSeparator" w:id="0">
    <w:p w14:paraId="4E65C85F" w14:textId="77777777" w:rsidR="00F71970" w:rsidRDefault="00F71970">
      <w:r>
        <w:continuationSeparator/>
      </w:r>
    </w:p>
  </w:footnote>
  <w:footnote w:type="continuationNotice" w:id="1">
    <w:p w14:paraId="65260496" w14:textId="77777777" w:rsidR="00F71970" w:rsidRDefault="00F7197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E673839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C13AAA">
      <w:rPr>
        <w:lang w:val="ru-RU"/>
      </w:rPr>
      <w:t>137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9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8"/>
  </w:num>
  <w:num w:numId="28" w16cid:durableId="334769545">
    <w:abstractNumId w:val="17"/>
  </w:num>
  <w:num w:numId="29" w16cid:durableId="1559976025">
    <w:abstractNumId w:val="27"/>
  </w:num>
  <w:num w:numId="30" w16cid:durableId="16605738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026F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47C0A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60B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38F2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3AAA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55B"/>
    <w:rsid w:val="00F70F43"/>
    <w:rsid w:val="00F71492"/>
    <w:rsid w:val="00F71970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60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ListParagraphChar">
    <w:name w:val="List Paragraph Char"/>
    <w:basedOn w:val="DefaultParagraphFont"/>
    <w:link w:val="ListParagraph"/>
    <w:uiPriority w:val="34"/>
    <w:rsid w:val="00C13AAA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focusgroups/eai/Pages/default.aspx" TargetMode="External"/><Relationship Id="rId18" Type="http://schemas.openxmlformats.org/officeDocument/2006/relationships/hyperlink" Target="https://aiforgood.itu.int/" TargetMode="External"/><Relationship Id="rId26" Type="http://schemas.openxmlformats.org/officeDocument/2006/relationships/hyperlink" Target="https://www.itu.int/en/ITU-T/focusgroups/eai/Documents/Templates/FGEAI-I-justification-form-template.docx" TargetMode="External"/><Relationship Id="rId39" Type="http://schemas.openxmlformats.org/officeDocument/2006/relationships/hyperlink" Target="https://www.itu.int/en/ITU-T/focusgroups/eai/Pages/reg.aspx" TargetMode="External"/><Relationship Id="rId21" Type="http://schemas.openxmlformats.org/officeDocument/2006/relationships/hyperlink" Target="https://www.itu.int/md/T25-SG21-COL-0006/en" TargetMode="External"/><Relationship Id="rId34" Type="http://schemas.openxmlformats.org/officeDocument/2006/relationships/hyperlink" Target="https://extranet.itu.int/sites/itu-t/focusgroups/eai/input/FGEAI-I-002R2.docx" TargetMode="External"/><Relationship Id="rId42" Type="http://schemas.openxmlformats.org/officeDocument/2006/relationships/hyperlink" Target="https://www.itu.int/go/fgeai" TargetMode="External"/><Relationship Id="rId47" Type="http://schemas.openxmlformats.org/officeDocument/2006/relationships/hyperlink" Target="https://www.itu.int/en/ITU-T/focusgroups/eai/Documents/FG-EAI_TOR.pdf" TargetMode="External"/><Relationship Id="rId50" Type="http://schemas.openxmlformats.org/officeDocument/2006/relationships/hyperlink" Target="file:///C:\Users\maloletk\Downloads\travel@itu.int" TargetMode="External"/><Relationship Id="rId55" Type="http://schemas.openxmlformats.org/officeDocument/2006/relationships/hyperlink" Target="https://www.itu.int/go/fgeai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21-COL-0006/en" TargetMode="External"/><Relationship Id="rId29" Type="http://schemas.openxmlformats.org/officeDocument/2006/relationships/hyperlink" Target="https://www.itu.int/en/ITU-T/focusgroups/eai/Documents/Templates/FGEAI-I-justification-form-template.docx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extranet.itu.int/sites/itu-t/focusgroups/eai/wg/SitePages/Home.aspx" TargetMode="External"/><Relationship Id="rId32" Type="http://schemas.openxmlformats.org/officeDocument/2006/relationships/hyperlink" Target="https://extranet.itu.int/sites/itu-t/focusgroups/eai/output/FGEAI-O-003.docx" TargetMode="External"/><Relationship Id="rId37" Type="http://schemas.openxmlformats.org/officeDocument/2006/relationships/hyperlink" Target="https://www.itu.int/en/ITU-T/focusgroups/eai/Documents/FG-EAI_TOR.pdf" TargetMode="External"/><Relationship Id="rId40" Type="http://schemas.openxmlformats.org/officeDocument/2006/relationships/hyperlink" Target="http://www.itu.int/rec/T-REC-A.7" TargetMode="External"/><Relationship Id="rId45" Type="http://schemas.openxmlformats.org/officeDocument/2006/relationships/hyperlink" Target="mailto:tsbfgeai@itu.int" TargetMode="External"/><Relationship Id="rId53" Type="http://schemas.openxmlformats.org/officeDocument/2006/relationships/hyperlink" Target="mailto:tsbfgeai@itu.int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aiforgood.itu.int/summit26/program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focusgroups/eai/Pages/default.aspx" TargetMode="External"/><Relationship Id="rId22" Type="http://schemas.openxmlformats.org/officeDocument/2006/relationships/hyperlink" Target="https://aiforgood.itu.int/" TargetMode="External"/><Relationship Id="rId27" Type="http://schemas.openxmlformats.org/officeDocument/2006/relationships/hyperlink" Target="https://extranet.itu.int/sites/itu-t/focusgroups/eai/wg/SitePages/Home.aspx" TargetMode="External"/><Relationship Id="rId30" Type="http://schemas.openxmlformats.org/officeDocument/2006/relationships/hyperlink" Target="https://extranet.itu.int/sites/itu-t/focusgroups/eai/wg/SitePages/WG1.aspx" TargetMode="External"/><Relationship Id="rId35" Type="http://schemas.openxmlformats.org/officeDocument/2006/relationships/hyperlink" Target="https://extranet.itu.int/sites/itu-t/focusgroups/eai/input/FGEAI-I-002R2.docx" TargetMode="External"/><Relationship Id="rId43" Type="http://schemas.openxmlformats.org/officeDocument/2006/relationships/hyperlink" Target="https://www.itu.int/go/fgeai" TargetMode="External"/><Relationship Id="rId48" Type="http://schemas.openxmlformats.org/officeDocument/2006/relationships/hyperlink" Target="mailto:tsbfgeai@itu.int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mailto:travel@itu.in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fgeai@itu.int" TargetMode="External"/><Relationship Id="rId17" Type="http://schemas.openxmlformats.org/officeDocument/2006/relationships/hyperlink" Target="https://aiforgood.itu.int/" TargetMode="External"/><Relationship Id="rId25" Type="http://schemas.openxmlformats.org/officeDocument/2006/relationships/hyperlink" Target="https://extranet.itu.int/sites/itu-t/focusgroups/eai/output/FGEAI-O-001.docx" TargetMode="External"/><Relationship Id="rId33" Type="http://schemas.openxmlformats.org/officeDocument/2006/relationships/hyperlink" Target="https://extranet.itu.int/sites/itu-t/focusgroups/eai/output/FGEAI-O-003.docx" TargetMode="External"/><Relationship Id="rId38" Type="http://schemas.openxmlformats.org/officeDocument/2006/relationships/hyperlink" Target="https://www.itu.int/en/ITU-T/focusgroups/eai/Pages/reg.aspx" TargetMode="External"/><Relationship Id="rId46" Type="http://schemas.openxmlformats.org/officeDocument/2006/relationships/hyperlink" Target="https://www.itu.int/go/fgeai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itu.int/en/ITU-T/studygroups/2025-2028/21/Pages/default.aspx" TargetMode="External"/><Relationship Id="rId41" Type="http://schemas.openxmlformats.org/officeDocument/2006/relationships/hyperlink" Target="http://www.itu.int/rec/T-REC-A.7" TargetMode="External"/><Relationship Id="rId54" Type="http://schemas.openxmlformats.org/officeDocument/2006/relationships/hyperlink" Target="https://www.itu.int/go/fge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en/ITU-T/studygroups/2025-2028/21/Pages/default.aspx" TargetMode="External"/><Relationship Id="rId23" Type="http://schemas.openxmlformats.org/officeDocument/2006/relationships/hyperlink" Target="https://aiforgood.itu.int/summit26/programme/" TargetMode="External"/><Relationship Id="rId28" Type="http://schemas.openxmlformats.org/officeDocument/2006/relationships/hyperlink" Target="https://extranet.itu.int/sites/itu-t/focusgroups/eai/output/FGEAI-O-001.docx" TargetMode="External"/><Relationship Id="rId36" Type="http://schemas.openxmlformats.org/officeDocument/2006/relationships/hyperlink" Target="https://www.itu.int/en/ITU-T/focusgroups/eai/Documents/FG-EAI_TOR.pdf" TargetMode="External"/><Relationship Id="rId49" Type="http://schemas.openxmlformats.org/officeDocument/2006/relationships/hyperlink" Target="https://www.itu.int/go/fgeai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s://extranet.itu.int/sites/itu-t/focusgroups/eai/wg/_layouts/15/start.aspx" TargetMode="External"/><Relationship Id="rId44" Type="http://schemas.openxmlformats.org/officeDocument/2006/relationships/hyperlink" Target="https://www.itu.int/en/ITU-T/focusgroups/eai/Documents/FG-EAI_TOR.pdf" TargetMode="External"/><Relationship Id="rId52" Type="http://schemas.openxmlformats.org/officeDocument/2006/relationships/hyperlink" Target="mailto:tsbfgeai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7925C-6D79-4DE2-8C5F-3593EEE9C510}"/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18</TotalTime>
  <Pages>3</Pages>
  <Words>1316</Words>
  <Characters>8949</Characters>
  <Application>Microsoft Office Word</Application>
  <DocSecurity>0</DocSecurity>
  <Lines>263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10117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FE</cp:lastModifiedBy>
  <cp:revision>3</cp:revision>
  <cp:lastPrinted>2024-05-01T09:32:00Z</cp:lastPrinted>
  <dcterms:created xsi:type="dcterms:W3CDTF">2026-05-22T13:15:00Z</dcterms:created>
  <dcterms:modified xsi:type="dcterms:W3CDTF">2026-05-22T13:35:00Z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