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372"/>
        <w:gridCol w:w="5078"/>
      </w:tblGrid>
      <w:tr w:rsidR="00EF6A23" w:rsidRPr="00B60868" w14:paraId="3FDAE1F3" w14:textId="77777777" w:rsidTr="003F083D">
        <w:trPr>
          <w:cantSplit/>
        </w:trPr>
        <w:tc>
          <w:tcPr>
            <w:tcW w:w="0" w:type="auto"/>
            <w:vAlign w:val="center"/>
          </w:tcPr>
          <w:p w14:paraId="3DE42CAA" w14:textId="77777777" w:rsidR="00EF6A23" w:rsidRPr="00B60868" w:rsidRDefault="00EF6A23" w:rsidP="00D14F31">
            <w:pPr>
              <w:tabs>
                <w:tab w:val="right" w:pos="8732"/>
              </w:tabs>
              <w:spacing w:before="0"/>
              <w:rPr>
                <w:b/>
                <w:bCs/>
                <w:iCs/>
                <w:color w:val="FFFFFF"/>
                <w:sz w:val="30"/>
                <w:szCs w:val="30"/>
              </w:rPr>
            </w:pPr>
            <w:r w:rsidRPr="00B60868">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B60868" w:rsidRDefault="00EF6A23" w:rsidP="00EF6A23">
            <w:pPr>
              <w:spacing w:before="0"/>
              <w:rPr>
                <w:rFonts w:cs="Times New Roman Bold"/>
                <w:b/>
                <w:bCs/>
                <w:iCs/>
                <w:smallCaps/>
                <w:sz w:val="34"/>
                <w:szCs w:val="34"/>
              </w:rPr>
            </w:pPr>
            <w:r w:rsidRPr="00B60868">
              <w:rPr>
                <w:rFonts w:cs="Times New Roman Bold"/>
                <w:b/>
                <w:bCs/>
                <w:iCs/>
                <w:smallCaps/>
                <w:sz w:val="34"/>
                <w:szCs w:val="34"/>
              </w:rPr>
              <w:t>Union internationale des télécommunications</w:t>
            </w:r>
          </w:p>
          <w:p w14:paraId="089E66D0" w14:textId="77777777" w:rsidR="00EF6A23" w:rsidRPr="00B60868" w:rsidRDefault="00EF6A23" w:rsidP="00EF6A23">
            <w:pPr>
              <w:spacing w:before="0"/>
              <w:rPr>
                <w:color w:val="FFFFFF"/>
                <w:sz w:val="26"/>
                <w:szCs w:val="26"/>
              </w:rPr>
            </w:pPr>
            <w:r w:rsidRPr="00B60868">
              <w:rPr>
                <w:rFonts w:cs="Times New Roman Bold"/>
                <w:b/>
                <w:bCs/>
                <w:iCs/>
                <w:smallCaps/>
                <w:sz w:val="28"/>
                <w:szCs w:val="28"/>
              </w:rPr>
              <w:t>B</w:t>
            </w:r>
            <w:r w:rsidRPr="00B60868">
              <w:rPr>
                <w:b/>
                <w:bCs/>
                <w:iCs/>
                <w:smallCaps/>
                <w:sz w:val="28"/>
                <w:szCs w:val="28"/>
              </w:rPr>
              <w:t>ureau de la Normalisation des Télécommunications</w:t>
            </w:r>
          </w:p>
        </w:tc>
      </w:tr>
      <w:tr w:rsidR="00036F4F" w:rsidRPr="00B60868" w14:paraId="18B25741" w14:textId="77777777" w:rsidTr="00307FB4">
        <w:trPr>
          <w:cantSplit/>
        </w:trPr>
        <w:tc>
          <w:tcPr>
            <w:tcW w:w="0" w:type="auto"/>
          </w:tcPr>
          <w:p w14:paraId="4B1AFD72" w14:textId="77777777" w:rsidR="00036F4F" w:rsidRPr="00B60868" w:rsidRDefault="00036F4F" w:rsidP="00A5280F">
            <w:pPr>
              <w:tabs>
                <w:tab w:val="left" w:pos="4111"/>
              </w:tabs>
              <w:spacing w:before="10"/>
              <w:ind w:left="57"/>
            </w:pPr>
          </w:p>
        </w:tc>
        <w:tc>
          <w:tcPr>
            <w:tcW w:w="3399" w:type="dxa"/>
          </w:tcPr>
          <w:p w14:paraId="6579D3E8" w14:textId="77777777" w:rsidR="00036F4F" w:rsidRPr="00B60868" w:rsidRDefault="00036F4F" w:rsidP="00A5280F">
            <w:pPr>
              <w:tabs>
                <w:tab w:val="left" w:pos="4111"/>
              </w:tabs>
              <w:spacing w:before="10"/>
              <w:ind w:left="57"/>
              <w:rPr>
                <w:b/>
              </w:rPr>
            </w:pPr>
          </w:p>
        </w:tc>
        <w:tc>
          <w:tcPr>
            <w:tcW w:w="5051" w:type="dxa"/>
          </w:tcPr>
          <w:p w14:paraId="0DC34ECA" w14:textId="1154CF4D" w:rsidR="00036F4F" w:rsidRPr="00B60868" w:rsidRDefault="00036F4F" w:rsidP="00A5645A">
            <w:pPr>
              <w:tabs>
                <w:tab w:val="clear" w:pos="794"/>
                <w:tab w:val="clear" w:pos="1191"/>
                <w:tab w:val="clear" w:pos="1588"/>
                <w:tab w:val="clear" w:pos="1985"/>
                <w:tab w:val="left" w:pos="284"/>
              </w:tabs>
              <w:spacing w:after="120"/>
              <w:ind w:left="284" w:hanging="227"/>
            </w:pPr>
            <w:r w:rsidRPr="00B60868">
              <w:t>Genève, le</w:t>
            </w:r>
            <w:r w:rsidR="004419E9" w:rsidRPr="00B60868">
              <w:t xml:space="preserve"> </w:t>
            </w:r>
            <w:r w:rsidR="00714A22">
              <w:t>19 mai 2026</w:t>
            </w:r>
          </w:p>
        </w:tc>
      </w:tr>
      <w:tr w:rsidR="00714A22" w:rsidRPr="00B60868" w14:paraId="16CDDFEF" w14:textId="77777777" w:rsidTr="00307FB4">
        <w:trPr>
          <w:cantSplit/>
          <w:trHeight w:val="340"/>
        </w:trPr>
        <w:tc>
          <w:tcPr>
            <w:tcW w:w="0" w:type="auto"/>
          </w:tcPr>
          <w:p w14:paraId="3EFF375D" w14:textId="58556577" w:rsidR="00714A22" w:rsidRPr="00B60868" w:rsidRDefault="00714A22" w:rsidP="00307FB4">
            <w:pPr>
              <w:tabs>
                <w:tab w:val="left" w:pos="4111"/>
              </w:tabs>
              <w:spacing w:before="10"/>
              <w:ind w:left="57"/>
              <w:rPr>
                <w:b/>
                <w:bCs/>
              </w:rPr>
            </w:pPr>
            <w:r w:rsidRPr="00B60868">
              <w:rPr>
                <w:b/>
                <w:bCs/>
              </w:rPr>
              <w:t>Réf.:</w:t>
            </w:r>
          </w:p>
        </w:tc>
        <w:tc>
          <w:tcPr>
            <w:tcW w:w="3399" w:type="dxa"/>
          </w:tcPr>
          <w:p w14:paraId="5FFBBC9B" w14:textId="087BE608" w:rsidR="00714A22" w:rsidRPr="00B60868" w:rsidRDefault="00714A22" w:rsidP="00A5280F">
            <w:pPr>
              <w:tabs>
                <w:tab w:val="left" w:pos="4111"/>
              </w:tabs>
              <w:spacing w:before="10"/>
              <w:ind w:left="57"/>
              <w:rPr>
                <w:b/>
              </w:rPr>
            </w:pPr>
            <w:r w:rsidRPr="00B60868">
              <w:rPr>
                <w:b/>
              </w:rPr>
              <w:t xml:space="preserve">Circulaire TSB </w:t>
            </w:r>
            <w:r>
              <w:rPr>
                <w:b/>
              </w:rPr>
              <w:t>137</w:t>
            </w:r>
          </w:p>
          <w:p w14:paraId="577F6DA2" w14:textId="77C1099A" w:rsidR="00714A22" w:rsidRPr="00B60868" w:rsidRDefault="00714A22" w:rsidP="00307FB4">
            <w:pPr>
              <w:tabs>
                <w:tab w:val="left" w:pos="4111"/>
              </w:tabs>
              <w:spacing w:before="10"/>
              <w:ind w:left="57"/>
              <w:rPr>
                <w:b/>
                <w:bCs/>
              </w:rPr>
            </w:pPr>
            <w:r w:rsidRPr="00714A22">
              <w:rPr>
                <w:b/>
                <w:bCs/>
              </w:rPr>
              <w:t>FG-EAI/SP</w:t>
            </w:r>
          </w:p>
        </w:tc>
        <w:tc>
          <w:tcPr>
            <w:tcW w:w="5051" w:type="dxa"/>
            <w:vMerge w:val="restart"/>
          </w:tcPr>
          <w:p w14:paraId="56FFB697" w14:textId="77777777" w:rsidR="00714A22" w:rsidRPr="00B60868" w:rsidRDefault="00714A22" w:rsidP="00307FB4">
            <w:pPr>
              <w:tabs>
                <w:tab w:val="left" w:pos="226"/>
                <w:tab w:val="left" w:pos="4111"/>
              </w:tabs>
              <w:spacing w:before="0"/>
              <w:ind w:left="226" w:hanging="226"/>
              <w:rPr>
                <w:b/>
                <w:bCs/>
              </w:rPr>
            </w:pPr>
            <w:bookmarkStart w:id="0" w:name="Addressee_F"/>
            <w:bookmarkEnd w:id="0"/>
            <w:r w:rsidRPr="00B60868">
              <w:rPr>
                <w:b/>
                <w:bCs/>
              </w:rPr>
              <w:t>Aux:</w:t>
            </w:r>
          </w:p>
          <w:p w14:paraId="35271D8E" w14:textId="274528A7" w:rsidR="00714A22" w:rsidRDefault="00714A22" w:rsidP="00307FB4">
            <w:pPr>
              <w:tabs>
                <w:tab w:val="left" w:pos="4111"/>
              </w:tabs>
              <w:spacing w:before="0"/>
              <w:ind w:left="426" w:hanging="426"/>
            </w:pPr>
            <w:r w:rsidRPr="00B60868">
              <w:t>–</w:t>
            </w:r>
            <w:r w:rsidRPr="00B60868">
              <w:tab/>
            </w:r>
            <w:r>
              <w:t xml:space="preserve">Aux </w:t>
            </w:r>
            <w:r w:rsidRPr="00B60868">
              <w:t>Administrations des États Membres de l'Union;</w:t>
            </w:r>
          </w:p>
          <w:p w14:paraId="4CBADB69" w14:textId="377D4544" w:rsidR="00714A22" w:rsidRPr="00B60868" w:rsidRDefault="00714A22" w:rsidP="00714A22">
            <w:pPr>
              <w:tabs>
                <w:tab w:val="left" w:pos="4111"/>
              </w:tabs>
              <w:spacing w:before="0"/>
              <w:ind w:left="426" w:hanging="426"/>
            </w:pPr>
            <w:r>
              <w:t>–</w:t>
            </w:r>
            <w:r>
              <w:tab/>
            </w:r>
            <w:r>
              <w:t>À l'État de Palestine</w:t>
            </w:r>
            <w:r>
              <w:t xml:space="preserve"> </w:t>
            </w:r>
            <w:r>
              <w:t>(Résolution 99 (Rév.</w:t>
            </w:r>
            <w:r>
              <w:t> </w:t>
            </w:r>
            <w:r>
              <w:t>Dubaï,</w:t>
            </w:r>
            <w:r>
              <w:t> </w:t>
            </w:r>
            <w:r>
              <w:t>2018));</w:t>
            </w:r>
          </w:p>
          <w:p w14:paraId="38A5A6AE" w14:textId="3A793A90" w:rsidR="00714A22" w:rsidRPr="00B60868" w:rsidRDefault="00714A22" w:rsidP="00307FB4">
            <w:pPr>
              <w:tabs>
                <w:tab w:val="left" w:pos="4111"/>
              </w:tabs>
              <w:spacing w:before="0"/>
              <w:ind w:left="426" w:hanging="426"/>
            </w:pPr>
            <w:r w:rsidRPr="00B60868">
              <w:t>–</w:t>
            </w:r>
            <w:r w:rsidRPr="00B60868">
              <w:tab/>
            </w:r>
            <w:r>
              <w:t xml:space="preserve">Aux </w:t>
            </w:r>
            <w:r w:rsidRPr="00B60868">
              <w:t>Membres du Secteur de l'UIT-T;</w:t>
            </w:r>
          </w:p>
          <w:p w14:paraId="45F82FBC" w14:textId="6B3E0087" w:rsidR="00714A22" w:rsidRPr="00B60868" w:rsidRDefault="00714A22" w:rsidP="00307FB4">
            <w:pPr>
              <w:tabs>
                <w:tab w:val="left" w:pos="4111"/>
              </w:tabs>
              <w:spacing w:before="0"/>
              <w:ind w:left="426" w:hanging="426"/>
            </w:pPr>
            <w:r w:rsidRPr="00B60868">
              <w:t>–</w:t>
            </w:r>
            <w:r w:rsidRPr="00B60868">
              <w:tab/>
            </w:r>
            <w:r>
              <w:t xml:space="preserve">Aux </w:t>
            </w:r>
            <w:r w:rsidRPr="00B60868">
              <w:t>Associés de l'UIT-T;</w:t>
            </w:r>
          </w:p>
          <w:p w14:paraId="051F7A56" w14:textId="4F84BCF9" w:rsidR="00714A22" w:rsidRPr="00B60868" w:rsidRDefault="00714A22" w:rsidP="00307FB4">
            <w:pPr>
              <w:tabs>
                <w:tab w:val="left" w:pos="4111"/>
              </w:tabs>
              <w:spacing w:before="0"/>
              <w:ind w:left="426" w:hanging="426"/>
            </w:pPr>
            <w:r w:rsidRPr="00B60868">
              <w:t>–</w:t>
            </w:r>
            <w:r w:rsidRPr="00B60868">
              <w:tab/>
            </w:r>
            <w:r>
              <w:t>Aux é</w:t>
            </w:r>
            <w:r w:rsidRPr="00B60868">
              <w:t>tablissements universitaires participant aux travaux de l'UIT</w:t>
            </w:r>
          </w:p>
          <w:p w14:paraId="23A4F070" w14:textId="77777777" w:rsidR="00714A22" w:rsidRPr="00B60868" w:rsidRDefault="00714A22" w:rsidP="00307FB4">
            <w:pPr>
              <w:tabs>
                <w:tab w:val="clear" w:pos="794"/>
                <w:tab w:val="left" w:pos="226"/>
                <w:tab w:val="left" w:pos="4111"/>
              </w:tabs>
              <w:spacing w:before="0"/>
              <w:ind w:left="226" w:hanging="226"/>
              <w:rPr>
                <w:b/>
                <w:bCs/>
              </w:rPr>
            </w:pPr>
            <w:r w:rsidRPr="00B60868">
              <w:rPr>
                <w:b/>
                <w:bCs/>
              </w:rPr>
              <w:t>Copie:</w:t>
            </w:r>
          </w:p>
          <w:p w14:paraId="09A8BF33" w14:textId="77777777" w:rsidR="00714A22" w:rsidRPr="00B60868" w:rsidRDefault="00714A22" w:rsidP="00307FB4">
            <w:pPr>
              <w:tabs>
                <w:tab w:val="clear" w:pos="794"/>
                <w:tab w:val="left" w:pos="4111"/>
              </w:tabs>
              <w:spacing w:before="0"/>
              <w:ind w:left="426" w:hanging="426"/>
            </w:pPr>
            <w:r w:rsidRPr="00B60868">
              <w:t>–</w:t>
            </w:r>
            <w:r w:rsidRPr="00B60868">
              <w:tab/>
              <w:t>Aux Présidents et Vice-Présidents des Commissions d'études;</w:t>
            </w:r>
          </w:p>
          <w:p w14:paraId="29BBB815" w14:textId="77777777" w:rsidR="00714A22" w:rsidRPr="00B60868" w:rsidRDefault="00714A22" w:rsidP="00307FB4">
            <w:pPr>
              <w:tabs>
                <w:tab w:val="clear" w:pos="794"/>
                <w:tab w:val="left" w:pos="4111"/>
              </w:tabs>
              <w:spacing w:before="0"/>
              <w:ind w:left="426" w:hanging="426"/>
            </w:pPr>
            <w:r w:rsidRPr="00B60868">
              <w:t>–</w:t>
            </w:r>
            <w:r w:rsidRPr="00B60868">
              <w:tab/>
              <w:t>Au Directeur du Bureau de développement des télécommunications;</w:t>
            </w:r>
          </w:p>
          <w:p w14:paraId="461460AE" w14:textId="2191CC15" w:rsidR="00714A22" w:rsidRPr="00B60868" w:rsidRDefault="00714A22" w:rsidP="00307FB4">
            <w:pPr>
              <w:tabs>
                <w:tab w:val="left" w:pos="4111"/>
              </w:tabs>
              <w:spacing w:before="0"/>
              <w:ind w:left="426" w:hanging="426"/>
            </w:pPr>
            <w:r w:rsidRPr="00B60868">
              <w:t>–</w:t>
            </w:r>
            <w:r w:rsidRPr="00B60868">
              <w:tab/>
              <w:t>Au Directeur du Bureau des radiocommunications</w:t>
            </w:r>
          </w:p>
        </w:tc>
      </w:tr>
      <w:tr w:rsidR="00714A22" w:rsidRPr="00B60868" w14:paraId="724FD23E" w14:textId="77777777" w:rsidTr="00307FB4">
        <w:trPr>
          <w:cantSplit/>
        </w:trPr>
        <w:tc>
          <w:tcPr>
            <w:tcW w:w="0" w:type="auto"/>
          </w:tcPr>
          <w:p w14:paraId="73149CCD" w14:textId="77777777" w:rsidR="00714A22" w:rsidRPr="00B60868" w:rsidRDefault="00714A22" w:rsidP="00A5280F">
            <w:pPr>
              <w:tabs>
                <w:tab w:val="left" w:pos="4111"/>
              </w:tabs>
              <w:spacing w:before="10"/>
              <w:ind w:left="57"/>
              <w:rPr>
                <w:b/>
                <w:bCs/>
                <w:sz w:val="20"/>
              </w:rPr>
            </w:pPr>
            <w:r w:rsidRPr="00B60868">
              <w:rPr>
                <w:b/>
                <w:bCs/>
              </w:rPr>
              <w:t>Tél.:</w:t>
            </w:r>
          </w:p>
        </w:tc>
        <w:tc>
          <w:tcPr>
            <w:tcW w:w="3399" w:type="dxa"/>
          </w:tcPr>
          <w:p w14:paraId="78D06186" w14:textId="3D24B2E4" w:rsidR="00714A22" w:rsidRPr="00B60868" w:rsidRDefault="00714A22" w:rsidP="00A5280F">
            <w:pPr>
              <w:tabs>
                <w:tab w:val="left" w:pos="4111"/>
              </w:tabs>
              <w:spacing w:before="0"/>
              <w:ind w:left="57"/>
            </w:pPr>
            <w:r w:rsidRPr="00B60868">
              <w:t xml:space="preserve">+41 22 730 </w:t>
            </w:r>
            <w:r>
              <w:t>5858</w:t>
            </w:r>
          </w:p>
        </w:tc>
        <w:tc>
          <w:tcPr>
            <w:tcW w:w="5051" w:type="dxa"/>
            <w:vMerge/>
          </w:tcPr>
          <w:p w14:paraId="6D3A5806" w14:textId="1FD9E47E" w:rsidR="00714A22" w:rsidRPr="00B60868" w:rsidRDefault="00714A22" w:rsidP="00307FB4">
            <w:pPr>
              <w:tabs>
                <w:tab w:val="left" w:pos="4111"/>
              </w:tabs>
              <w:spacing w:before="0"/>
              <w:ind w:left="426" w:hanging="426"/>
              <w:rPr>
                <w:b/>
              </w:rPr>
            </w:pPr>
          </w:p>
        </w:tc>
      </w:tr>
      <w:tr w:rsidR="00714A22" w:rsidRPr="00B60868" w14:paraId="030F9AE5" w14:textId="77777777" w:rsidTr="00714A22">
        <w:trPr>
          <w:cantSplit/>
          <w:trHeight w:val="263"/>
        </w:trPr>
        <w:tc>
          <w:tcPr>
            <w:tcW w:w="0" w:type="auto"/>
          </w:tcPr>
          <w:p w14:paraId="7B417C4C" w14:textId="77777777" w:rsidR="00714A22" w:rsidRPr="00B60868" w:rsidRDefault="00714A22" w:rsidP="00A5280F">
            <w:pPr>
              <w:tabs>
                <w:tab w:val="left" w:pos="4111"/>
              </w:tabs>
              <w:spacing w:before="10"/>
              <w:ind w:left="57"/>
              <w:rPr>
                <w:b/>
                <w:bCs/>
                <w:sz w:val="20"/>
              </w:rPr>
            </w:pPr>
            <w:r w:rsidRPr="00B60868">
              <w:rPr>
                <w:b/>
                <w:bCs/>
              </w:rPr>
              <w:t>Télécopie:</w:t>
            </w:r>
          </w:p>
        </w:tc>
        <w:tc>
          <w:tcPr>
            <w:tcW w:w="3399" w:type="dxa"/>
          </w:tcPr>
          <w:p w14:paraId="1A4A5F7B" w14:textId="77777777" w:rsidR="00714A22" w:rsidRPr="00B60868" w:rsidRDefault="00714A22" w:rsidP="00A5280F">
            <w:pPr>
              <w:tabs>
                <w:tab w:val="left" w:pos="4111"/>
              </w:tabs>
              <w:spacing w:before="0"/>
              <w:ind w:left="57"/>
            </w:pPr>
            <w:r w:rsidRPr="00B60868">
              <w:t>+41 22 730 5853</w:t>
            </w:r>
          </w:p>
        </w:tc>
        <w:tc>
          <w:tcPr>
            <w:tcW w:w="5051" w:type="dxa"/>
            <w:vMerge/>
          </w:tcPr>
          <w:p w14:paraId="323DAC81" w14:textId="21EB97F2" w:rsidR="00714A22" w:rsidRPr="00B60868" w:rsidRDefault="00714A22" w:rsidP="00307FB4">
            <w:pPr>
              <w:tabs>
                <w:tab w:val="left" w:pos="4111"/>
              </w:tabs>
              <w:spacing w:before="0"/>
              <w:ind w:left="426" w:hanging="426"/>
              <w:rPr>
                <w:b/>
              </w:rPr>
            </w:pPr>
          </w:p>
        </w:tc>
      </w:tr>
      <w:tr w:rsidR="00714A22" w:rsidRPr="00B60868" w14:paraId="640FB6B9" w14:textId="77777777" w:rsidTr="00307FB4">
        <w:trPr>
          <w:cantSplit/>
        </w:trPr>
        <w:tc>
          <w:tcPr>
            <w:tcW w:w="0" w:type="auto"/>
          </w:tcPr>
          <w:p w14:paraId="15527369" w14:textId="0865F49A" w:rsidR="00714A22" w:rsidRPr="00B60868" w:rsidRDefault="00714A22" w:rsidP="00A5280F">
            <w:pPr>
              <w:tabs>
                <w:tab w:val="left" w:pos="4111"/>
              </w:tabs>
              <w:spacing w:before="10"/>
              <w:ind w:left="57"/>
              <w:rPr>
                <w:b/>
                <w:bCs/>
              </w:rPr>
            </w:pPr>
            <w:r w:rsidRPr="00B60868">
              <w:rPr>
                <w:b/>
                <w:bCs/>
              </w:rPr>
              <w:t>Courriel:</w:t>
            </w:r>
          </w:p>
        </w:tc>
        <w:tc>
          <w:tcPr>
            <w:tcW w:w="3399" w:type="dxa"/>
          </w:tcPr>
          <w:p w14:paraId="172249CE" w14:textId="393999C2" w:rsidR="00714A22" w:rsidRPr="00B60868" w:rsidRDefault="00714A22" w:rsidP="00A5280F">
            <w:pPr>
              <w:tabs>
                <w:tab w:val="left" w:pos="4111"/>
              </w:tabs>
              <w:spacing w:before="0"/>
              <w:ind w:left="57"/>
            </w:pPr>
            <w:hyperlink r:id="rId9" w:history="1">
              <w:r>
                <w:rPr>
                  <w:rStyle w:val="Hyperlink"/>
                </w:rPr>
                <w:t>tsbfgeai@itu.int</w:t>
              </w:r>
            </w:hyperlink>
          </w:p>
        </w:tc>
        <w:tc>
          <w:tcPr>
            <w:tcW w:w="5051" w:type="dxa"/>
            <w:vMerge/>
          </w:tcPr>
          <w:p w14:paraId="19762254" w14:textId="2F07FF81" w:rsidR="00714A22" w:rsidRPr="00B60868" w:rsidRDefault="00714A22" w:rsidP="00307FB4">
            <w:pPr>
              <w:tabs>
                <w:tab w:val="clear" w:pos="794"/>
                <w:tab w:val="left" w:pos="4111"/>
              </w:tabs>
              <w:spacing w:before="0"/>
              <w:ind w:left="426" w:hanging="426"/>
            </w:pPr>
          </w:p>
        </w:tc>
      </w:tr>
      <w:tr w:rsidR="00517A03" w:rsidRPr="00B60868" w14:paraId="5435C04A" w14:textId="77777777" w:rsidTr="00C41B89">
        <w:trPr>
          <w:cantSplit/>
          <w:trHeight w:val="397"/>
        </w:trPr>
        <w:tc>
          <w:tcPr>
            <w:tcW w:w="0" w:type="auto"/>
          </w:tcPr>
          <w:p w14:paraId="2A0B9B4F" w14:textId="77777777" w:rsidR="00517A03" w:rsidRPr="00B60868" w:rsidRDefault="00517A03" w:rsidP="00307FB4">
            <w:pPr>
              <w:tabs>
                <w:tab w:val="left" w:pos="4111"/>
              </w:tabs>
              <w:ind w:left="57"/>
              <w:rPr>
                <w:b/>
                <w:bCs/>
                <w:szCs w:val="22"/>
              </w:rPr>
            </w:pPr>
            <w:r w:rsidRPr="00B60868">
              <w:rPr>
                <w:b/>
                <w:bCs/>
                <w:szCs w:val="22"/>
              </w:rPr>
              <w:t>Objet:</w:t>
            </w:r>
          </w:p>
        </w:tc>
        <w:tc>
          <w:tcPr>
            <w:tcW w:w="0" w:type="auto"/>
            <w:gridSpan w:val="2"/>
          </w:tcPr>
          <w:p w14:paraId="308796F2" w14:textId="77777777" w:rsidR="00714A22" w:rsidRPr="00714A22" w:rsidRDefault="00714A22" w:rsidP="00714A22">
            <w:pPr>
              <w:tabs>
                <w:tab w:val="left" w:pos="4111"/>
              </w:tabs>
              <w:ind w:left="57"/>
              <w:rPr>
                <w:b/>
                <w:bCs/>
                <w:szCs w:val="22"/>
              </w:rPr>
            </w:pPr>
            <w:r w:rsidRPr="00714A22">
              <w:rPr>
                <w:b/>
                <w:bCs/>
                <w:szCs w:val="22"/>
              </w:rPr>
              <w:t>Deuxième réunion du Groupe spécialisé de l'UIT-T sur l'intelligence artificielle incarnée au service des technologies multimédias (FG-EAI)</w:t>
            </w:r>
          </w:p>
          <w:p w14:paraId="1A51EE75" w14:textId="5CB68D24" w:rsidR="00517A03" w:rsidRPr="00B60868" w:rsidRDefault="00714A22" w:rsidP="00714A22">
            <w:pPr>
              <w:tabs>
                <w:tab w:val="left" w:pos="4111"/>
              </w:tabs>
              <w:spacing w:before="0" w:after="120"/>
              <w:ind w:left="57"/>
              <w:rPr>
                <w:b/>
                <w:bCs/>
                <w:szCs w:val="22"/>
              </w:rPr>
            </w:pPr>
            <w:r w:rsidRPr="00714A22">
              <w:rPr>
                <w:b/>
                <w:bCs/>
                <w:szCs w:val="22"/>
              </w:rPr>
              <w:t>Genève, 11 juillet 2026</w:t>
            </w:r>
          </w:p>
        </w:tc>
      </w:tr>
    </w:tbl>
    <w:p w14:paraId="2D1EC328" w14:textId="77777777" w:rsidR="00517A03" w:rsidRPr="00B60868" w:rsidRDefault="00517A03" w:rsidP="0048088B">
      <w:pPr>
        <w:spacing w:before="360"/>
      </w:pPr>
      <w:bookmarkStart w:id="1" w:name="StartTyping_F"/>
      <w:bookmarkEnd w:id="1"/>
      <w:r w:rsidRPr="00B60868">
        <w:t>Madame, Monsieur,</w:t>
      </w:r>
    </w:p>
    <w:p w14:paraId="33E2CA03" w14:textId="3B41371C" w:rsidR="00714A22" w:rsidRPr="00714A22" w:rsidRDefault="00714A22" w:rsidP="00714A22">
      <w:pPr>
        <w:rPr>
          <w:bCs/>
        </w:rPr>
      </w:pPr>
      <w:r w:rsidRPr="00714A22">
        <w:rPr>
          <w:bCs/>
        </w:rPr>
        <w:t>1</w:t>
      </w:r>
      <w:r w:rsidRPr="00714A22">
        <w:rPr>
          <w:bCs/>
        </w:rPr>
        <w:tab/>
        <w:t xml:space="preserve">J'ai l'honneur de vous inviter à participer à la deuxième réunion du </w:t>
      </w:r>
      <w:r w:rsidRPr="00714A22">
        <w:rPr>
          <w:b/>
        </w:rPr>
        <w:t>Groupe spécialisé de l'UIT-T sur l'intelligence artificielle incarnée au service des technologies multimédias (</w:t>
      </w:r>
      <w:hyperlink r:id="rId10" w:history="1">
        <w:r w:rsidRPr="00714A22">
          <w:rPr>
            <w:rStyle w:val="Hyperlink"/>
            <w:b/>
          </w:rPr>
          <w:t>FG-EAI</w:t>
        </w:r>
      </w:hyperlink>
      <w:r w:rsidRPr="00714A22">
        <w:rPr>
          <w:b/>
        </w:rPr>
        <w:t>)</w:t>
      </w:r>
      <w:r w:rsidRPr="00714A22">
        <w:rPr>
          <w:bCs/>
        </w:rPr>
        <w:t xml:space="preserve">, qui se tiendra au siège de l'UIT à Genève (Suisse) le </w:t>
      </w:r>
      <w:r w:rsidRPr="00714A22">
        <w:rPr>
          <w:b/>
        </w:rPr>
        <w:t>samedi 11 juillet 2026</w:t>
      </w:r>
      <w:r w:rsidRPr="00714A22">
        <w:rPr>
          <w:bCs/>
        </w:rPr>
        <w:t>, au format présentiel avec participation à distance.</w:t>
      </w:r>
    </w:p>
    <w:p w14:paraId="1E6C99E0" w14:textId="1EB18EEB" w:rsidR="00714A22" w:rsidRPr="00714A22" w:rsidRDefault="00714A22" w:rsidP="00714A22">
      <w:pPr>
        <w:rPr>
          <w:bCs/>
        </w:rPr>
      </w:pPr>
      <w:r w:rsidRPr="00714A22">
        <w:rPr>
          <w:bCs/>
        </w:rPr>
        <w:t xml:space="preserve">Cette réunion du Groupe FG-EAI aura lieu pendant la réunion de la </w:t>
      </w:r>
      <w:hyperlink r:id="rId11" w:history="1">
        <w:r w:rsidRPr="00714A22">
          <w:rPr>
            <w:rStyle w:val="Hyperlink"/>
            <w:bCs/>
          </w:rPr>
          <w:t>Commission d'études 21 de l'UIT-T</w:t>
        </w:r>
      </w:hyperlink>
      <w:r w:rsidRPr="00714A22">
        <w:rPr>
          <w:bCs/>
        </w:rPr>
        <w:t xml:space="preserve"> (6-17 juillet 2026, voir la </w:t>
      </w:r>
      <w:hyperlink r:id="rId12" w:history="1">
        <w:r w:rsidRPr="00714A22">
          <w:rPr>
            <w:rStyle w:val="Hyperlink"/>
            <w:bCs/>
          </w:rPr>
          <w:t>Lettre collective TSB 6/21</w:t>
        </w:r>
      </w:hyperlink>
      <w:r w:rsidRPr="00714A22">
        <w:rPr>
          <w:bCs/>
        </w:rPr>
        <w:t xml:space="preserve">) et immédiatement après le </w:t>
      </w:r>
      <w:hyperlink r:id="rId13" w:history="1">
        <w:r w:rsidRPr="00714A22">
          <w:rPr>
            <w:rStyle w:val="Hyperlink"/>
            <w:bCs/>
          </w:rPr>
          <w:t>Sommet mondial sur l'intelligence artificielle au service du bien social</w:t>
        </w:r>
      </w:hyperlink>
      <w:r w:rsidRPr="00714A22">
        <w:rPr>
          <w:bCs/>
        </w:rPr>
        <w:t>, qui se déroulera à PALEXPO (Genève,</w:t>
      </w:r>
      <w:r>
        <w:rPr>
          <w:bCs/>
        </w:rPr>
        <w:t> </w:t>
      </w:r>
      <w:r w:rsidRPr="00714A22">
        <w:rPr>
          <w:bCs/>
        </w:rPr>
        <w:t xml:space="preserve">Suisse) du 7 au 10 juillet 2026). Un </w:t>
      </w:r>
      <w:hyperlink r:id="rId14" w:history="1">
        <w:r w:rsidRPr="00482B99">
          <w:rPr>
            <w:rStyle w:val="Hyperlink"/>
            <w:bCs/>
          </w:rPr>
          <w:t>atelier sur l'</w:t>
        </w:r>
        <w:r w:rsidRPr="00482B99">
          <w:rPr>
            <w:rStyle w:val="Hyperlink"/>
            <w:b/>
          </w:rPr>
          <w:t>IA incarnée</w:t>
        </w:r>
      </w:hyperlink>
      <w:r w:rsidRPr="00714A22">
        <w:rPr>
          <w:bCs/>
        </w:rPr>
        <w:t xml:space="preserve"> sera en outre organisé dans le</w:t>
      </w:r>
      <w:r>
        <w:rPr>
          <w:bCs/>
        </w:rPr>
        <w:t> </w:t>
      </w:r>
      <w:r w:rsidRPr="00714A22">
        <w:rPr>
          <w:bCs/>
        </w:rPr>
        <w:t>cadre du Sommet mondial sur l'intelligence artificielle au service du bien social.</w:t>
      </w:r>
    </w:p>
    <w:p w14:paraId="4757F679" w14:textId="2DB449A5" w:rsidR="00714A22" w:rsidRPr="00714A22" w:rsidRDefault="00714A22" w:rsidP="00714A22">
      <w:pPr>
        <w:rPr>
          <w:bCs/>
        </w:rPr>
      </w:pPr>
      <w:r w:rsidRPr="00482B99">
        <w:rPr>
          <w:b/>
        </w:rPr>
        <w:t>Rappel et objectifs</w:t>
      </w:r>
      <w:r w:rsidRPr="00714A22">
        <w:rPr>
          <w:bCs/>
        </w:rPr>
        <w:t xml:space="preserve">: </w:t>
      </w:r>
      <w:r w:rsidR="00482B99">
        <w:rPr>
          <w:bCs/>
        </w:rPr>
        <w:t>l</w:t>
      </w:r>
      <w:r w:rsidRPr="00714A22">
        <w:rPr>
          <w:bCs/>
        </w:rPr>
        <w:t>es participants à la première réunion (virtuelle) du Groupe FG-EAI (6</w:t>
      </w:r>
      <w:r w:rsidR="00482B99">
        <w:rPr>
          <w:bCs/>
        </w:rPr>
        <w:noBreakHyphen/>
      </w:r>
      <w:r w:rsidRPr="00714A22">
        <w:rPr>
          <w:bCs/>
        </w:rPr>
        <w:t>7</w:t>
      </w:r>
      <w:r w:rsidR="00482B99">
        <w:rPr>
          <w:bCs/>
        </w:rPr>
        <w:t> </w:t>
      </w:r>
      <w:r w:rsidRPr="00714A22">
        <w:rPr>
          <w:bCs/>
        </w:rPr>
        <w:t>mai</w:t>
      </w:r>
      <w:r w:rsidR="00482B99">
        <w:rPr>
          <w:bCs/>
        </w:rPr>
        <w:t> </w:t>
      </w:r>
      <w:r w:rsidRPr="00714A22">
        <w:rPr>
          <w:bCs/>
        </w:rPr>
        <w:t xml:space="preserve">2026) sont convenus de la </w:t>
      </w:r>
      <w:hyperlink r:id="rId15" w:history="1">
        <w:r w:rsidRPr="00482B99">
          <w:rPr>
            <w:rStyle w:val="Hyperlink"/>
            <w:bCs/>
          </w:rPr>
          <w:t>structure</w:t>
        </w:r>
      </w:hyperlink>
      <w:r w:rsidRPr="00714A22">
        <w:rPr>
          <w:bCs/>
        </w:rPr>
        <w:t xml:space="preserve">, organisée en groupes de travail et présentée dans le </w:t>
      </w:r>
      <w:hyperlink r:id="rId16" w:history="1">
        <w:r w:rsidR="00482B99" w:rsidRPr="00482B99">
          <w:rPr>
            <w:rStyle w:val="Hyperlink"/>
            <w:bCs/>
          </w:rPr>
          <w:t>D</w:t>
        </w:r>
        <w:r w:rsidRPr="00482B99">
          <w:rPr>
            <w:rStyle w:val="Hyperlink"/>
            <w:bCs/>
          </w:rPr>
          <w:t>ocument FG-EAI-O-001</w:t>
        </w:r>
      </w:hyperlink>
      <w:r w:rsidRPr="00714A22">
        <w:rPr>
          <w:bCs/>
        </w:rPr>
        <w:t>. Les contributions à la deuxième réunion devraient être soumises selon cette structure et avoir pour objectif de lancer les travaux sur de nouveaux sujets d'étude (rapports</w:t>
      </w:r>
      <w:r w:rsidR="00482B99">
        <w:rPr>
          <w:bCs/>
        </w:rPr>
        <w:t> </w:t>
      </w:r>
      <w:r w:rsidRPr="00714A22">
        <w:rPr>
          <w:bCs/>
        </w:rPr>
        <w:t xml:space="preserve">techniques et/ou spécifications techniques). Veuillez noter qu'un </w:t>
      </w:r>
      <w:hyperlink r:id="rId17" w:history="1">
        <w:r w:rsidRPr="00482B99">
          <w:rPr>
            <w:rStyle w:val="Hyperlink"/>
            <w:bCs/>
          </w:rPr>
          <w:t>modèle de justification</w:t>
        </w:r>
      </w:hyperlink>
      <w:r w:rsidRPr="00714A22">
        <w:rPr>
          <w:bCs/>
        </w:rPr>
        <w:t xml:space="preserve"> a été élaboré à cet effet. En outre, les discussions tenues lors des réunions virtuelles intérimaires des groupes de travail ci-après devraient être prises en considération:</w:t>
      </w:r>
    </w:p>
    <w:p w14:paraId="14976078" w14:textId="2416C139" w:rsidR="00714A22" w:rsidRPr="00714A22" w:rsidRDefault="00482B99" w:rsidP="00482B99">
      <w:pPr>
        <w:pStyle w:val="enumlev1"/>
        <w:keepNext/>
      </w:pPr>
      <w:r w:rsidRPr="00482B99">
        <w:lastRenderedPageBreak/>
        <w:t>–</w:t>
      </w:r>
      <w:r w:rsidR="00714A22" w:rsidRPr="00714A22">
        <w:tab/>
      </w:r>
      <w:hyperlink r:id="rId18" w:history="1">
        <w:r w:rsidR="00714A22" w:rsidRPr="00482B99">
          <w:rPr>
            <w:rStyle w:val="Hyperlink"/>
          </w:rPr>
          <w:t>GT</w:t>
        </w:r>
        <w:r w:rsidRPr="00482B99">
          <w:rPr>
            <w:rStyle w:val="Hyperlink"/>
          </w:rPr>
          <w:t xml:space="preserve"> </w:t>
        </w:r>
        <w:r w:rsidR="00714A22" w:rsidRPr="00482B99">
          <w:rPr>
            <w:rStyle w:val="Hyperlink"/>
          </w:rPr>
          <w:t>1</w:t>
        </w:r>
      </w:hyperlink>
      <w:r>
        <w:t xml:space="preserve"> –</w:t>
      </w:r>
      <w:r w:rsidR="00714A22" w:rsidRPr="00714A22">
        <w:t xml:space="preserve"> </w:t>
      </w:r>
      <w:r>
        <w:t>"</w:t>
      </w:r>
      <w:r w:rsidR="00714A22" w:rsidRPr="00714A22">
        <w:t>Architecture de base et terminologie</w:t>
      </w:r>
      <w:r>
        <w:t>"</w:t>
      </w:r>
      <w:r w:rsidR="00714A22" w:rsidRPr="00714A22">
        <w:t>, 8-9 juin 2026 (12</w:t>
      </w:r>
      <w:r>
        <w:t xml:space="preserve"> </w:t>
      </w:r>
      <w:r w:rsidR="00714A22" w:rsidRPr="00714A22">
        <w:t>h</w:t>
      </w:r>
      <w:r>
        <w:t xml:space="preserve"> </w:t>
      </w:r>
      <w:r w:rsidR="00714A22" w:rsidRPr="00714A22">
        <w:t>00-15</w:t>
      </w:r>
      <w:r>
        <w:t xml:space="preserve"> h </w:t>
      </w:r>
      <w:r w:rsidR="00714A22" w:rsidRPr="00714A22">
        <w:t>00, heure de Genève);</w:t>
      </w:r>
    </w:p>
    <w:p w14:paraId="0E5C8D46" w14:textId="5075D107" w:rsidR="00714A22" w:rsidRPr="00714A22" w:rsidRDefault="00482B99" w:rsidP="00482B99">
      <w:pPr>
        <w:pStyle w:val="enumlev1"/>
      </w:pPr>
      <w:r w:rsidRPr="00482B99">
        <w:t>–</w:t>
      </w:r>
      <w:r w:rsidR="00714A22" w:rsidRPr="00714A22">
        <w:tab/>
      </w:r>
      <w:hyperlink r:id="rId19" w:history="1">
        <w:r w:rsidR="00714A22" w:rsidRPr="00482B99">
          <w:rPr>
            <w:rStyle w:val="Hyperlink"/>
          </w:rPr>
          <w:t>GT</w:t>
        </w:r>
        <w:r w:rsidRPr="00482B99">
          <w:rPr>
            <w:rStyle w:val="Hyperlink"/>
          </w:rPr>
          <w:t xml:space="preserve"> </w:t>
        </w:r>
        <w:r w:rsidR="00714A22" w:rsidRPr="00482B99">
          <w:rPr>
            <w:rStyle w:val="Hyperlink"/>
          </w:rPr>
          <w:t>7</w:t>
        </w:r>
      </w:hyperlink>
      <w:r>
        <w:t xml:space="preserve"> –</w:t>
      </w:r>
      <w:r w:rsidR="00714A22" w:rsidRPr="00714A22">
        <w:t xml:space="preserve"> </w:t>
      </w:r>
      <w:r>
        <w:t>"</w:t>
      </w:r>
      <w:r w:rsidR="00714A22" w:rsidRPr="00714A22">
        <w:t>Alignement et interaction avec l'homme</w:t>
      </w:r>
      <w:r>
        <w:t>"</w:t>
      </w:r>
      <w:r w:rsidR="00714A22" w:rsidRPr="00714A22">
        <w:t>, 10-11 juin 2026 (12</w:t>
      </w:r>
      <w:r>
        <w:t xml:space="preserve"> </w:t>
      </w:r>
      <w:r w:rsidR="00714A22" w:rsidRPr="00714A22">
        <w:t>h</w:t>
      </w:r>
      <w:r>
        <w:t xml:space="preserve"> </w:t>
      </w:r>
      <w:r w:rsidR="00714A22" w:rsidRPr="00714A22">
        <w:t>00-15</w:t>
      </w:r>
      <w:r>
        <w:t xml:space="preserve"> </w:t>
      </w:r>
      <w:r w:rsidR="00714A22" w:rsidRPr="00714A22">
        <w:t>h</w:t>
      </w:r>
      <w:r>
        <w:t xml:space="preserve"> </w:t>
      </w:r>
      <w:r w:rsidR="00714A22" w:rsidRPr="00714A22">
        <w:t>00, heure de Genève).</w:t>
      </w:r>
    </w:p>
    <w:p w14:paraId="0FA47A51" w14:textId="4DD381C8" w:rsidR="00714A22" w:rsidRPr="00714A22" w:rsidRDefault="00714A22" w:rsidP="00714A22">
      <w:pPr>
        <w:rPr>
          <w:bCs/>
        </w:rPr>
      </w:pPr>
      <w:r w:rsidRPr="00714A22">
        <w:rPr>
          <w:bCs/>
        </w:rPr>
        <w:t>Pour de plus amples informations, veuillez consulter le projet de rapport de la première réunion du Groupe</w:t>
      </w:r>
      <w:r w:rsidR="00482B99">
        <w:rPr>
          <w:bCs/>
        </w:rPr>
        <w:t> </w:t>
      </w:r>
      <w:r w:rsidRPr="00714A22">
        <w:rPr>
          <w:bCs/>
        </w:rPr>
        <w:t>FG-EAI</w:t>
      </w:r>
      <w:r w:rsidR="00482B99">
        <w:rPr>
          <w:bCs/>
        </w:rPr>
        <w:t xml:space="preserve"> (</w:t>
      </w:r>
      <w:hyperlink r:id="rId20" w:history="1">
        <w:r w:rsidR="00482B99" w:rsidRPr="00482B99">
          <w:rPr>
            <w:rStyle w:val="Hyperlink"/>
            <w:bCs/>
          </w:rPr>
          <w:t>Document FGEAI-O-003</w:t>
        </w:r>
      </w:hyperlink>
      <w:r w:rsidR="00482B99">
        <w:rPr>
          <w:bCs/>
        </w:rPr>
        <w:t>)</w:t>
      </w:r>
      <w:r w:rsidRPr="00714A22">
        <w:rPr>
          <w:bCs/>
        </w:rPr>
        <w:t>.</w:t>
      </w:r>
    </w:p>
    <w:p w14:paraId="33F53EA2" w14:textId="26489770" w:rsidR="00714A22" w:rsidRPr="00714A22" w:rsidRDefault="00714A22" w:rsidP="00714A22">
      <w:pPr>
        <w:rPr>
          <w:bCs/>
        </w:rPr>
      </w:pPr>
      <w:r w:rsidRPr="00714A22">
        <w:rPr>
          <w:bCs/>
        </w:rPr>
        <w:t>2</w:t>
      </w:r>
      <w:r w:rsidRPr="00714A22">
        <w:rPr>
          <w:bCs/>
        </w:rPr>
        <w:tab/>
        <w:t xml:space="preserve">M. Yuntao Wang (CAICT, Chine) est nommé Président de ce </w:t>
      </w:r>
      <w:r w:rsidR="00482B99">
        <w:rPr>
          <w:bCs/>
        </w:rPr>
        <w:t>g</w:t>
      </w:r>
      <w:r w:rsidRPr="00714A22">
        <w:rPr>
          <w:bCs/>
        </w:rPr>
        <w:t>roupe. M</w:t>
      </w:r>
      <w:r w:rsidR="00482B99">
        <w:rPr>
          <w:bCs/>
        </w:rPr>
        <w:t>.</w:t>
      </w:r>
      <w:r w:rsidRPr="00714A22">
        <w:rPr>
          <w:bCs/>
        </w:rPr>
        <w:t xml:space="preserve"> Shin-Gak Kang (ETRI, République de Corée) et </w:t>
      </w:r>
      <w:r w:rsidR="00482B99">
        <w:rPr>
          <w:bCs/>
        </w:rPr>
        <w:t xml:space="preserve">M. </w:t>
      </w:r>
      <w:r w:rsidRPr="00714A22">
        <w:rPr>
          <w:bCs/>
        </w:rPr>
        <w:t xml:space="preserve">Avinash Agarwal (Ministère des communications de l'Inde) sont nommés Vice-Présidents du </w:t>
      </w:r>
      <w:r w:rsidR="00482B99">
        <w:rPr>
          <w:bCs/>
        </w:rPr>
        <w:t>g</w:t>
      </w:r>
      <w:r w:rsidRPr="00714A22">
        <w:rPr>
          <w:bCs/>
        </w:rPr>
        <w:t xml:space="preserve">roupe et Présidents des GT 1 et 7, respectivement. D'autres dirigeants seront nommés par le </w:t>
      </w:r>
      <w:r w:rsidR="00482B99">
        <w:rPr>
          <w:bCs/>
        </w:rPr>
        <w:t>g</w:t>
      </w:r>
      <w:r w:rsidRPr="00714A22">
        <w:rPr>
          <w:bCs/>
        </w:rPr>
        <w:t xml:space="preserve">roupe pour renforcer son équipe de direction et pour mener les travaux des autres GT. Veuillez consulter le </w:t>
      </w:r>
      <w:hyperlink r:id="rId21" w:history="1">
        <w:r w:rsidRPr="00482B99">
          <w:rPr>
            <w:rStyle w:val="Hyperlink"/>
            <w:bCs/>
          </w:rPr>
          <w:t>Document FGEAI-I-002R2</w:t>
        </w:r>
      </w:hyperlink>
      <w:r w:rsidRPr="00714A22">
        <w:rPr>
          <w:bCs/>
        </w:rPr>
        <w:t xml:space="preserve"> si vous souhaitez proposer un candidat.</w:t>
      </w:r>
    </w:p>
    <w:p w14:paraId="62709215" w14:textId="745106A7" w:rsidR="00714A22" w:rsidRPr="00714A22" w:rsidRDefault="00714A22" w:rsidP="00714A22">
      <w:pPr>
        <w:rPr>
          <w:bCs/>
        </w:rPr>
      </w:pPr>
      <w:r w:rsidRPr="00714A22">
        <w:rPr>
          <w:bCs/>
        </w:rPr>
        <w:t>3</w:t>
      </w:r>
      <w:r w:rsidRPr="00714A22">
        <w:rPr>
          <w:bCs/>
        </w:rPr>
        <w:tab/>
        <w:t xml:space="preserve">Le Groupe FG-EAI étudiera comment l'intelligence artificielle (IA) incarnée peut prendre en charge des applications multimédias centrées sur l'humain en examinant ses capacités techniques fondamentales, telles que la compréhension du monde physique, l'apprentissage par essai-erreur et la collaboration avec les humains et leur environnement. Il étudiera les principales technologies sous-jacentes, notamment les ensembles de données réelles et virtuelles, le contrôle en boucle fermée, l'entraînement de modèles mondiaux et l'interaction homme-machine avancée. De plus amples informations sur le domaine de compétence du </w:t>
      </w:r>
      <w:r w:rsidR="00482B99">
        <w:rPr>
          <w:bCs/>
        </w:rPr>
        <w:t>g</w:t>
      </w:r>
      <w:r w:rsidRPr="00714A22">
        <w:rPr>
          <w:bCs/>
        </w:rPr>
        <w:t xml:space="preserve">roupe figurent dans </w:t>
      </w:r>
      <w:hyperlink r:id="rId22" w:history="1">
        <w:r w:rsidRPr="00482B99">
          <w:rPr>
            <w:rStyle w:val="Hyperlink"/>
            <w:bCs/>
          </w:rPr>
          <w:t>son mandat</w:t>
        </w:r>
      </w:hyperlink>
      <w:r w:rsidRPr="00714A22">
        <w:rPr>
          <w:bCs/>
        </w:rPr>
        <w:t>.</w:t>
      </w:r>
    </w:p>
    <w:p w14:paraId="13A1298A" w14:textId="1FB9F4E0" w:rsidR="00714A22" w:rsidRPr="00714A22" w:rsidRDefault="00714A22" w:rsidP="00714A22">
      <w:pPr>
        <w:rPr>
          <w:bCs/>
        </w:rPr>
      </w:pPr>
      <w:r w:rsidRPr="00714A22">
        <w:rPr>
          <w:bCs/>
        </w:rPr>
        <w:t>4</w:t>
      </w:r>
      <w:r w:rsidRPr="00714A22">
        <w:rPr>
          <w:bCs/>
        </w:rPr>
        <w:tab/>
        <w:t xml:space="preserve">La participation au Groupe FG-EAI est gratuite et ouverte à toute personne de tout secteur et de toute discipline connexe issue d'un pays Membre de l'UIT qui souhaite contribuer activement aux travaux. Les personnes qui souhaitent suivre ces travaux ou y participer sont invitées à s'inscrire sur une liste de diffusion dédiée. Des précisions sur les modalités d'inscription sont disponibles à l'adresse </w:t>
      </w:r>
      <w:hyperlink r:id="rId23" w:history="1">
        <w:r w:rsidRPr="00482B99">
          <w:rPr>
            <w:rStyle w:val="Hyperlink"/>
            <w:bCs/>
          </w:rPr>
          <w:t>https://www.itu.int/en/ITU-T/focusgroups/eai/Pages/reg.aspx</w:t>
        </w:r>
      </w:hyperlink>
      <w:r w:rsidRPr="00714A22">
        <w:rPr>
          <w:bCs/>
        </w:rPr>
        <w:t>.</w:t>
      </w:r>
    </w:p>
    <w:p w14:paraId="28C35AEA" w14:textId="04469DB2" w:rsidR="00714A22" w:rsidRPr="00714A22" w:rsidRDefault="00714A22" w:rsidP="00714A22">
      <w:pPr>
        <w:rPr>
          <w:bCs/>
        </w:rPr>
      </w:pPr>
      <w:r w:rsidRPr="00714A22">
        <w:rPr>
          <w:bCs/>
        </w:rPr>
        <w:t>5</w:t>
      </w:r>
      <w:r w:rsidRPr="00714A22">
        <w:rPr>
          <w:bCs/>
        </w:rPr>
        <w:tab/>
        <w:t xml:space="preserve">Le Groupe spécialisé exercera ses activités conformément aux procédures exposées dans la </w:t>
      </w:r>
      <w:hyperlink r:id="rId24" w:history="1">
        <w:r w:rsidRPr="00696D1F">
          <w:rPr>
            <w:rStyle w:val="Hyperlink"/>
            <w:bCs/>
          </w:rPr>
          <w:t>Recommandation UIT-T A.7</w:t>
        </w:r>
      </w:hyperlink>
      <w:r w:rsidRPr="00714A22">
        <w:rPr>
          <w:bCs/>
        </w:rPr>
        <w:t xml:space="preserve">. La durée du mandat du </w:t>
      </w:r>
      <w:r w:rsidR="00696D1F">
        <w:rPr>
          <w:bCs/>
        </w:rPr>
        <w:t>g</w:t>
      </w:r>
      <w:r w:rsidRPr="00714A22">
        <w:rPr>
          <w:bCs/>
        </w:rPr>
        <w:t xml:space="preserve">roupe spécialisé est d'un an à compter de la première réunion du </w:t>
      </w:r>
      <w:r w:rsidR="00696D1F">
        <w:rPr>
          <w:bCs/>
        </w:rPr>
        <w:t>g</w:t>
      </w:r>
      <w:r w:rsidRPr="00714A22">
        <w:rPr>
          <w:bCs/>
        </w:rPr>
        <w:t>roupe, avec possibilité de prolongation. Les débats se dérouleront uniquement en anglais.</w:t>
      </w:r>
    </w:p>
    <w:p w14:paraId="69839D4B" w14:textId="0CA4AC7F" w:rsidR="00714A22" w:rsidRPr="00714A22" w:rsidRDefault="00714A22" w:rsidP="00714A22">
      <w:pPr>
        <w:rPr>
          <w:bCs/>
        </w:rPr>
      </w:pPr>
      <w:r w:rsidRPr="00714A22">
        <w:rPr>
          <w:bCs/>
        </w:rPr>
        <w:t>6</w:t>
      </w:r>
      <w:r w:rsidRPr="00714A22">
        <w:rPr>
          <w:bCs/>
        </w:rPr>
        <w:tab/>
        <w:t xml:space="preserve">Pour permettre à l'UIT de prévoir les dispositions nécessaires, il est demandé aux participants de s'inscrire à la réunion du Groupe FG-EAI en ligne via la </w:t>
      </w:r>
      <w:hyperlink r:id="rId25" w:history="1">
        <w:r w:rsidRPr="00696D1F">
          <w:rPr>
            <w:rStyle w:val="Hyperlink"/>
            <w:bCs/>
          </w:rPr>
          <w:t xml:space="preserve">page d'accueil du </w:t>
        </w:r>
        <w:r w:rsidR="00696D1F" w:rsidRPr="00696D1F">
          <w:rPr>
            <w:rStyle w:val="Hyperlink"/>
            <w:bCs/>
          </w:rPr>
          <w:t>g</w:t>
        </w:r>
        <w:r w:rsidRPr="00696D1F">
          <w:rPr>
            <w:rStyle w:val="Hyperlink"/>
            <w:bCs/>
          </w:rPr>
          <w:t>roupe</w:t>
        </w:r>
      </w:hyperlink>
      <w:r w:rsidRPr="00714A22">
        <w:rPr>
          <w:bCs/>
        </w:rPr>
        <w:t>. Veuillez noter que l'inscription est obligatoire à la fois pour la participation à distance et pour la participation sur place. L'inscription préalable des participants aux manifestations se fait exclusivement en ligne.</w:t>
      </w:r>
    </w:p>
    <w:p w14:paraId="193A5ACB" w14:textId="77777777" w:rsidR="00696D1F" w:rsidRDefault="00714A22" w:rsidP="00714A22">
      <w:pPr>
        <w:rPr>
          <w:bCs/>
        </w:rPr>
      </w:pPr>
      <w:r w:rsidRPr="00714A22">
        <w:rPr>
          <w:bCs/>
        </w:rPr>
        <w:t>7</w:t>
      </w:r>
      <w:r w:rsidRPr="00714A22">
        <w:rPr>
          <w:bCs/>
        </w:rPr>
        <w:tab/>
        <w:t xml:space="preserve">Nous vous encourageons vivement à soumettre des contributions écrites pour répondre aux objectifs présentés ci-dessus et conformément au </w:t>
      </w:r>
      <w:hyperlink r:id="rId26" w:history="1">
        <w:r w:rsidRPr="00696D1F">
          <w:rPr>
            <w:rStyle w:val="Hyperlink"/>
            <w:bCs/>
          </w:rPr>
          <w:t>mandat du Groupe FG-EAI</w:t>
        </w:r>
      </w:hyperlink>
      <w:r w:rsidRPr="00714A22">
        <w:rPr>
          <w:bCs/>
        </w:rPr>
        <w:t>. Ces contributions doivent être soumises au secrétariat du TSB (</w:t>
      </w:r>
      <w:hyperlink r:id="rId27" w:history="1">
        <w:r w:rsidRPr="00696D1F">
          <w:rPr>
            <w:rStyle w:val="Hyperlink"/>
            <w:bCs/>
          </w:rPr>
          <w:t>tsbfgeai@itu.int</w:t>
        </w:r>
      </w:hyperlink>
      <w:r w:rsidRPr="00714A22">
        <w:rPr>
          <w:bCs/>
        </w:rPr>
        <w:t>) sous forme électronique en utilisant les gabarits disponibles sur la page d'accueil du Groupe FG-EAI (</w:t>
      </w:r>
      <w:hyperlink r:id="rId28" w:history="1">
        <w:r w:rsidRPr="00696D1F">
          <w:rPr>
            <w:rStyle w:val="Hyperlink"/>
            <w:bCs/>
          </w:rPr>
          <w:t>https://www.itu.int/go/fgeai</w:t>
        </w:r>
      </w:hyperlink>
      <w:r w:rsidRPr="00714A22">
        <w:rPr>
          <w:bCs/>
        </w:rPr>
        <w:t>).</w:t>
      </w:r>
    </w:p>
    <w:p w14:paraId="793641BA" w14:textId="068AE330" w:rsidR="00714A22" w:rsidRPr="00696D1F" w:rsidRDefault="00714A22" w:rsidP="00714A22">
      <w:pPr>
        <w:rPr>
          <w:b/>
        </w:rPr>
      </w:pPr>
      <w:r w:rsidRPr="00696D1F">
        <w:rPr>
          <w:b/>
        </w:rPr>
        <w:t>La date limite de soumission des contributions à la deuxième réunion est fixée au 28 juin 2026.</w:t>
      </w:r>
    </w:p>
    <w:p w14:paraId="31846399" w14:textId="6EB9D39E" w:rsidR="00714A22" w:rsidRPr="00714A22" w:rsidRDefault="00714A22" w:rsidP="00696D1F">
      <w:pPr>
        <w:pStyle w:val="Note"/>
      </w:pPr>
      <w:r w:rsidRPr="00714A22">
        <w:t xml:space="preserve">NOTE: </w:t>
      </w:r>
      <w:r w:rsidR="00696D1F">
        <w:t>l</w:t>
      </w:r>
      <w:r w:rsidRPr="00714A22">
        <w:t>a date limite de soumission des contribution est fixée au 1er juin 2026 pour la réunion virtuelle intérimaire du GT1 et au 3 juin 2026 pour la réunion virtuelle intérimaire du GT7.</w:t>
      </w:r>
    </w:p>
    <w:p w14:paraId="3EEDB521" w14:textId="77777777" w:rsidR="00714A22" w:rsidRPr="00714A22" w:rsidRDefault="00714A22" w:rsidP="00714A22">
      <w:pPr>
        <w:rPr>
          <w:bCs/>
        </w:rPr>
      </w:pPr>
      <w:r w:rsidRPr="00714A22">
        <w:rPr>
          <w:bCs/>
        </w:rPr>
        <w:t>8</w:t>
      </w:r>
      <w:r w:rsidRPr="00714A22">
        <w:rPr>
          <w:bCs/>
        </w:rPr>
        <w:tab/>
        <w:t>L'ordre du jour de la réunion, les documents et d'autres informations pratiques (y compris sur la participation à distance) seront disponibles sur la page d'accueil du Groupe FG-EAI avant la réunion.</w:t>
      </w:r>
    </w:p>
    <w:p w14:paraId="404A96F1" w14:textId="77777777" w:rsidR="00714A22" w:rsidRPr="00714A22" w:rsidRDefault="00714A22" w:rsidP="00696D1F">
      <w:pPr>
        <w:keepLines/>
        <w:rPr>
          <w:bCs/>
        </w:rPr>
      </w:pPr>
      <w:r w:rsidRPr="00714A22">
        <w:rPr>
          <w:bCs/>
        </w:rPr>
        <w:lastRenderedPageBreak/>
        <w:t>9</w:t>
      </w:r>
      <w:r w:rsidRPr="00714A22">
        <w:rPr>
          <w:bCs/>
        </w:rPr>
        <w:tab/>
        <w:t>Nous vous rappelons que,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088D813B" w14:textId="09B48B76" w:rsidR="00714A22" w:rsidRPr="00714A22" w:rsidRDefault="00714A22" w:rsidP="00714A22">
      <w:pPr>
        <w:rPr>
          <w:bCs/>
        </w:rPr>
      </w:pPr>
      <w:r w:rsidRPr="00714A22">
        <w:rPr>
          <w:bCs/>
        </w:rPr>
        <w:t xml:space="preserve">En cas de problème pour des </w:t>
      </w:r>
      <w:r w:rsidRPr="00696D1F">
        <w:rPr>
          <w:b/>
        </w:rPr>
        <w:t xml:space="preserve">États Membres, des Membres de Secteur et des Associés de </w:t>
      </w:r>
      <w:r w:rsidRPr="00C7576F">
        <w:rPr>
          <w:b/>
        </w:rPr>
        <w:t>l'UIT ou des établissements universitaires participant aux travaux de l'UIT</w:t>
      </w:r>
      <w:r w:rsidRPr="00714A22">
        <w:rPr>
          <w:bCs/>
        </w:rPr>
        <w:t>,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au plus tard un mois avant la date de la réunion. Les demandes sont à envoyer à la Section des voyages de l'UIT (</w:t>
      </w:r>
      <w:hyperlink r:id="rId29" w:history="1">
        <w:r w:rsidRPr="00C7576F">
          <w:rPr>
            <w:rStyle w:val="Hyperlink"/>
            <w:bCs/>
          </w:rPr>
          <w:t>travel@itu.int</w:t>
        </w:r>
      </w:hyperlink>
      <w:r w:rsidRPr="00714A22">
        <w:rPr>
          <w:bCs/>
        </w:rPr>
        <w:t>), avec la mention "assistance pour le visa".</w:t>
      </w:r>
    </w:p>
    <w:p w14:paraId="37A37A91" w14:textId="77777777" w:rsidR="00714A22" w:rsidRPr="00714A22" w:rsidRDefault="00714A22" w:rsidP="00714A22">
      <w:pPr>
        <w:rPr>
          <w:bCs/>
        </w:rPr>
      </w:pPr>
      <w:r w:rsidRPr="00714A22">
        <w:rPr>
          <w:bCs/>
        </w:rPr>
        <w:t>Des renseignements supplémentaires et les documents nécessaires, le cas échéant, seront publiés sur la page d'accueil du Groupe FG-EAI.</w:t>
      </w:r>
    </w:p>
    <w:p w14:paraId="46F2C3C2" w14:textId="15A1E71E" w:rsidR="00307FB4" w:rsidRDefault="00714A22" w:rsidP="00C7576F">
      <w:pPr>
        <w:spacing w:after="120"/>
        <w:rPr>
          <w:bCs/>
        </w:rPr>
      </w:pPr>
      <w:r w:rsidRPr="00714A22">
        <w:rPr>
          <w:bCs/>
        </w:rPr>
        <w:t>10</w:t>
      </w:r>
      <w:r w:rsidRPr="00714A22">
        <w:rPr>
          <w:bCs/>
        </w:rPr>
        <w:tab/>
        <w:t>Délais:</w:t>
      </w:r>
    </w:p>
    <w:tbl>
      <w:tblPr>
        <w:tblStyle w:val="TableGrid"/>
        <w:tblW w:w="0" w:type="auto"/>
        <w:tblInd w:w="0" w:type="dxa"/>
        <w:tblLook w:val="04A0" w:firstRow="1" w:lastRow="0" w:firstColumn="1" w:lastColumn="0" w:noHBand="0" w:noVBand="1"/>
      </w:tblPr>
      <w:tblGrid>
        <w:gridCol w:w="1696"/>
        <w:gridCol w:w="8023"/>
      </w:tblGrid>
      <w:tr w:rsidR="00714A22" w:rsidRPr="00714A22" w14:paraId="54199CC9" w14:textId="77777777">
        <w:tc>
          <w:tcPr>
            <w:tcW w:w="1696" w:type="dxa"/>
            <w:tcBorders>
              <w:top w:val="single" w:sz="4" w:space="0" w:color="auto"/>
              <w:left w:val="single" w:sz="4" w:space="0" w:color="auto"/>
              <w:bottom w:val="single" w:sz="4" w:space="0" w:color="auto"/>
              <w:right w:val="single" w:sz="4" w:space="0" w:color="auto"/>
            </w:tcBorders>
            <w:vAlign w:val="center"/>
            <w:hideMark/>
          </w:tcPr>
          <w:p w14:paraId="28F90CB3" w14:textId="77777777" w:rsidR="00714A22" w:rsidRPr="00C7576F" w:rsidRDefault="00714A22" w:rsidP="00C7576F">
            <w:pPr>
              <w:pStyle w:val="TableText"/>
              <w:jc w:val="center"/>
            </w:pPr>
            <w:r w:rsidRPr="00C7576F">
              <w:t>11 juin 2026</w:t>
            </w:r>
          </w:p>
        </w:tc>
        <w:tc>
          <w:tcPr>
            <w:tcW w:w="8023" w:type="dxa"/>
            <w:tcBorders>
              <w:top w:val="single" w:sz="4" w:space="0" w:color="auto"/>
              <w:left w:val="single" w:sz="4" w:space="0" w:color="auto"/>
              <w:bottom w:val="single" w:sz="4" w:space="0" w:color="auto"/>
              <w:right w:val="single" w:sz="4" w:space="0" w:color="auto"/>
            </w:tcBorders>
            <w:hideMark/>
          </w:tcPr>
          <w:p w14:paraId="7568E4AC" w14:textId="77777777" w:rsidR="00714A22" w:rsidRPr="00C7576F" w:rsidRDefault="00714A22" w:rsidP="00C7576F">
            <w:pPr>
              <w:pStyle w:val="TableText"/>
              <w:ind w:left="284" w:hanging="284"/>
            </w:pPr>
            <w:r w:rsidRPr="00C7576F">
              <w:t>–</w:t>
            </w:r>
            <w:r w:rsidRPr="00C7576F">
              <w:tab/>
              <w:t>Soumission des demandes pour bénéficier d'une aide concernant l'obtention du visa (au moyen du formulaire d'inscription en ligne)</w:t>
            </w:r>
          </w:p>
        </w:tc>
      </w:tr>
      <w:tr w:rsidR="00714A22" w:rsidRPr="00714A22" w14:paraId="0535F0C2" w14:textId="77777777">
        <w:tc>
          <w:tcPr>
            <w:tcW w:w="1696" w:type="dxa"/>
            <w:tcBorders>
              <w:top w:val="single" w:sz="4" w:space="0" w:color="auto"/>
              <w:left w:val="single" w:sz="4" w:space="0" w:color="auto"/>
              <w:bottom w:val="single" w:sz="4" w:space="0" w:color="auto"/>
              <w:right w:val="single" w:sz="4" w:space="0" w:color="auto"/>
            </w:tcBorders>
            <w:vAlign w:val="center"/>
            <w:hideMark/>
          </w:tcPr>
          <w:p w14:paraId="75A0A00F" w14:textId="77777777" w:rsidR="00714A22" w:rsidRPr="00C7576F" w:rsidRDefault="00714A22" w:rsidP="00C7576F">
            <w:pPr>
              <w:pStyle w:val="TableText"/>
              <w:jc w:val="center"/>
            </w:pPr>
            <w:r w:rsidRPr="00C7576F">
              <w:t>28 juin 2026</w:t>
            </w:r>
          </w:p>
        </w:tc>
        <w:tc>
          <w:tcPr>
            <w:tcW w:w="8023" w:type="dxa"/>
            <w:tcBorders>
              <w:top w:val="single" w:sz="4" w:space="0" w:color="auto"/>
              <w:left w:val="single" w:sz="4" w:space="0" w:color="auto"/>
              <w:bottom w:val="single" w:sz="4" w:space="0" w:color="auto"/>
              <w:right w:val="single" w:sz="4" w:space="0" w:color="auto"/>
            </w:tcBorders>
            <w:hideMark/>
          </w:tcPr>
          <w:p w14:paraId="2E2965DF" w14:textId="77777777" w:rsidR="00714A22" w:rsidRPr="00C7576F" w:rsidRDefault="00714A22" w:rsidP="00C7576F">
            <w:pPr>
              <w:pStyle w:val="TableText"/>
            </w:pPr>
            <w:r w:rsidRPr="00C7576F">
              <w:t>–</w:t>
            </w:r>
            <w:r w:rsidRPr="00C7576F">
              <w:tab/>
              <w:t xml:space="preserve">Soumission des contributions écrites (par courriel à l'adresse </w:t>
            </w:r>
            <w:hyperlink r:id="rId30" w:history="1">
              <w:r w:rsidRPr="00C7576F">
                <w:rPr>
                  <w:rStyle w:val="Hyperlink"/>
                </w:rPr>
                <w:t>tsbfgeai@itu.int</w:t>
              </w:r>
            </w:hyperlink>
            <w:r w:rsidRPr="00C7576F">
              <w:t>)</w:t>
            </w:r>
          </w:p>
        </w:tc>
      </w:tr>
      <w:tr w:rsidR="00714A22" w:rsidRPr="00714A22" w14:paraId="12B60B13" w14:textId="77777777">
        <w:tc>
          <w:tcPr>
            <w:tcW w:w="1696" w:type="dxa"/>
            <w:tcBorders>
              <w:top w:val="single" w:sz="4" w:space="0" w:color="auto"/>
              <w:left w:val="single" w:sz="4" w:space="0" w:color="auto"/>
              <w:bottom w:val="single" w:sz="4" w:space="0" w:color="auto"/>
              <w:right w:val="single" w:sz="4" w:space="0" w:color="auto"/>
            </w:tcBorders>
            <w:vAlign w:val="center"/>
            <w:hideMark/>
          </w:tcPr>
          <w:p w14:paraId="016206AA" w14:textId="77777777" w:rsidR="00714A22" w:rsidRPr="00C7576F" w:rsidRDefault="00714A22" w:rsidP="00C7576F">
            <w:pPr>
              <w:pStyle w:val="TableText"/>
              <w:jc w:val="center"/>
            </w:pPr>
            <w:r w:rsidRPr="00C7576F">
              <w:t>1er juillet 2026</w:t>
            </w:r>
          </w:p>
        </w:tc>
        <w:tc>
          <w:tcPr>
            <w:tcW w:w="8023" w:type="dxa"/>
            <w:tcBorders>
              <w:top w:val="single" w:sz="4" w:space="0" w:color="auto"/>
              <w:left w:val="single" w:sz="4" w:space="0" w:color="auto"/>
              <w:bottom w:val="single" w:sz="4" w:space="0" w:color="auto"/>
              <w:right w:val="single" w:sz="4" w:space="0" w:color="auto"/>
            </w:tcBorders>
            <w:hideMark/>
          </w:tcPr>
          <w:p w14:paraId="28A66679" w14:textId="77777777" w:rsidR="00714A22" w:rsidRPr="00C7576F" w:rsidRDefault="00714A22" w:rsidP="00C7576F">
            <w:pPr>
              <w:pStyle w:val="TableText"/>
            </w:pPr>
            <w:r w:rsidRPr="00C7576F">
              <w:t>–</w:t>
            </w:r>
            <w:r w:rsidRPr="00C7576F">
              <w:tab/>
              <w:t xml:space="preserve">Inscription préalable (en ligne depuis la </w:t>
            </w:r>
            <w:hyperlink r:id="rId31" w:anchor="/fr" w:history="1">
              <w:r w:rsidRPr="00C7576F">
                <w:rPr>
                  <w:rStyle w:val="Hyperlink"/>
                </w:rPr>
                <w:t>page d'accueil du Groupe FG-</w:t>
              </w:r>
              <w:r w:rsidRPr="00C7576F">
                <w:rPr>
                  <w:rStyle w:val="Hyperlink"/>
                </w:rPr>
                <w:t>E</w:t>
              </w:r>
              <w:r w:rsidRPr="00C7576F">
                <w:rPr>
                  <w:rStyle w:val="Hyperlink"/>
                </w:rPr>
                <w:t>AI</w:t>
              </w:r>
            </w:hyperlink>
            <w:r w:rsidRPr="00C7576F">
              <w:t>)</w:t>
            </w:r>
          </w:p>
        </w:tc>
      </w:tr>
    </w:tbl>
    <w:p w14:paraId="6C042BA5" w14:textId="4705A73A" w:rsidR="00714A22" w:rsidRPr="00B60868" w:rsidRDefault="00714A22" w:rsidP="00714A22">
      <w:pPr>
        <w:rPr>
          <w:bCs/>
        </w:rPr>
      </w:pPr>
      <w:r w:rsidRPr="00714A22">
        <w:rPr>
          <w:bCs/>
        </w:rPr>
        <w:t>Je vous souhaite une réunion constructive et agréable.</w:t>
      </w:r>
    </w:p>
    <w:p w14:paraId="6A4CD67F" w14:textId="77777777" w:rsidR="00307FB4" w:rsidRPr="00B60868" w:rsidRDefault="00307FB4" w:rsidP="00307FB4">
      <w:pPr>
        <w:rPr>
          <w:bCs/>
        </w:rPr>
      </w:pPr>
      <w:r w:rsidRPr="00B60868">
        <w:rPr>
          <w:bCs/>
        </w:rPr>
        <w:t>Veuillez agréer, Madame, Monsieur, l'assurance de ma considération distinguée.</w:t>
      </w:r>
    </w:p>
    <w:p w14:paraId="3A296738" w14:textId="5A5DBCDD" w:rsidR="00B60868" w:rsidRPr="00B60868" w:rsidRDefault="00B60868" w:rsidP="00B60868">
      <w:pPr>
        <w:spacing w:before="480" w:after="480"/>
        <w:rPr>
          <w:bCs/>
        </w:rPr>
      </w:pPr>
      <w:r w:rsidRPr="00B60868">
        <w:rPr>
          <w:bCs/>
        </w:rPr>
        <w:t>(</w:t>
      </w:r>
      <w:r w:rsidRPr="00B60868">
        <w:rPr>
          <w:bCs/>
          <w:i/>
        </w:rPr>
        <w:t>signé</w:t>
      </w:r>
      <w:r w:rsidRPr="00B60868">
        <w:rPr>
          <w:bCs/>
        </w:rPr>
        <w:t>)</w:t>
      </w:r>
    </w:p>
    <w:p w14:paraId="558FB742" w14:textId="175CD9BE" w:rsidR="002937DB" w:rsidRDefault="00307FB4" w:rsidP="00B60868">
      <w:pPr>
        <w:rPr>
          <w:bCs/>
        </w:rPr>
      </w:pPr>
      <w:r w:rsidRPr="00B60868">
        <w:rPr>
          <w:bCs/>
        </w:rPr>
        <w:t>Seizo Onoe</w:t>
      </w:r>
      <w:r w:rsidR="00B60868" w:rsidRPr="00B60868">
        <w:rPr>
          <w:bCs/>
        </w:rPr>
        <w:br/>
      </w:r>
      <w:r w:rsidRPr="00B60868">
        <w:rPr>
          <w:bCs/>
        </w:rPr>
        <w:t>Directeur du Bureau de la normalisation</w:t>
      </w:r>
      <w:r w:rsidR="00B60868" w:rsidRPr="00B60868">
        <w:rPr>
          <w:bCs/>
        </w:rPr>
        <w:br/>
      </w:r>
      <w:r w:rsidRPr="00B60868">
        <w:rPr>
          <w:bCs/>
        </w:rPr>
        <w:t>des télécommunications</w:t>
      </w:r>
    </w:p>
    <w:sectPr w:rsidR="002937DB" w:rsidSect="00A15179">
      <w:headerReference w:type="default" r:id="rId32"/>
      <w:footerReference w:type="first" r:id="rId33"/>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E384C" w14:textId="77777777" w:rsidR="00A56936" w:rsidRDefault="00A56936">
      <w:r>
        <w:separator/>
      </w:r>
    </w:p>
  </w:endnote>
  <w:endnote w:type="continuationSeparator" w:id="0">
    <w:p w14:paraId="1043D10F" w14:textId="77777777" w:rsidR="00A56936" w:rsidRDefault="00A5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1A15" w14:textId="77777777" w:rsidR="00A56936" w:rsidRDefault="00A56936">
      <w:r>
        <w:t>____________________</w:t>
      </w:r>
    </w:p>
  </w:footnote>
  <w:footnote w:type="continuationSeparator" w:id="0">
    <w:p w14:paraId="62D2A7C6" w14:textId="77777777" w:rsidR="00A56936" w:rsidRDefault="00A56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3F433597" w:rsidR="00697BC1" w:rsidRPr="00697BC1" w:rsidRDefault="00A56936"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714A22">
      <w:rPr>
        <w:noProof/>
        <w:sz w:val="18"/>
        <w:szCs w:val="16"/>
      </w:rPr>
      <w:t>137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3667A"/>
    <w:rsid w:val="002937DB"/>
    <w:rsid w:val="002A1D56"/>
    <w:rsid w:val="002E395D"/>
    <w:rsid w:val="00307FB4"/>
    <w:rsid w:val="003131F0"/>
    <w:rsid w:val="00333A80"/>
    <w:rsid w:val="00341117"/>
    <w:rsid w:val="00364E95"/>
    <w:rsid w:val="00372875"/>
    <w:rsid w:val="003742F8"/>
    <w:rsid w:val="003A17C2"/>
    <w:rsid w:val="003B1E80"/>
    <w:rsid w:val="003B66E8"/>
    <w:rsid w:val="003E66AD"/>
    <w:rsid w:val="004033F1"/>
    <w:rsid w:val="00414B0C"/>
    <w:rsid w:val="00423C21"/>
    <w:rsid w:val="004257AC"/>
    <w:rsid w:val="0043711B"/>
    <w:rsid w:val="004419E9"/>
    <w:rsid w:val="00445B68"/>
    <w:rsid w:val="0048088B"/>
    <w:rsid w:val="00482B99"/>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6D1F"/>
    <w:rsid w:val="00697BC1"/>
    <w:rsid w:val="006A6FFE"/>
    <w:rsid w:val="006C5A91"/>
    <w:rsid w:val="006F52F7"/>
    <w:rsid w:val="00714A22"/>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56936"/>
    <w:rsid w:val="00A60FC1"/>
    <w:rsid w:val="00A97C37"/>
    <w:rsid w:val="00AA131B"/>
    <w:rsid w:val="00AC37B5"/>
    <w:rsid w:val="00AD752F"/>
    <w:rsid w:val="00AF08A4"/>
    <w:rsid w:val="00AF0D7D"/>
    <w:rsid w:val="00B27B41"/>
    <w:rsid w:val="00B42659"/>
    <w:rsid w:val="00B46F2D"/>
    <w:rsid w:val="00B60868"/>
    <w:rsid w:val="00B8573E"/>
    <w:rsid w:val="00BB24C0"/>
    <w:rsid w:val="00BD6ECF"/>
    <w:rsid w:val="00BF7828"/>
    <w:rsid w:val="00C26F2E"/>
    <w:rsid w:val="00C302E3"/>
    <w:rsid w:val="00C41B89"/>
    <w:rsid w:val="00C45376"/>
    <w:rsid w:val="00C7576F"/>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rsid w:val="00714A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iforgood.itu.int/#/fr" TargetMode="External"/><Relationship Id="rId18" Type="http://schemas.openxmlformats.org/officeDocument/2006/relationships/hyperlink" Target="https://extranet.itu.int/sites/itu-t/focusgroups/eai/wg/SitePages/WG1.aspx" TargetMode="External"/><Relationship Id="rId26" Type="http://schemas.openxmlformats.org/officeDocument/2006/relationships/hyperlink" Target="https://www.itu.int/en/ITU-T/focusgroups/eai/Documents/FG-EAI_TOR.pdf" TargetMode="External"/><Relationship Id="rId21" Type="http://schemas.openxmlformats.org/officeDocument/2006/relationships/hyperlink" Target="https://extranet.itu.int/sites/itu-t/focusgroups/eai/input/FGEAI-I-002R2.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T25-SG21-COL-0006/fr" TargetMode="External"/><Relationship Id="rId17" Type="http://schemas.openxmlformats.org/officeDocument/2006/relationships/hyperlink" Target="https://www.itu.int/en/ITU-T/focusgroups/eai/Documents/Templates/FGEAI-I-justification-form-template.docx" TargetMode="External"/><Relationship Id="rId25" Type="http://schemas.openxmlformats.org/officeDocument/2006/relationships/hyperlink" Target="https://www.itu.int/en/ITU-T/focusgroups/eai/Pages/default.aspx#/fr" TargetMode="External"/><Relationship Id="rId33" Type="http://schemas.openxmlformats.org/officeDocument/2006/relationships/footer" Target="footer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extranet.itu.int/sites/itu-t/focusgroups/eai/output/FGEAI-O-001.docx" TargetMode="External"/><Relationship Id="rId20" Type="http://schemas.openxmlformats.org/officeDocument/2006/relationships/hyperlink" Target="https://extranet.itu.int/sites/itu-t/focusgroups/eai/output/FGEAI-O-003.docx" TargetMode="External"/><Relationship Id="rId29" Type="http://schemas.openxmlformats.org/officeDocument/2006/relationships/hyperlink" Target="mailto:travel@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25-2028/21/Pages/default.aspx#/fr" TargetMode="External"/><Relationship Id="rId24" Type="http://schemas.openxmlformats.org/officeDocument/2006/relationships/hyperlink" Target="https://www.itu.int/rec/T-REC-A.7/fr" TargetMode="External"/><Relationship Id="rId32" Type="http://schemas.openxmlformats.org/officeDocument/2006/relationships/header" Target="head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extranet.itu.int/sites/itu-t/focusgroups/eai/wg/SitePages/Home.aspx" TargetMode="External"/><Relationship Id="rId23" Type="http://schemas.openxmlformats.org/officeDocument/2006/relationships/hyperlink" Target="https://www.itu.int/en/ITU-T/focusgroups/eai/Pages/reg.aspx" TargetMode="External"/><Relationship Id="rId28" Type="http://schemas.openxmlformats.org/officeDocument/2006/relationships/hyperlink" Target="https://www.itu.int/en/ITU-T/focusgroups/eai/Pages/default.aspx#/fr" TargetMode="External"/><Relationship Id="rId36" Type="http://schemas.openxmlformats.org/officeDocument/2006/relationships/customXml" Target="../customXml/item2.xml"/><Relationship Id="rId10" Type="http://schemas.openxmlformats.org/officeDocument/2006/relationships/hyperlink" Target="https://www.itu.int/en/ITU-T/focusgroups/eai/Pages/default.aspx#/fr" TargetMode="External"/><Relationship Id="rId19" Type="http://schemas.openxmlformats.org/officeDocument/2006/relationships/hyperlink" Target="https://extranet.itu.int/sites/itu-t/focusgroups/eai/wg/SitePages/WG7.aspx" TargetMode="External"/><Relationship Id="rId31" Type="http://schemas.openxmlformats.org/officeDocument/2006/relationships/hyperlink" Target="https://www.itu.int/en/ITU-T/focusgroups/eai/Pages/default.aspx" TargetMode="External"/><Relationship Id="rId4" Type="http://schemas.openxmlformats.org/officeDocument/2006/relationships/settings" Target="settings.xml"/><Relationship Id="rId9" Type="http://schemas.openxmlformats.org/officeDocument/2006/relationships/hyperlink" Target="mailto:tsbfgeai@itu.int" TargetMode="External"/><Relationship Id="rId14" Type="http://schemas.openxmlformats.org/officeDocument/2006/relationships/hyperlink" Target="https://aiforgood.itu.int/summit26/programme/#/fr" TargetMode="External"/><Relationship Id="rId22" Type="http://schemas.openxmlformats.org/officeDocument/2006/relationships/hyperlink" Target="https://www.itu.int/en/ITU-T/focusgroups/eai/Documents/FG-EAI_TOR.pdf" TargetMode="External"/><Relationship Id="rId27" Type="http://schemas.openxmlformats.org/officeDocument/2006/relationships/hyperlink" Target="mailto:tsbfgeai@itu.int" TargetMode="External"/><Relationship Id="rId30" Type="http://schemas.openxmlformats.org/officeDocument/2006/relationships/hyperlink" Target="mailto:tsbfgeai@itu.int" TargetMode="Externa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customXml/itemProps2.xml><?xml version="1.0" encoding="utf-8"?>
<ds:datastoreItem xmlns:ds="http://schemas.openxmlformats.org/officeDocument/2006/customXml" ds:itemID="{5A56291E-04E6-4CE1-9AC7-37DC34D34A35}"/>
</file>

<file path=customXml/itemProps3.xml><?xml version="1.0" encoding="utf-8"?>
<ds:datastoreItem xmlns:ds="http://schemas.openxmlformats.org/officeDocument/2006/customXml" ds:itemID="{1A7BA41F-448C-40E4-AF77-0C51D2803800}"/>
</file>

<file path=customXml/itemProps4.xml><?xml version="1.0" encoding="utf-8"?>
<ds:datastoreItem xmlns:ds="http://schemas.openxmlformats.org/officeDocument/2006/customXml" ds:itemID="{E34C66E3-06E1-4C9D-A2A1-426022D7B1CD}"/>
</file>

<file path=docProps/app.xml><?xml version="1.0" encoding="utf-8"?>
<Properties xmlns="http://schemas.openxmlformats.org/officeDocument/2006/extended-properties" xmlns:vt="http://schemas.openxmlformats.org/officeDocument/2006/docPropsVTypes">
  <Template>PF_TSB_Circular</Template>
  <TotalTime>40</TotalTime>
  <Pages>3</Pages>
  <Words>1224</Words>
  <Characters>8287</Characters>
  <Application>Microsoft Office Word</Application>
  <DocSecurity>0</DocSecurity>
  <Lines>552</Lines>
  <Paragraphs>380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9131</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French</cp:lastModifiedBy>
  <cp:revision>3</cp:revision>
  <cp:lastPrinted>2011-04-15T08:01:00Z</cp:lastPrinted>
  <dcterms:created xsi:type="dcterms:W3CDTF">2026-05-21T05:47:00Z</dcterms:created>
  <dcterms:modified xsi:type="dcterms:W3CDTF">2026-05-21T06:28:00Z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