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8" w:type="dxa"/>
        <w:tblLayout w:type="fixed"/>
        <w:tblCellMar>
          <w:left w:w="0" w:type="dxa"/>
          <w:right w:w="0" w:type="dxa"/>
        </w:tblCellMar>
        <w:tblLook w:val="0000" w:firstRow="0" w:lastRow="0" w:firstColumn="0" w:lastColumn="0" w:noHBand="0" w:noVBand="0"/>
      </w:tblPr>
      <w:tblGrid>
        <w:gridCol w:w="993"/>
        <w:gridCol w:w="417"/>
        <w:gridCol w:w="3467"/>
        <w:gridCol w:w="5329"/>
      </w:tblGrid>
      <w:tr w:rsidR="007B6316" w14:paraId="3B685F1C" w14:textId="77777777" w:rsidTr="007B6316">
        <w:trPr>
          <w:cantSplit/>
          <w:trHeight w:val="340"/>
        </w:trPr>
        <w:tc>
          <w:tcPr>
            <w:tcW w:w="1410" w:type="dxa"/>
            <w:gridSpan w:val="2"/>
          </w:tcPr>
          <w:p w14:paraId="57F46205"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536B613F" wp14:editId="597E83F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5561383A"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0DB6DDD1"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D754BC" w14:paraId="06835D14" w14:textId="77777777" w:rsidTr="00303D62">
        <w:trPr>
          <w:cantSplit/>
          <w:trHeight w:val="340"/>
        </w:trPr>
        <w:tc>
          <w:tcPr>
            <w:tcW w:w="993" w:type="dxa"/>
          </w:tcPr>
          <w:p w14:paraId="2E159A40" w14:textId="77777777" w:rsidR="007B6316" w:rsidRPr="00D754BC" w:rsidRDefault="007B6316" w:rsidP="00303D62">
            <w:pPr>
              <w:tabs>
                <w:tab w:val="left" w:pos="4111"/>
              </w:tabs>
              <w:spacing w:before="10"/>
              <w:ind w:left="57"/>
              <w:rPr>
                <w:rFonts w:cstheme="minorHAnsi"/>
                <w:b/>
                <w:bCs/>
                <w:szCs w:val="24"/>
              </w:rPr>
            </w:pPr>
          </w:p>
        </w:tc>
        <w:tc>
          <w:tcPr>
            <w:tcW w:w="3884" w:type="dxa"/>
            <w:gridSpan w:val="2"/>
          </w:tcPr>
          <w:p w14:paraId="0DCB645E" w14:textId="77777777" w:rsidR="007B6316" w:rsidRPr="00D754BC" w:rsidRDefault="007B6316" w:rsidP="00303D62">
            <w:pPr>
              <w:tabs>
                <w:tab w:val="left" w:pos="4111"/>
              </w:tabs>
              <w:spacing w:before="0"/>
              <w:ind w:left="57"/>
              <w:rPr>
                <w:rFonts w:cstheme="minorHAnsi"/>
                <w:b/>
                <w:szCs w:val="24"/>
              </w:rPr>
            </w:pPr>
          </w:p>
        </w:tc>
        <w:tc>
          <w:tcPr>
            <w:tcW w:w="5329" w:type="dxa"/>
          </w:tcPr>
          <w:p w14:paraId="4ED618D4" w14:textId="1A40ADA5" w:rsidR="007B6316" w:rsidRPr="00D754BC" w:rsidRDefault="007B6316" w:rsidP="007B6316">
            <w:pPr>
              <w:tabs>
                <w:tab w:val="clear" w:pos="794"/>
                <w:tab w:val="clear" w:pos="1191"/>
                <w:tab w:val="clear" w:pos="1588"/>
                <w:tab w:val="clear" w:pos="1985"/>
                <w:tab w:val="left" w:pos="284"/>
              </w:tabs>
              <w:spacing w:after="120"/>
              <w:ind w:left="284" w:hanging="227"/>
              <w:rPr>
                <w:rFonts w:cstheme="minorHAnsi"/>
                <w:szCs w:val="24"/>
              </w:rPr>
            </w:pPr>
            <w:r w:rsidRPr="00D754BC">
              <w:rPr>
                <w:rFonts w:cstheme="minorHAnsi"/>
                <w:szCs w:val="24"/>
              </w:rPr>
              <w:t>Ginebra,</w:t>
            </w:r>
            <w:r w:rsidR="00D754BC" w:rsidRPr="00D754BC">
              <w:rPr>
                <w:rFonts w:cstheme="minorHAnsi"/>
                <w:szCs w:val="24"/>
              </w:rPr>
              <w:t xml:space="preserve"> 11 de mayo de 2026</w:t>
            </w:r>
          </w:p>
        </w:tc>
      </w:tr>
      <w:tr w:rsidR="001350B9" w:rsidRPr="00D754BC" w14:paraId="4C5E0964" w14:textId="77777777" w:rsidTr="00303D62">
        <w:trPr>
          <w:cantSplit/>
          <w:trHeight w:val="340"/>
        </w:trPr>
        <w:tc>
          <w:tcPr>
            <w:tcW w:w="993" w:type="dxa"/>
          </w:tcPr>
          <w:p w14:paraId="7896767E" w14:textId="77777777" w:rsidR="001350B9" w:rsidRPr="00D754BC" w:rsidRDefault="001350B9" w:rsidP="00303D62">
            <w:pPr>
              <w:tabs>
                <w:tab w:val="left" w:pos="4111"/>
              </w:tabs>
              <w:spacing w:before="10"/>
              <w:ind w:left="57"/>
              <w:rPr>
                <w:rFonts w:cstheme="minorHAnsi"/>
                <w:szCs w:val="24"/>
              </w:rPr>
            </w:pPr>
            <w:r w:rsidRPr="00D754BC">
              <w:rPr>
                <w:rFonts w:cstheme="minorHAnsi"/>
                <w:szCs w:val="24"/>
              </w:rPr>
              <w:t>Ref.:</w:t>
            </w:r>
          </w:p>
          <w:p w14:paraId="3F4CC2C0" w14:textId="77777777" w:rsidR="001350B9" w:rsidRPr="00D754BC" w:rsidRDefault="001350B9" w:rsidP="007B6316">
            <w:pPr>
              <w:tabs>
                <w:tab w:val="left" w:pos="4111"/>
              </w:tabs>
              <w:spacing w:before="10"/>
              <w:ind w:left="57"/>
              <w:rPr>
                <w:rFonts w:cstheme="minorHAnsi"/>
                <w:szCs w:val="24"/>
              </w:rPr>
            </w:pPr>
          </w:p>
        </w:tc>
        <w:tc>
          <w:tcPr>
            <w:tcW w:w="3884" w:type="dxa"/>
            <w:gridSpan w:val="2"/>
          </w:tcPr>
          <w:p w14:paraId="7ED806B4" w14:textId="4751B263" w:rsidR="001350B9" w:rsidRPr="00D754BC" w:rsidRDefault="001350B9" w:rsidP="00303D62">
            <w:pPr>
              <w:tabs>
                <w:tab w:val="left" w:pos="4111"/>
              </w:tabs>
              <w:spacing w:before="0"/>
              <w:ind w:left="57"/>
              <w:rPr>
                <w:rFonts w:cstheme="minorHAnsi"/>
                <w:b/>
                <w:szCs w:val="24"/>
              </w:rPr>
            </w:pPr>
            <w:r w:rsidRPr="00D754BC">
              <w:rPr>
                <w:rFonts w:cstheme="minorHAnsi"/>
                <w:b/>
                <w:szCs w:val="24"/>
              </w:rPr>
              <w:t xml:space="preserve">Circular TSB </w:t>
            </w:r>
            <w:r w:rsidR="00D754BC" w:rsidRPr="00D754BC">
              <w:rPr>
                <w:rFonts w:cstheme="minorHAnsi"/>
                <w:b/>
                <w:szCs w:val="24"/>
              </w:rPr>
              <w:t>136</w:t>
            </w:r>
          </w:p>
          <w:p w14:paraId="75BDE322" w14:textId="43DE289C" w:rsidR="001350B9" w:rsidRPr="00D754BC" w:rsidRDefault="00D754BC" w:rsidP="007B6316">
            <w:pPr>
              <w:tabs>
                <w:tab w:val="left" w:pos="4111"/>
              </w:tabs>
              <w:spacing w:before="0"/>
              <w:ind w:left="57"/>
              <w:rPr>
                <w:rFonts w:cstheme="minorHAnsi"/>
                <w:b/>
                <w:szCs w:val="24"/>
              </w:rPr>
            </w:pPr>
            <w:r w:rsidRPr="00D754BC">
              <w:rPr>
                <w:rFonts w:cstheme="minorHAnsi"/>
                <w:szCs w:val="24"/>
              </w:rPr>
              <w:t>SG2/MCB</w:t>
            </w:r>
          </w:p>
        </w:tc>
        <w:tc>
          <w:tcPr>
            <w:tcW w:w="5329" w:type="dxa"/>
            <w:vMerge w:val="restart"/>
          </w:tcPr>
          <w:p w14:paraId="1DA5C6EC" w14:textId="64C5CC15" w:rsidR="001350B9" w:rsidRPr="00D754BC" w:rsidRDefault="00D754BC" w:rsidP="00D754BC">
            <w:pPr>
              <w:tabs>
                <w:tab w:val="clear" w:pos="794"/>
                <w:tab w:val="clear" w:pos="1191"/>
                <w:tab w:val="clear" w:pos="1588"/>
                <w:tab w:val="clear" w:pos="1985"/>
                <w:tab w:val="left" w:pos="284"/>
              </w:tabs>
              <w:spacing w:before="0"/>
              <w:ind w:left="284" w:hanging="227"/>
              <w:rPr>
                <w:rFonts w:cstheme="minorHAnsi"/>
                <w:szCs w:val="24"/>
              </w:rPr>
            </w:pPr>
            <w:bookmarkStart w:id="0" w:name="Addressee_S"/>
            <w:bookmarkEnd w:id="0"/>
            <w:r w:rsidRPr="00D754BC">
              <w:rPr>
                <w:rFonts w:cstheme="minorHAnsi"/>
                <w:szCs w:val="24"/>
              </w:rPr>
              <w:t>–</w:t>
            </w:r>
            <w:r w:rsidR="001350B9" w:rsidRPr="00D754BC">
              <w:rPr>
                <w:rFonts w:cstheme="minorHAnsi"/>
                <w:szCs w:val="24"/>
              </w:rPr>
              <w:tab/>
              <w:t>A las Administraciones de los Estados Miembros de la Unión</w:t>
            </w:r>
            <w:r w:rsidRPr="00D754BC">
              <w:rPr>
                <w:rFonts w:cstheme="minorHAnsi"/>
                <w:szCs w:val="24"/>
              </w:rPr>
              <w:t>;</w:t>
            </w:r>
          </w:p>
          <w:p w14:paraId="015AB860" w14:textId="292A57AD" w:rsidR="00D754BC" w:rsidRPr="00D754BC" w:rsidRDefault="00D754BC" w:rsidP="00D754BC">
            <w:pPr>
              <w:tabs>
                <w:tab w:val="clear" w:pos="794"/>
                <w:tab w:val="clear" w:pos="1191"/>
                <w:tab w:val="clear" w:pos="1588"/>
                <w:tab w:val="clear" w:pos="1985"/>
                <w:tab w:val="left" w:pos="284"/>
              </w:tabs>
              <w:spacing w:before="0"/>
              <w:ind w:left="284" w:hanging="227"/>
              <w:rPr>
                <w:rFonts w:cstheme="minorHAnsi"/>
                <w:szCs w:val="24"/>
              </w:rPr>
            </w:pPr>
            <w:r w:rsidRPr="00D754BC">
              <w:rPr>
                <w:rFonts w:cstheme="minorHAnsi"/>
                <w:szCs w:val="24"/>
              </w:rPr>
              <w:t>–</w:t>
            </w:r>
            <w:r w:rsidRPr="00D754BC">
              <w:rPr>
                <w:rFonts w:cstheme="minorHAnsi"/>
                <w:szCs w:val="24"/>
              </w:rPr>
              <w:tab/>
              <w:t>Al Estado de Palestina (Res. 99 (Rev. Dubái, 2018))</w:t>
            </w:r>
          </w:p>
          <w:p w14:paraId="75163067" w14:textId="48F8E4A5" w:rsidR="00D754BC" w:rsidRPr="00D754BC" w:rsidRDefault="00D754BC" w:rsidP="00D754BC">
            <w:pPr>
              <w:tabs>
                <w:tab w:val="clear" w:pos="794"/>
                <w:tab w:val="clear" w:pos="1191"/>
                <w:tab w:val="clear" w:pos="1588"/>
                <w:tab w:val="clear" w:pos="1985"/>
                <w:tab w:val="left" w:pos="284"/>
              </w:tabs>
              <w:spacing w:after="120"/>
              <w:ind w:left="284" w:hanging="227"/>
              <w:rPr>
                <w:rFonts w:cstheme="minorHAnsi"/>
                <w:b/>
                <w:bCs/>
                <w:szCs w:val="24"/>
              </w:rPr>
            </w:pPr>
            <w:r w:rsidRPr="00D754BC">
              <w:rPr>
                <w:rFonts w:cstheme="minorHAnsi"/>
                <w:b/>
                <w:bCs/>
                <w:szCs w:val="24"/>
              </w:rPr>
              <w:t>Copia:</w:t>
            </w:r>
          </w:p>
          <w:p w14:paraId="470E9A28" w14:textId="326324ED" w:rsidR="00D754BC" w:rsidRPr="00D754BC" w:rsidRDefault="00D754BC" w:rsidP="00D754BC">
            <w:pPr>
              <w:tabs>
                <w:tab w:val="clear" w:pos="794"/>
                <w:tab w:val="clear" w:pos="1191"/>
                <w:tab w:val="clear" w:pos="1588"/>
                <w:tab w:val="clear" w:pos="1985"/>
                <w:tab w:val="left" w:pos="284"/>
              </w:tabs>
              <w:spacing w:before="0"/>
              <w:ind w:left="284" w:hanging="227"/>
              <w:rPr>
                <w:rFonts w:cstheme="minorHAnsi"/>
                <w:szCs w:val="24"/>
              </w:rPr>
            </w:pPr>
            <w:r w:rsidRPr="00D754BC">
              <w:rPr>
                <w:rFonts w:cstheme="minorHAnsi"/>
                <w:szCs w:val="24"/>
              </w:rPr>
              <w:t>–</w:t>
            </w:r>
            <w:r w:rsidR="001350B9" w:rsidRPr="00D754BC">
              <w:rPr>
                <w:rFonts w:cstheme="minorHAnsi"/>
                <w:szCs w:val="24"/>
              </w:rPr>
              <w:tab/>
              <w:t xml:space="preserve">A los Miembros de Sector </w:t>
            </w:r>
            <w:r w:rsidRPr="00D754BC">
              <w:rPr>
                <w:rFonts w:cstheme="minorHAnsi"/>
                <w:szCs w:val="24"/>
              </w:rPr>
              <w:t xml:space="preserve">del </w:t>
            </w:r>
            <w:r w:rsidR="001350B9" w:rsidRPr="00D754BC">
              <w:rPr>
                <w:rFonts w:cstheme="minorHAnsi"/>
                <w:szCs w:val="24"/>
              </w:rPr>
              <w:t>UIT</w:t>
            </w:r>
            <w:r w:rsidR="001350B9" w:rsidRPr="00D754BC">
              <w:rPr>
                <w:rFonts w:cstheme="minorHAnsi"/>
                <w:szCs w:val="24"/>
              </w:rPr>
              <w:noBreakHyphen/>
              <w:t>T;</w:t>
            </w:r>
          </w:p>
          <w:p w14:paraId="22B6319A" w14:textId="47970EE0" w:rsidR="00D754BC" w:rsidRPr="00D754BC" w:rsidRDefault="00D754BC" w:rsidP="00D754BC">
            <w:pPr>
              <w:tabs>
                <w:tab w:val="clear" w:pos="794"/>
                <w:tab w:val="clear" w:pos="1191"/>
                <w:tab w:val="clear" w:pos="1588"/>
                <w:tab w:val="clear" w:pos="1985"/>
                <w:tab w:val="left" w:pos="284"/>
              </w:tabs>
              <w:spacing w:before="0"/>
              <w:ind w:left="284" w:hanging="227"/>
              <w:rPr>
                <w:rFonts w:cstheme="minorHAnsi"/>
                <w:szCs w:val="24"/>
              </w:rPr>
            </w:pPr>
            <w:r w:rsidRPr="00D754BC">
              <w:rPr>
                <w:rFonts w:cstheme="minorHAnsi"/>
                <w:szCs w:val="24"/>
              </w:rPr>
              <w:t>–</w:t>
            </w:r>
            <w:r w:rsidR="001350B9" w:rsidRPr="00D754BC">
              <w:rPr>
                <w:rFonts w:cstheme="minorHAnsi"/>
                <w:szCs w:val="24"/>
              </w:rPr>
              <w:tab/>
              <w:t>A los Asociados de</w:t>
            </w:r>
            <w:r w:rsidRPr="00D754BC">
              <w:rPr>
                <w:rFonts w:cstheme="minorHAnsi"/>
                <w:szCs w:val="24"/>
              </w:rPr>
              <w:t xml:space="preserve"> </w:t>
            </w:r>
            <w:r w:rsidR="001350B9" w:rsidRPr="00D754BC">
              <w:rPr>
                <w:rFonts w:cstheme="minorHAnsi"/>
                <w:szCs w:val="24"/>
              </w:rPr>
              <w:t>l</w:t>
            </w:r>
            <w:r w:rsidRPr="00D754BC">
              <w:rPr>
                <w:rFonts w:cstheme="minorHAnsi"/>
                <w:szCs w:val="24"/>
              </w:rPr>
              <w:t>a Comisión de Estudio</w:t>
            </w:r>
            <w:r>
              <w:rPr>
                <w:rFonts w:cstheme="minorHAnsi"/>
                <w:szCs w:val="24"/>
              </w:rPr>
              <w:t> </w:t>
            </w:r>
            <w:r w:rsidRPr="00D754BC">
              <w:rPr>
                <w:rFonts w:cstheme="minorHAnsi"/>
                <w:szCs w:val="24"/>
              </w:rPr>
              <w:t>2 del </w:t>
            </w:r>
            <w:r w:rsidR="001350B9" w:rsidRPr="00D754BC">
              <w:rPr>
                <w:rFonts w:cstheme="minorHAnsi"/>
                <w:szCs w:val="24"/>
              </w:rPr>
              <w:t>UIT</w:t>
            </w:r>
            <w:r w:rsidR="001350B9" w:rsidRPr="00D754BC">
              <w:rPr>
                <w:rFonts w:cstheme="minorHAnsi"/>
                <w:szCs w:val="24"/>
              </w:rPr>
              <w:noBreakHyphen/>
              <w:t>T;</w:t>
            </w:r>
          </w:p>
          <w:p w14:paraId="3D19F468" w14:textId="0CD7E03E" w:rsidR="00D754BC" w:rsidRPr="00D754BC" w:rsidRDefault="00D754BC" w:rsidP="00D754BC">
            <w:pPr>
              <w:tabs>
                <w:tab w:val="clear" w:pos="794"/>
                <w:tab w:val="clear" w:pos="1191"/>
                <w:tab w:val="clear" w:pos="1588"/>
                <w:tab w:val="clear" w:pos="1985"/>
                <w:tab w:val="left" w:pos="284"/>
              </w:tabs>
              <w:spacing w:before="0"/>
              <w:ind w:left="284" w:hanging="227"/>
              <w:rPr>
                <w:rFonts w:cstheme="minorHAnsi"/>
                <w:szCs w:val="24"/>
              </w:rPr>
            </w:pPr>
            <w:r w:rsidRPr="00D754BC">
              <w:rPr>
                <w:rFonts w:cstheme="minorHAnsi"/>
                <w:szCs w:val="24"/>
              </w:rPr>
              <w:t>–</w:t>
            </w:r>
            <w:r w:rsidR="001350B9" w:rsidRPr="00D754BC">
              <w:rPr>
                <w:rFonts w:cstheme="minorHAnsi"/>
                <w:szCs w:val="24"/>
              </w:rPr>
              <w:tab/>
              <w:t>A las Instituciones Académicas de</w:t>
            </w:r>
            <w:r w:rsidRPr="00D754BC">
              <w:rPr>
                <w:rFonts w:cstheme="minorHAnsi"/>
                <w:szCs w:val="24"/>
              </w:rPr>
              <w:t xml:space="preserve"> </w:t>
            </w:r>
            <w:r w:rsidR="001350B9" w:rsidRPr="00D754BC">
              <w:rPr>
                <w:rFonts w:cstheme="minorHAnsi"/>
                <w:szCs w:val="24"/>
              </w:rPr>
              <w:t>l</w:t>
            </w:r>
            <w:r w:rsidRPr="00D754BC">
              <w:rPr>
                <w:rFonts w:cstheme="minorHAnsi"/>
                <w:szCs w:val="24"/>
              </w:rPr>
              <w:t>a</w:t>
            </w:r>
            <w:r w:rsidR="001350B9" w:rsidRPr="00D754BC">
              <w:rPr>
                <w:rFonts w:cstheme="minorHAnsi"/>
                <w:szCs w:val="24"/>
              </w:rPr>
              <w:t xml:space="preserve"> UIT;</w:t>
            </w:r>
          </w:p>
          <w:p w14:paraId="3804BE26" w14:textId="6427F745" w:rsidR="00D754BC" w:rsidRPr="00D754BC" w:rsidRDefault="008975C2" w:rsidP="00D754BC">
            <w:pPr>
              <w:tabs>
                <w:tab w:val="clear" w:pos="794"/>
                <w:tab w:val="clear" w:pos="1191"/>
                <w:tab w:val="clear" w:pos="1588"/>
                <w:tab w:val="clear" w:pos="1985"/>
                <w:tab w:val="left" w:pos="284"/>
              </w:tabs>
              <w:spacing w:before="0"/>
              <w:ind w:left="284" w:hanging="227"/>
              <w:rPr>
                <w:rFonts w:cstheme="minorHAnsi"/>
                <w:szCs w:val="24"/>
              </w:rPr>
            </w:pPr>
            <w:r w:rsidRPr="00D754BC">
              <w:rPr>
                <w:rFonts w:cstheme="minorHAnsi"/>
                <w:szCs w:val="24"/>
              </w:rPr>
              <w:t>–</w:t>
            </w:r>
            <w:r w:rsidR="001350B9" w:rsidRPr="00D754BC">
              <w:rPr>
                <w:rFonts w:cstheme="minorHAnsi"/>
                <w:szCs w:val="24"/>
              </w:rPr>
              <w:tab/>
              <w:t>Al Presidente y a los Vicepresidentes de la</w:t>
            </w:r>
            <w:r w:rsidR="00D754BC" w:rsidRPr="00D754BC">
              <w:rPr>
                <w:rFonts w:cstheme="minorHAnsi"/>
                <w:szCs w:val="24"/>
              </w:rPr>
              <w:t xml:space="preserve"> </w:t>
            </w:r>
            <w:r w:rsidR="001350B9" w:rsidRPr="00D754BC">
              <w:rPr>
                <w:rFonts w:cstheme="minorHAnsi"/>
                <w:szCs w:val="24"/>
              </w:rPr>
              <w:t xml:space="preserve">Comisión de Estudio </w:t>
            </w:r>
            <w:r w:rsidR="00D754BC" w:rsidRPr="00D754BC">
              <w:rPr>
                <w:rFonts w:cstheme="minorHAnsi"/>
                <w:szCs w:val="24"/>
              </w:rPr>
              <w:t>2 del UIT-T</w:t>
            </w:r>
            <w:r w:rsidR="001350B9" w:rsidRPr="00D754BC">
              <w:rPr>
                <w:rFonts w:cstheme="minorHAnsi"/>
                <w:szCs w:val="24"/>
              </w:rPr>
              <w:t>;</w:t>
            </w:r>
          </w:p>
          <w:p w14:paraId="12C8638F" w14:textId="555A8835" w:rsidR="00D754BC" w:rsidRPr="00D754BC" w:rsidRDefault="008975C2" w:rsidP="00D754BC">
            <w:pPr>
              <w:tabs>
                <w:tab w:val="clear" w:pos="794"/>
                <w:tab w:val="clear" w:pos="1191"/>
                <w:tab w:val="clear" w:pos="1588"/>
                <w:tab w:val="clear" w:pos="1985"/>
                <w:tab w:val="left" w:pos="284"/>
              </w:tabs>
              <w:spacing w:before="0"/>
              <w:ind w:left="284" w:hanging="227"/>
              <w:rPr>
                <w:rFonts w:cstheme="minorHAnsi"/>
                <w:szCs w:val="24"/>
              </w:rPr>
            </w:pPr>
            <w:r w:rsidRPr="00D754BC">
              <w:rPr>
                <w:rFonts w:cstheme="minorHAnsi"/>
                <w:szCs w:val="24"/>
              </w:rPr>
              <w:t>–</w:t>
            </w:r>
            <w:r w:rsidR="001350B9" w:rsidRPr="00D754BC">
              <w:rPr>
                <w:rFonts w:cstheme="minorHAnsi"/>
                <w:szCs w:val="24"/>
              </w:rPr>
              <w:tab/>
              <w:t>Al Director de la Oficina de Desarrollo de las Telecomunicaciones;</w:t>
            </w:r>
          </w:p>
          <w:p w14:paraId="39DC1D55" w14:textId="59347D4A" w:rsidR="001350B9" w:rsidRPr="00D754BC" w:rsidRDefault="008975C2" w:rsidP="00D754BC">
            <w:pPr>
              <w:tabs>
                <w:tab w:val="clear" w:pos="794"/>
                <w:tab w:val="clear" w:pos="1191"/>
                <w:tab w:val="clear" w:pos="1588"/>
                <w:tab w:val="clear" w:pos="1985"/>
                <w:tab w:val="left" w:pos="284"/>
              </w:tabs>
              <w:spacing w:before="0" w:after="120"/>
              <w:ind w:left="284" w:hanging="227"/>
              <w:rPr>
                <w:rFonts w:cstheme="minorHAnsi"/>
                <w:szCs w:val="24"/>
              </w:rPr>
            </w:pPr>
            <w:r w:rsidRPr="00D754BC">
              <w:rPr>
                <w:rFonts w:cstheme="minorHAnsi"/>
                <w:szCs w:val="24"/>
              </w:rPr>
              <w:t>–</w:t>
            </w:r>
            <w:r w:rsidR="001350B9" w:rsidRPr="00D754BC">
              <w:rPr>
                <w:rFonts w:cstheme="minorHAnsi"/>
                <w:szCs w:val="24"/>
              </w:rPr>
              <w:tab/>
              <w:t>Al Director de la Oficina de Radiocomunicaciones</w:t>
            </w:r>
          </w:p>
        </w:tc>
      </w:tr>
      <w:tr w:rsidR="001350B9" w:rsidRPr="00D754BC" w14:paraId="33B487F5" w14:textId="77777777" w:rsidTr="00303D62">
        <w:trPr>
          <w:cantSplit/>
        </w:trPr>
        <w:tc>
          <w:tcPr>
            <w:tcW w:w="993" w:type="dxa"/>
          </w:tcPr>
          <w:p w14:paraId="4E9B0E0E" w14:textId="77777777" w:rsidR="001350B9" w:rsidRPr="00D754BC" w:rsidRDefault="001350B9" w:rsidP="00303D62">
            <w:pPr>
              <w:tabs>
                <w:tab w:val="left" w:pos="4111"/>
              </w:tabs>
              <w:spacing w:before="10"/>
              <w:ind w:left="57"/>
              <w:rPr>
                <w:rFonts w:cstheme="minorHAnsi"/>
                <w:szCs w:val="24"/>
              </w:rPr>
            </w:pPr>
            <w:r w:rsidRPr="00D754BC">
              <w:rPr>
                <w:rFonts w:cstheme="minorHAnsi"/>
                <w:szCs w:val="24"/>
              </w:rPr>
              <w:t>Tel.:</w:t>
            </w:r>
          </w:p>
        </w:tc>
        <w:tc>
          <w:tcPr>
            <w:tcW w:w="3884" w:type="dxa"/>
            <w:gridSpan w:val="2"/>
          </w:tcPr>
          <w:p w14:paraId="2D7708ED" w14:textId="6C257586" w:rsidR="001350B9" w:rsidRPr="00D754BC" w:rsidRDefault="001350B9" w:rsidP="00303D62">
            <w:pPr>
              <w:tabs>
                <w:tab w:val="left" w:pos="4111"/>
              </w:tabs>
              <w:spacing w:before="0"/>
              <w:ind w:left="57"/>
              <w:rPr>
                <w:rStyle w:val="Hyperlink"/>
                <w:rFonts w:cstheme="minorHAnsi"/>
                <w:szCs w:val="24"/>
              </w:rPr>
            </w:pPr>
            <w:r w:rsidRPr="00D754BC">
              <w:rPr>
                <w:rFonts w:cstheme="minorHAnsi"/>
                <w:szCs w:val="24"/>
              </w:rPr>
              <w:t>+41 22 730</w:t>
            </w:r>
            <w:r w:rsidR="00D754BC" w:rsidRPr="00D754BC">
              <w:rPr>
                <w:rFonts w:cstheme="minorHAnsi"/>
                <w:szCs w:val="24"/>
              </w:rPr>
              <w:t xml:space="preserve"> 5901</w:t>
            </w:r>
          </w:p>
        </w:tc>
        <w:tc>
          <w:tcPr>
            <w:tcW w:w="5329" w:type="dxa"/>
            <w:vMerge/>
          </w:tcPr>
          <w:p w14:paraId="4A9E3DC5" w14:textId="77777777" w:rsidR="001350B9" w:rsidRPr="00D754BC" w:rsidRDefault="001350B9" w:rsidP="00303D62">
            <w:pPr>
              <w:tabs>
                <w:tab w:val="left" w:pos="226"/>
                <w:tab w:val="left" w:pos="510"/>
              </w:tabs>
              <w:spacing w:before="0"/>
              <w:ind w:left="226" w:hanging="169"/>
              <w:rPr>
                <w:rFonts w:cstheme="minorHAnsi"/>
                <w:b/>
                <w:szCs w:val="24"/>
              </w:rPr>
            </w:pPr>
          </w:p>
        </w:tc>
      </w:tr>
      <w:tr w:rsidR="001350B9" w:rsidRPr="00D754BC" w14:paraId="52D4778A" w14:textId="77777777" w:rsidTr="00303D62">
        <w:trPr>
          <w:cantSplit/>
        </w:trPr>
        <w:tc>
          <w:tcPr>
            <w:tcW w:w="993" w:type="dxa"/>
          </w:tcPr>
          <w:p w14:paraId="2FD0903B" w14:textId="77777777" w:rsidR="001350B9" w:rsidRPr="00D754BC" w:rsidRDefault="001350B9" w:rsidP="00303D62">
            <w:pPr>
              <w:tabs>
                <w:tab w:val="left" w:pos="4111"/>
              </w:tabs>
              <w:spacing w:before="10"/>
              <w:ind w:left="57"/>
              <w:rPr>
                <w:rFonts w:cstheme="minorHAnsi"/>
                <w:szCs w:val="24"/>
              </w:rPr>
            </w:pPr>
            <w:r w:rsidRPr="00D754BC">
              <w:rPr>
                <w:rFonts w:cstheme="minorHAnsi"/>
                <w:szCs w:val="24"/>
              </w:rPr>
              <w:t>Fax:</w:t>
            </w:r>
          </w:p>
        </w:tc>
        <w:tc>
          <w:tcPr>
            <w:tcW w:w="3884" w:type="dxa"/>
            <w:gridSpan w:val="2"/>
          </w:tcPr>
          <w:p w14:paraId="6F39F32F" w14:textId="77777777" w:rsidR="001350B9" w:rsidRPr="00D754BC" w:rsidRDefault="001350B9" w:rsidP="00303D62">
            <w:pPr>
              <w:tabs>
                <w:tab w:val="left" w:pos="4111"/>
              </w:tabs>
              <w:spacing w:before="0"/>
              <w:ind w:left="57"/>
              <w:rPr>
                <w:rStyle w:val="Hyperlink"/>
                <w:rFonts w:cstheme="minorHAnsi"/>
                <w:szCs w:val="24"/>
              </w:rPr>
            </w:pPr>
            <w:r w:rsidRPr="00D754BC">
              <w:rPr>
                <w:rFonts w:cstheme="minorHAnsi"/>
                <w:szCs w:val="24"/>
              </w:rPr>
              <w:t>+41 22 730 5853</w:t>
            </w:r>
          </w:p>
        </w:tc>
        <w:tc>
          <w:tcPr>
            <w:tcW w:w="5329" w:type="dxa"/>
            <w:vMerge/>
          </w:tcPr>
          <w:p w14:paraId="1D33446B" w14:textId="77777777" w:rsidR="001350B9" w:rsidRPr="00D754BC" w:rsidRDefault="001350B9" w:rsidP="00303D62">
            <w:pPr>
              <w:tabs>
                <w:tab w:val="left" w:pos="226"/>
                <w:tab w:val="left" w:pos="510"/>
              </w:tabs>
              <w:spacing w:before="0"/>
              <w:ind w:left="226" w:hanging="169"/>
              <w:rPr>
                <w:rFonts w:cstheme="minorHAnsi"/>
                <w:b/>
                <w:szCs w:val="24"/>
              </w:rPr>
            </w:pPr>
          </w:p>
        </w:tc>
      </w:tr>
      <w:tr w:rsidR="001350B9" w:rsidRPr="00D754BC" w14:paraId="44E899C8" w14:textId="77777777" w:rsidTr="00303D62">
        <w:trPr>
          <w:cantSplit/>
        </w:trPr>
        <w:tc>
          <w:tcPr>
            <w:tcW w:w="993" w:type="dxa"/>
          </w:tcPr>
          <w:p w14:paraId="3BFACB97" w14:textId="77777777" w:rsidR="001350B9" w:rsidRPr="00D754BC" w:rsidRDefault="001350B9" w:rsidP="00303D62">
            <w:pPr>
              <w:tabs>
                <w:tab w:val="left" w:pos="4111"/>
              </w:tabs>
              <w:spacing w:before="10"/>
              <w:ind w:left="57"/>
              <w:rPr>
                <w:rFonts w:cstheme="minorHAnsi"/>
                <w:szCs w:val="24"/>
              </w:rPr>
            </w:pPr>
            <w:r w:rsidRPr="00D754BC">
              <w:rPr>
                <w:rFonts w:cstheme="minorHAnsi"/>
                <w:szCs w:val="24"/>
              </w:rPr>
              <w:t>Correo-e:</w:t>
            </w:r>
          </w:p>
        </w:tc>
        <w:tc>
          <w:tcPr>
            <w:tcW w:w="3884" w:type="dxa"/>
            <w:gridSpan w:val="2"/>
          </w:tcPr>
          <w:p w14:paraId="1F612D42" w14:textId="348B5945" w:rsidR="001350B9" w:rsidRPr="00D754BC" w:rsidRDefault="00D754BC" w:rsidP="00303D62">
            <w:pPr>
              <w:tabs>
                <w:tab w:val="left" w:pos="4111"/>
              </w:tabs>
              <w:spacing w:before="0"/>
              <w:ind w:left="57"/>
              <w:rPr>
                <w:rFonts w:cstheme="minorHAnsi"/>
                <w:szCs w:val="24"/>
              </w:rPr>
            </w:pPr>
            <w:hyperlink r:id="rId9" w:history="1">
              <w:r w:rsidRPr="00D754BC">
                <w:rPr>
                  <w:rStyle w:val="Hyperlink"/>
                  <w:rFonts w:cstheme="minorHAnsi"/>
                  <w:szCs w:val="24"/>
                </w:rPr>
                <w:t>tsbsg2@itu.int</w:t>
              </w:r>
            </w:hyperlink>
          </w:p>
        </w:tc>
        <w:tc>
          <w:tcPr>
            <w:tcW w:w="5329" w:type="dxa"/>
            <w:vMerge/>
          </w:tcPr>
          <w:p w14:paraId="6E1208CD" w14:textId="77777777" w:rsidR="001350B9" w:rsidRPr="00D754BC" w:rsidRDefault="001350B9" w:rsidP="00303D62">
            <w:pPr>
              <w:tabs>
                <w:tab w:val="clear" w:pos="794"/>
                <w:tab w:val="clear" w:pos="1191"/>
                <w:tab w:val="clear" w:pos="1588"/>
                <w:tab w:val="clear" w:pos="1985"/>
                <w:tab w:val="left" w:pos="226"/>
                <w:tab w:val="left" w:pos="510"/>
              </w:tabs>
              <w:spacing w:before="0"/>
              <w:ind w:left="226" w:hanging="169"/>
              <w:rPr>
                <w:rFonts w:cstheme="minorHAnsi"/>
                <w:szCs w:val="24"/>
              </w:rPr>
            </w:pPr>
          </w:p>
        </w:tc>
      </w:tr>
      <w:tr w:rsidR="007B6316" w:rsidRPr="00D754BC" w14:paraId="4BE97DD6" w14:textId="77777777" w:rsidTr="00DA30ED">
        <w:trPr>
          <w:cantSplit/>
        </w:trPr>
        <w:tc>
          <w:tcPr>
            <w:tcW w:w="993" w:type="dxa"/>
          </w:tcPr>
          <w:p w14:paraId="40840131" w14:textId="77777777" w:rsidR="007B6316" w:rsidRPr="00D754BC" w:rsidRDefault="007B6316" w:rsidP="00303D62">
            <w:pPr>
              <w:tabs>
                <w:tab w:val="left" w:pos="4111"/>
              </w:tabs>
              <w:spacing w:before="10"/>
              <w:ind w:left="57"/>
              <w:rPr>
                <w:rFonts w:cstheme="minorHAnsi"/>
                <w:szCs w:val="24"/>
              </w:rPr>
            </w:pPr>
            <w:r w:rsidRPr="00D754BC">
              <w:rPr>
                <w:rFonts w:cstheme="minorHAnsi"/>
                <w:szCs w:val="24"/>
              </w:rPr>
              <w:t>Asunto:</w:t>
            </w:r>
          </w:p>
        </w:tc>
        <w:tc>
          <w:tcPr>
            <w:tcW w:w="9213" w:type="dxa"/>
            <w:gridSpan w:val="3"/>
          </w:tcPr>
          <w:p w14:paraId="232E8D25" w14:textId="08F225BE" w:rsidR="007B6316" w:rsidRPr="00D754BC" w:rsidRDefault="00D754BC" w:rsidP="00303D62">
            <w:pPr>
              <w:tabs>
                <w:tab w:val="left" w:pos="4111"/>
              </w:tabs>
              <w:spacing w:before="0"/>
              <w:rPr>
                <w:rFonts w:cstheme="minorHAnsi"/>
                <w:b/>
                <w:szCs w:val="24"/>
              </w:rPr>
            </w:pPr>
            <w:r w:rsidRPr="00D754BC">
              <w:rPr>
                <w:rFonts w:cstheme="minorHAnsi"/>
                <w:b/>
                <w:szCs w:val="24"/>
                <w:lang w:val="es-ES"/>
              </w:rPr>
              <w:t>Notificación del número de identificación del expedidor (IIN)</w:t>
            </w:r>
          </w:p>
        </w:tc>
      </w:tr>
    </w:tbl>
    <w:p w14:paraId="578D59D3" w14:textId="77777777" w:rsidR="00C34772" w:rsidRPr="00D754BC" w:rsidRDefault="00C34772" w:rsidP="007B6316">
      <w:pPr>
        <w:spacing w:before="320"/>
        <w:rPr>
          <w:rFonts w:cstheme="minorHAnsi"/>
          <w:szCs w:val="24"/>
        </w:rPr>
      </w:pPr>
      <w:bookmarkStart w:id="1" w:name="StartTyping_S"/>
      <w:bookmarkStart w:id="2" w:name="suitetext"/>
      <w:bookmarkStart w:id="3" w:name="text"/>
      <w:bookmarkEnd w:id="1"/>
      <w:bookmarkEnd w:id="2"/>
      <w:bookmarkEnd w:id="3"/>
      <w:r w:rsidRPr="00D754BC">
        <w:rPr>
          <w:rFonts w:cstheme="minorHAnsi"/>
          <w:szCs w:val="24"/>
        </w:rPr>
        <w:t>Muy Señora mía/Muy Señor mío:</w:t>
      </w:r>
    </w:p>
    <w:p w14:paraId="201492F1" w14:textId="4ED4CE6C" w:rsidR="00D754BC" w:rsidRPr="00D754BC" w:rsidRDefault="00D754BC" w:rsidP="00D754BC">
      <w:pPr>
        <w:spacing w:after="120"/>
        <w:rPr>
          <w:rFonts w:cstheme="minorHAnsi"/>
          <w:szCs w:val="24"/>
        </w:rPr>
      </w:pPr>
      <w:r w:rsidRPr="00D754BC">
        <w:rPr>
          <w:rFonts w:cstheme="minorHAnsi"/>
          <w:bCs/>
          <w:szCs w:val="24"/>
          <w:lang w:val="es-ES"/>
        </w:rPr>
        <w:t>1</w:t>
      </w:r>
      <w:r w:rsidRPr="00D754BC">
        <w:rPr>
          <w:rFonts w:cstheme="minorHAnsi"/>
          <w:szCs w:val="24"/>
          <w:lang w:val="es-ES"/>
        </w:rPr>
        <w:tab/>
        <w:t>La Comisión de Estudio 2 del UIT-T (</w:t>
      </w:r>
      <w:r w:rsidRPr="00D754BC">
        <w:rPr>
          <w:rFonts w:cstheme="minorHAnsi"/>
          <w:i/>
          <w:szCs w:val="24"/>
          <w:lang w:val="es-ES"/>
        </w:rPr>
        <w:t>Aspectos operativos de las telecomunicaciones y las TIC</w:t>
      </w:r>
      <w:r w:rsidRPr="00D754BC">
        <w:rPr>
          <w:rFonts w:cstheme="minorHAnsi"/>
          <w:szCs w:val="24"/>
          <w:lang w:val="es-ES"/>
        </w:rPr>
        <w:t xml:space="preserve">) ha aprobado una revisión de la </w:t>
      </w:r>
      <w:hyperlink r:id="rId10" w:history="1">
        <w:r w:rsidRPr="00D754BC">
          <w:rPr>
            <w:rStyle w:val="Hyperlink"/>
            <w:rFonts w:cstheme="minorHAnsi"/>
            <w:szCs w:val="24"/>
            <w:lang w:val="es-ES"/>
          </w:rPr>
          <w:t>Recomendación UIT-T E.118</w:t>
        </w:r>
      </w:hyperlink>
      <w:r w:rsidRPr="00D754BC">
        <w:rPr>
          <w:rFonts w:cstheme="minorHAnsi"/>
          <w:szCs w:val="24"/>
          <w:lang w:val="es-ES"/>
        </w:rPr>
        <w:t>,</w:t>
      </w:r>
      <w:r w:rsidRPr="00D754BC">
        <w:rPr>
          <w:rFonts w:cstheme="minorHAnsi"/>
          <w:i/>
          <w:iCs/>
          <w:szCs w:val="24"/>
          <w:lang w:val="es-ES"/>
        </w:rPr>
        <w:t xml:space="preserve"> Recursos de numeración de tarjetas para identificar cuentas de tarificación de servicios de telecomunicaciones, </w:t>
      </w:r>
      <w:r w:rsidRPr="00D754BC">
        <w:rPr>
          <w:rFonts w:cstheme="minorHAnsi"/>
          <w:szCs w:val="24"/>
          <w:lang w:val="es-ES"/>
        </w:rPr>
        <w:t xml:space="preserve">de acuerdo con la que el número de identificación del expedidor (INN), una vez asignado, ya no necesita registrarse ante la Unión Internacional de Telecomunicaciones (UIT). Sólo es necesario notificarlo. El INN forma parte del número de cuenta primario (PAN), cuya longitud total es de 19 caracteres. El IIN utiliza el indicador de actividad industrial (MII) </w:t>
      </w:r>
      <w:r>
        <w:rPr>
          <w:rFonts w:cstheme="minorHAnsi"/>
          <w:szCs w:val="24"/>
          <w:lang w:val="es-ES"/>
        </w:rPr>
        <w:t>"</w:t>
      </w:r>
      <w:r w:rsidRPr="00D754BC">
        <w:rPr>
          <w:rFonts w:cstheme="minorHAnsi"/>
          <w:szCs w:val="24"/>
          <w:lang w:val="es-ES"/>
        </w:rPr>
        <w:t>89</w:t>
      </w:r>
      <w:r>
        <w:rPr>
          <w:rFonts w:cstheme="minorHAnsi"/>
          <w:szCs w:val="24"/>
          <w:lang w:val="es-ES"/>
        </w:rPr>
        <w:t>"</w:t>
      </w:r>
      <w:r w:rsidRPr="00D754BC">
        <w:rPr>
          <w:rFonts w:cstheme="minorHAnsi"/>
          <w:szCs w:val="24"/>
          <w:lang w:val="es-ES"/>
        </w:rPr>
        <w:t xml:space="preserve"> relativo a las telecomunicaciones y, luego, el indicativo de país E.164. La estructura es la siguiente</w:t>
      </w:r>
      <w:r w:rsidRPr="00D754BC">
        <w:rPr>
          <w:rFonts w:cstheme="minorHAnsi"/>
          <w:szCs w:val="24"/>
        </w:rPr>
        <w:t>:</w:t>
      </w:r>
    </w:p>
    <w:p w14:paraId="5055DDA6" w14:textId="77777777" w:rsidR="00D754BC" w:rsidRPr="00D754BC" w:rsidRDefault="00D754BC" w:rsidP="00D754BC">
      <w:pPr>
        <w:pStyle w:val="Figure0"/>
        <w:keepNext w:val="0"/>
        <w:keepLines w:val="0"/>
        <w:widowControl w:val="0"/>
        <w:rPr>
          <w:rFonts w:cstheme="minorHAnsi"/>
          <w:szCs w:val="24"/>
        </w:rPr>
      </w:pPr>
      <w:r w:rsidRPr="00D754BC">
        <w:rPr>
          <w:rFonts w:cstheme="minorHAnsi"/>
          <w:noProof/>
          <w:szCs w:val="24"/>
        </w:rPr>
        <w:drawing>
          <wp:inline distT="0" distB="0" distL="0" distR="0" wp14:anchorId="2B7C20CF" wp14:editId="44B02546">
            <wp:extent cx="5426225" cy="3135086"/>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16614" cy="3187310"/>
                    </a:xfrm>
                    <a:prstGeom prst="rect">
                      <a:avLst/>
                    </a:prstGeom>
                    <a:noFill/>
                    <a:ln>
                      <a:noFill/>
                    </a:ln>
                  </pic:spPr>
                </pic:pic>
              </a:graphicData>
            </a:graphic>
          </wp:inline>
        </w:drawing>
      </w:r>
    </w:p>
    <w:p w14:paraId="492BF1D5" w14:textId="77777777" w:rsidR="00D754BC" w:rsidRPr="00D754BC" w:rsidRDefault="00D754BC" w:rsidP="00D754BC">
      <w:pPr>
        <w:keepNext/>
        <w:spacing w:after="240"/>
        <w:rPr>
          <w:rFonts w:cstheme="minorHAnsi"/>
          <w:szCs w:val="24"/>
          <w:lang w:val="es-ES"/>
        </w:rPr>
      </w:pPr>
      <w:r w:rsidRPr="00D754BC">
        <w:rPr>
          <w:rFonts w:cstheme="minorHAnsi"/>
          <w:szCs w:val="24"/>
          <w:lang w:val="es-ES"/>
        </w:rPr>
        <w:lastRenderedPageBreak/>
        <w:t>2</w:t>
      </w:r>
      <w:r w:rsidRPr="00D754BC">
        <w:rPr>
          <w:rFonts w:cstheme="minorHAnsi"/>
          <w:szCs w:val="24"/>
          <w:lang w:val="es-ES"/>
        </w:rPr>
        <w:tab/>
        <w:t>Además de este cambio, las Administraciones pueden ahora permitir subasignaciones en el marco de su política nacional. En caso de permitirse las subasignaciones, la estructura de numeración será la siguiente:</w:t>
      </w:r>
    </w:p>
    <w:p w14:paraId="35E96267" w14:textId="77777777" w:rsidR="00D754BC" w:rsidRPr="00D754BC" w:rsidRDefault="00D754BC" w:rsidP="00D754BC">
      <w:pPr>
        <w:pStyle w:val="Figure0"/>
        <w:rPr>
          <w:rFonts w:cstheme="minorHAnsi"/>
          <w:szCs w:val="24"/>
        </w:rPr>
      </w:pPr>
      <w:r w:rsidRPr="00D754BC">
        <w:rPr>
          <w:rFonts w:cstheme="minorHAnsi"/>
          <w:noProof/>
          <w:szCs w:val="24"/>
        </w:rPr>
        <w:drawing>
          <wp:inline distT="0" distB="0" distL="0" distR="0" wp14:anchorId="2139A1D4" wp14:editId="3B021436">
            <wp:extent cx="5801995" cy="3167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01995" cy="3167380"/>
                    </a:xfrm>
                    <a:prstGeom prst="rect">
                      <a:avLst/>
                    </a:prstGeom>
                    <a:noFill/>
                    <a:ln>
                      <a:noFill/>
                    </a:ln>
                  </pic:spPr>
                </pic:pic>
              </a:graphicData>
            </a:graphic>
          </wp:inline>
        </w:drawing>
      </w:r>
    </w:p>
    <w:p w14:paraId="5570E415" w14:textId="77777777" w:rsidR="00D754BC" w:rsidRPr="00D754BC" w:rsidRDefault="00D754BC" w:rsidP="00D754BC">
      <w:pPr>
        <w:keepNext/>
        <w:spacing w:before="360"/>
        <w:rPr>
          <w:rFonts w:cstheme="minorHAnsi"/>
          <w:szCs w:val="24"/>
          <w:lang w:val="es-ES"/>
        </w:rPr>
      </w:pPr>
      <w:r w:rsidRPr="00D754BC">
        <w:rPr>
          <w:rFonts w:cstheme="minorHAnsi"/>
          <w:szCs w:val="24"/>
          <w:lang w:val="es-ES"/>
        </w:rPr>
        <w:t>3</w:t>
      </w:r>
      <w:r w:rsidRPr="00D754BC">
        <w:rPr>
          <w:rFonts w:cstheme="minorHAnsi"/>
          <w:szCs w:val="24"/>
          <w:lang w:val="es-ES"/>
        </w:rPr>
        <w:tab/>
        <w:t>El IIN es el número de identificación de la parte que factura al cliente.</w:t>
      </w:r>
    </w:p>
    <w:p w14:paraId="66EACB39" w14:textId="3BC303FD" w:rsidR="00D754BC" w:rsidRPr="00D754BC" w:rsidRDefault="00D754BC" w:rsidP="00D754BC">
      <w:pPr>
        <w:rPr>
          <w:rFonts w:cstheme="minorHAnsi"/>
          <w:szCs w:val="24"/>
          <w:lang w:val="es-ES"/>
        </w:rPr>
      </w:pPr>
      <w:r w:rsidRPr="00D754BC">
        <w:rPr>
          <w:rFonts w:cstheme="minorHAnsi"/>
          <w:szCs w:val="24"/>
          <w:lang w:val="es-ES"/>
        </w:rPr>
        <w:t xml:space="preserve">El INN permite identificar al emisor en caso de que no haya subasignación y, en todo caso, al asignatario del país identificado por el indicativo de país (CC). Junto con el MII y el CC tendrá una longitud variable con un máximo de 7 dígitos. El MII </w:t>
      </w:r>
      <w:r>
        <w:rPr>
          <w:rFonts w:cstheme="minorHAnsi"/>
          <w:szCs w:val="24"/>
          <w:lang w:val="es-ES"/>
        </w:rPr>
        <w:t>"</w:t>
      </w:r>
      <w:r w:rsidRPr="00D754BC">
        <w:rPr>
          <w:rFonts w:cstheme="minorHAnsi"/>
          <w:szCs w:val="24"/>
          <w:lang w:val="es-ES"/>
        </w:rPr>
        <w:t>89</w:t>
      </w:r>
      <w:r>
        <w:rPr>
          <w:rFonts w:cstheme="minorHAnsi"/>
          <w:szCs w:val="24"/>
          <w:lang w:val="es-ES"/>
        </w:rPr>
        <w:t>"</w:t>
      </w:r>
      <w:r w:rsidRPr="00D754BC">
        <w:rPr>
          <w:rFonts w:cstheme="minorHAnsi"/>
          <w:szCs w:val="24"/>
          <w:lang w:val="es-ES"/>
        </w:rPr>
        <w:t xml:space="preserve"> lo asigna la ISO/CEI al UIT-T para servicios de telecomunicación, de conformidad con ISO/CEI 7812-1. La longitud del CC puede oscilar entre 1</w:t>
      </w:r>
      <w:r w:rsidR="008975C2">
        <w:rPr>
          <w:rFonts w:cstheme="minorHAnsi"/>
          <w:szCs w:val="24"/>
          <w:lang w:val="es-ES"/>
        </w:rPr>
        <w:t> </w:t>
      </w:r>
      <w:r w:rsidRPr="00D754BC">
        <w:rPr>
          <w:rFonts w:cstheme="minorHAnsi"/>
          <w:szCs w:val="24"/>
          <w:lang w:val="es-ES"/>
        </w:rPr>
        <w:t>y 3 dígitos, de conformidad con la Recomendación UIT-T E.164.</w:t>
      </w:r>
    </w:p>
    <w:p w14:paraId="5883427E" w14:textId="77777777" w:rsidR="00D754BC" w:rsidRPr="00D754BC" w:rsidRDefault="00D754BC" w:rsidP="00D754BC">
      <w:pPr>
        <w:rPr>
          <w:rFonts w:cstheme="minorHAnsi"/>
          <w:szCs w:val="24"/>
          <w:lang w:val="es-ES"/>
        </w:rPr>
      </w:pPr>
      <w:r w:rsidRPr="00D754BC">
        <w:rPr>
          <w:rFonts w:cstheme="minorHAnsi"/>
          <w:szCs w:val="24"/>
          <w:lang w:val="es-ES"/>
        </w:rPr>
        <w:t>El número identificador del subasignatario (INoS), en los países cuya administración autorice las subasignaciones, permite identificar al subasignatario del asignatario identificado por el número de identificación del asignatario (INoA). La administración también puede utilizar este campo para asignar bloques más pequeños de recursos de numeración.</w:t>
      </w:r>
    </w:p>
    <w:p w14:paraId="3E9AAE1F" w14:textId="0B74071E" w:rsidR="00D754BC" w:rsidRPr="00D754BC" w:rsidRDefault="00D754BC" w:rsidP="00D754BC">
      <w:pPr>
        <w:rPr>
          <w:rFonts w:cstheme="minorHAnsi"/>
          <w:szCs w:val="24"/>
          <w:lang w:val="es-ES"/>
        </w:rPr>
      </w:pPr>
      <w:r w:rsidRPr="00D754BC">
        <w:rPr>
          <w:rFonts w:cstheme="minorHAnsi"/>
          <w:szCs w:val="24"/>
          <w:lang w:val="es-ES"/>
        </w:rPr>
        <w:t>Para las tarjetas con cargo a cuenta, los expedidores pueden incorporar un dispositivo de validación en las tarjetas, además del dígito de comprobación de paridad calculado con arreglo a la fórmula de Luhn (véase ISO/CEI</w:t>
      </w:r>
      <w:r w:rsidR="008975C2">
        <w:rPr>
          <w:rFonts w:cstheme="minorHAnsi"/>
          <w:szCs w:val="24"/>
          <w:lang w:val="es-ES"/>
        </w:rPr>
        <w:t> </w:t>
      </w:r>
      <w:r w:rsidRPr="00D754BC">
        <w:rPr>
          <w:rFonts w:cstheme="minorHAnsi"/>
          <w:szCs w:val="24"/>
          <w:lang w:val="es-ES"/>
        </w:rPr>
        <w:t>7812</w:t>
      </w:r>
      <w:r w:rsidR="008975C2">
        <w:rPr>
          <w:rFonts w:cstheme="minorHAnsi"/>
          <w:szCs w:val="24"/>
          <w:lang w:val="es-ES"/>
        </w:rPr>
        <w:noBreakHyphen/>
      </w:r>
      <w:r w:rsidRPr="00D754BC">
        <w:rPr>
          <w:rFonts w:cstheme="minorHAnsi"/>
          <w:szCs w:val="24"/>
          <w:lang w:val="es-ES"/>
        </w:rPr>
        <w:t>1, Anexo</w:t>
      </w:r>
      <w:r w:rsidR="008975C2">
        <w:rPr>
          <w:rFonts w:cstheme="minorHAnsi"/>
          <w:szCs w:val="24"/>
          <w:lang w:val="es-ES"/>
        </w:rPr>
        <w:t> </w:t>
      </w:r>
      <w:r w:rsidRPr="00D754BC">
        <w:rPr>
          <w:rFonts w:cstheme="minorHAnsi"/>
          <w:szCs w:val="24"/>
          <w:lang w:val="es-ES"/>
        </w:rPr>
        <w:t>B). El dispositivo de validación podrá modificarse al emitir nuevas tarjetas.</w:t>
      </w:r>
    </w:p>
    <w:p w14:paraId="4F16A6A4" w14:textId="77777777" w:rsidR="00D754BC" w:rsidRPr="00D754BC" w:rsidRDefault="00D754BC" w:rsidP="00D754BC">
      <w:pPr>
        <w:rPr>
          <w:rFonts w:cstheme="minorHAnsi"/>
          <w:szCs w:val="24"/>
          <w:lang w:val="es-ES"/>
        </w:rPr>
      </w:pPr>
      <w:r w:rsidRPr="00D754BC">
        <w:rPr>
          <w:rFonts w:cstheme="minorHAnsi"/>
          <w:szCs w:val="24"/>
          <w:lang w:val="es-ES"/>
        </w:rPr>
        <w:t>4</w:t>
      </w:r>
      <w:r w:rsidRPr="00D754BC">
        <w:rPr>
          <w:rFonts w:cstheme="minorHAnsi"/>
          <w:szCs w:val="24"/>
          <w:lang w:val="es-ES"/>
        </w:rPr>
        <w:tab/>
        <w:t xml:space="preserve">la TSB-UIT mantiene la lista de INN asignados. De conformidad con la sección 6 de la Recomendación UIT-T E.118, las administraciones comunicarán a la TSB los recursos E.118 asignados y ésta los publicará en la página </w:t>
      </w:r>
      <w:hyperlink r:id="rId13" w:history="1">
        <w:r w:rsidRPr="00D754BC">
          <w:rPr>
            <w:rStyle w:val="Hyperlink"/>
            <w:rFonts w:cstheme="minorHAnsi"/>
            <w:szCs w:val="24"/>
            <w:lang w:val="es-ES"/>
          </w:rPr>
          <w:t>Recursos de numeración internacional</w:t>
        </w:r>
      </w:hyperlink>
      <w:r w:rsidRPr="00D754BC">
        <w:rPr>
          <w:rFonts w:cstheme="minorHAnsi"/>
          <w:szCs w:val="24"/>
          <w:lang w:val="es-ES"/>
        </w:rPr>
        <w:t xml:space="preserve"> del sitio web de la UIT (véase el </w:t>
      </w:r>
      <w:hyperlink r:id="rId14" w:history="1">
        <w:r w:rsidRPr="00D754BC">
          <w:rPr>
            <w:rStyle w:val="Hyperlink"/>
            <w:rFonts w:cstheme="minorHAnsi"/>
            <w:szCs w:val="24"/>
            <w:lang w:val="es-ES"/>
          </w:rPr>
          <w:t>Boletín de Explotación</w:t>
        </w:r>
      </w:hyperlink>
      <w:r w:rsidRPr="00D754BC">
        <w:rPr>
          <w:rFonts w:cstheme="minorHAnsi"/>
          <w:szCs w:val="24"/>
          <w:lang w:val="es-ES"/>
        </w:rPr>
        <w:t>).</w:t>
      </w:r>
    </w:p>
    <w:p w14:paraId="3303B114" w14:textId="5C0854B2" w:rsidR="00D754BC" w:rsidRPr="00D754BC" w:rsidRDefault="00D754BC" w:rsidP="00D754BC">
      <w:pPr>
        <w:rPr>
          <w:rFonts w:cstheme="minorHAnsi"/>
          <w:szCs w:val="24"/>
          <w:lang w:val="es-ES"/>
        </w:rPr>
      </w:pPr>
      <w:r w:rsidRPr="00D754BC">
        <w:rPr>
          <w:rFonts w:cstheme="minorHAnsi"/>
          <w:szCs w:val="24"/>
          <w:lang w:val="es-ES"/>
        </w:rPr>
        <w:t>5</w:t>
      </w:r>
      <w:r w:rsidRPr="00D754BC">
        <w:rPr>
          <w:rFonts w:cstheme="minorHAnsi"/>
          <w:szCs w:val="24"/>
          <w:lang w:val="es-ES"/>
        </w:rPr>
        <w:tab/>
        <w:t>En su reunión de 2026 el Consejo de la UIT decidió suprimir el Acuerdo</w:t>
      </w:r>
      <w:r w:rsidR="008975C2">
        <w:rPr>
          <w:rFonts w:cstheme="minorHAnsi"/>
          <w:szCs w:val="24"/>
          <w:lang w:val="es-ES"/>
        </w:rPr>
        <w:t> </w:t>
      </w:r>
      <w:r w:rsidRPr="00D754BC">
        <w:rPr>
          <w:rFonts w:cstheme="minorHAnsi"/>
          <w:szCs w:val="24"/>
          <w:lang w:val="es-ES"/>
        </w:rPr>
        <w:t>601, por lo que, a partir del 11 de mayo de 2026 (inclusive) la UIT no recaudará tasas en concepto de notificación de recursos E.118 asignados.</w:t>
      </w:r>
    </w:p>
    <w:p w14:paraId="2FAD1B64" w14:textId="77777777" w:rsidR="00D754BC" w:rsidRPr="00D754BC" w:rsidRDefault="00D754BC" w:rsidP="00D754BC">
      <w:pPr>
        <w:rPr>
          <w:rFonts w:cstheme="minorHAnsi"/>
          <w:szCs w:val="24"/>
          <w:lang w:val="es-ES"/>
        </w:rPr>
      </w:pPr>
      <w:r w:rsidRPr="00D754BC">
        <w:rPr>
          <w:rFonts w:cstheme="minorHAnsi"/>
          <w:szCs w:val="24"/>
          <w:lang w:val="es-ES"/>
        </w:rPr>
        <w:t>6</w:t>
      </w:r>
      <w:r w:rsidRPr="00D754BC">
        <w:rPr>
          <w:rFonts w:cstheme="minorHAnsi"/>
          <w:szCs w:val="24"/>
          <w:lang w:val="es-ES"/>
        </w:rPr>
        <w:tab/>
        <w:t xml:space="preserve">Puede encontrar más información sobre el INN en: </w:t>
      </w:r>
      <w:hyperlink r:id="rId15" w:history="1">
        <w:r w:rsidRPr="00D754BC">
          <w:rPr>
            <w:rStyle w:val="Hyperlink"/>
            <w:rFonts w:cstheme="minorHAnsi"/>
            <w:szCs w:val="24"/>
            <w:lang w:val="es-ES"/>
          </w:rPr>
          <w:t>http://www.itu.int/en/ITU-T/inr/forms/Pages/iin.aspx</w:t>
        </w:r>
      </w:hyperlink>
      <w:r w:rsidRPr="00D754BC">
        <w:rPr>
          <w:rFonts w:cstheme="minorHAnsi"/>
          <w:szCs w:val="24"/>
          <w:lang w:val="es-ES"/>
        </w:rPr>
        <w:t>.</w:t>
      </w:r>
    </w:p>
    <w:p w14:paraId="1F009DFA" w14:textId="77777777" w:rsidR="00D754BC" w:rsidRPr="00D754BC" w:rsidRDefault="00D754BC" w:rsidP="00D754BC">
      <w:pPr>
        <w:tabs>
          <w:tab w:val="clear" w:pos="794"/>
          <w:tab w:val="clear" w:pos="1191"/>
          <w:tab w:val="clear" w:pos="1588"/>
          <w:tab w:val="clear" w:pos="1985"/>
        </w:tabs>
        <w:overflowPunct/>
        <w:autoSpaceDE/>
        <w:autoSpaceDN/>
        <w:adjustRightInd/>
        <w:spacing w:before="0"/>
        <w:textAlignment w:val="auto"/>
        <w:rPr>
          <w:rFonts w:cstheme="minorHAnsi"/>
          <w:szCs w:val="24"/>
          <w:lang w:val="es-ES"/>
        </w:rPr>
      </w:pPr>
      <w:r w:rsidRPr="00D754BC">
        <w:rPr>
          <w:rFonts w:cstheme="minorHAnsi"/>
          <w:szCs w:val="24"/>
          <w:lang w:val="es-ES"/>
        </w:rPr>
        <w:br w:type="page"/>
      </w:r>
    </w:p>
    <w:p w14:paraId="75B940B5" w14:textId="77777777" w:rsidR="00D754BC" w:rsidRPr="00D754BC" w:rsidRDefault="00D754BC" w:rsidP="00D754BC">
      <w:pPr>
        <w:spacing w:after="120"/>
        <w:rPr>
          <w:rFonts w:cstheme="minorHAnsi"/>
          <w:szCs w:val="24"/>
          <w:lang w:val="es-ES"/>
        </w:rPr>
      </w:pPr>
      <w:r w:rsidRPr="00D754BC">
        <w:rPr>
          <w:rFonts w:cstheme="minorHAnsi"/>
          <w:szCs w:val="24"/>
          <w:lang w:val="es-ES"/>
        </w:rPr>
        <w:lastRenderedPageBreak/>
        <w:t>7</w:t>
      </w:r>
      <w:r w:rsidRPr="00D754BC">
        <w:rPr>
          <w:rFonts w:cstheme="minorHAnsi"/>
          <w:szCs w:val="24"/>
          <w:lang w:val="es-ES"/>
        </w:rPr>
        <w:tab/>
        <w:t>Sírvase dirigir sus observaciones a:</w:t>
      </w:r>
    </w:p>
    <w:p w14:paraId="5EF44521" w14:textId="77777777" w:rsidR="00D754BC" w:rsidRPr="00D754BC" w:rsidRDefault="00D754BC" w:rsidP="00D754BC">
      <w:pPr>
        <w:tabs>
          <w:tab w:val="clear" w:pos="1191"/>
        </w:tabs>
        <w:spacing w:before="0"/>
        <w:rPr>
          <w:rFonts w:cstheme="minorHAnsi"/>
          <w:szCs w:val="24"/>
          <w:lang w:val="es-ES"/>
        </w:rPr>
      </w:pPr>
      <w:r w:rsidRPr="00D754BC">
        <w:rPr>
          <w:rFonts w:cstheme="minorHAnsi"/>
          <w:szCs w:val="24"/>
          <w:lang w:val="es-ES"/>
        </w:rPr>
        <w:t>Boletín de Explotación y Administración de Numeración</w:t>
      </w:r>
    </w:p>
    <w:p w14:paraId="5C0CFA0C" w14:textId="77777777" w:rsidR="00D754BC" w:rsidRPr="00D754BC" w:rsidRDefault="00D754BC" w:rsidP="00D754BC">
      <w:pPr>
        <w:tabs>
          <w:tab w:val="clear" w:pos="1191"/>
        </w:tabs>
        <w:spacing w:before="0"/>
        <w:rPr>
          <w:rFonts w:cstheme="minorHAnsi"/>
          <w:szCs w:val="24"/>
          <w:lang w:val="es-ES"/>
        </w:rPr>
      </w:pPr>
      <w:r w:rsidRPr="00D754BC">
        <w:rPr>
          <w:rFonts w:cstheme="minorHAnsi"/>
          <w:szCs w:val="24"/>
          <w:lang w:val="es-ES"/>
        </w:rPr>
        <w:t>Unión Internacional de Telecomunicaciones</w:t>
      </w:r>
    </w:p>
    <w:p w14:paraId="78E1903F" w14:textId="77777777" w:rsidR="00D754BC" w:rsidRPr="00D754BC" w:rsidRDefault="00D754BC" w:rsidP="00D754BC">
      <w:pPr>
        <w:tabs>
          <w:tab w:val="clear" w:pos="1191"/>
        </w:tabs>
        <w:spacing w:before="0"/>
        <w:rPr>
          <w:rFonts w:cstheme="minorHAnsi"/>
          <w:szCs w:val="24"/>
          <w:lang w:val="es-ES"/>
        </w:rPr>
      </w:pPr>
      <w:r w:rsidRPr="00D754BC">
        <w:rPr>
          <w:rFonts w:cstheme="minorHAnsi"/>
          <w:szCs w:val="24"/>
          <w:lang w:val="es-ES"/>
        </w:rPr>
        <w:t>Oficina de Normalización de las Telecomunicaciones</w:t>
      </w:r>
    </w:p>
    <w:p w14:paraId="0067C4B1" w14:textId="0E1C66A7" w:rsidR="00D754BC" w:rsidRPr="00D754BC" w:rsidRDefault="00D754BC" w:rsidP="00D754BC">
      <w:pPr>
        <w:tabs>
          <w:tab w:val="clear" w:pos="1191"/>
        </w:tabs>
        <w:spacing w:before="0"/>
        <w:rPr>
          <w:rFonts w:cstheme="minorHAnsi"/>
          <w:szCs w:val="24"/>
          <w:lang w:val="fr-FR"/>
        </w:rPr>
      </w:pPr>
      <w:r w:rsidRPr="00D754BC">
        <w:rPr>
          <w:rFonts w:cstheme="minorHAnsi"/>
          <w:szCs w:val="24"/>
          <w:lang w:val="fr-FR"/>
        </w:rPr>
        <w:t>Place des Nations CH - 1211 GINEBRA 20, Suiza</w:t>
      </w:r>
    </w:p>
    <w:p w14:paraId="27F15AE5" w14:textId="77777777" w:rsidR="00D754BC" w:rsidRPr="00D754BC" w:rsidRDefault="00D754BC" w:rsidP="00D754BC">
      <w:pPr>
        <w:tabs>
          <w:tab w:val="clear" w:pos="1191"/>
        </w:tabs>
        <w:spacing w:before="0"/>
        <w:rPr>
          <w:rFonts w:cstheme="minorHAnsi"/>
          <w:szCs w:val="24"/>
          <w:lang w:val="es-ES"/>
        </w:rPr>
      </w:pPr>
      <w:r w:rsidRPr="00D754BC">
        <w:rPr>
          <w:rFonts w:cstheme="minorHAnsi"/>
          <w:szCs w:val="24"/>
          <w:lang w:val="es-ES"/>
        </w:rPr>
        <w:t>Tel: +41 22 730 5211</w:t>
      </w:r>
    </w:p>
    <w:p w14:paraId="7138DD8E" w14:textId="77777777" w:rsidR="00D754BC" w:rsidRPr="00D754BC" w:rsidRDefault="00D754BC" w:rsidP="00D754BC">
      <w:pPr>
        <w:tabs>
          <w:tab w:val="clear" w:pos="1191"/>
        </w:tabs>
        <w:spacing w:before="0"/>
        <w:rPr>
          <w:rFonts w:cstheme="minorHAnsi"/>
          <w:szCs w:val="24"/>
          <w:lang w:val="es-ES"/>
        </w:rPr>
      </w:pPr>
      <w:r w:rsidRPr="00D754BC">
        <w:rPr>
          <w:rFonts w:cstheme="minorHAnsi"/>
          <w:szCs w:val="24"/>
          <w:lang w:val="es-ES"/>
        </w:rPr>
        <w:t>Fax: +41 22 730 5853</w:t>
      </w:r>
    </w:p>
    <w:p w14:paraId="2D987B0F" w14:textId="77777777" w:rsidR="00D754BC" w:rsidRPr="00D754BC" w:rsidRDefault="00D754BC" w:rsidP="00D754BC">
      <w:pPr>
        <w:tabs>
          <w:tab w:val="clear" w:pos="1191"/>
        </w:tabs>
        <w:spacing w:before="0"/>
        <w:rPr>
          <w:rFonts w:cstheme="minorHAnsi"/>
          <w:szCs w:val="24"/>
          <w:lang w:val="es-ES"/>
        </w:rPr>
      </w:pPr>
      <w:r w:rsidRPr="00D754BC">
        <w:rPr>
          <w:rFonts w:cstheme="minorHAnsi"/>
          <w:szCs w:val="24"/>
          <w:lang w:val="es-ES"/>
        </w:rPr>
        <w:t xml:space="preserve">Correo-e: </w:t>
      </w:r>
      <w:hyperlink r:id="rId16" w:history="1">
        <w:r w:rsidRPr="00D754BC">
          <w:rPr>
            <w:rStyle w:val="Hyperlink"/>
            <w:rFonts w:cstheme="minorHAnsi"/>
            <w:szCs w:val="24"/>
            <w:lang w:val="es-ES"/>
          </w:rPr>
          <w:t>tsbtson@itu.int</w:t>
        </w:r>
      </w:hyperlink>
    </w:p>
    <w:p w14:paraId="4DB5CCA2" w14:textId="77777777" w:rsidR="00D754BC" w:rsidRPr="00D754BC" w:rsidRDefault="00D754BC" w:rsidP="00D754BC">
      <w:pPr>
        <w:rPr>
          <w:rFonts w:cstheme="minorHAnsi"/>
          <w:szCs w:val="24"/>
          <w:lang w:val="es-ES"/>
        </w:rPr>
      </w:pPr>
      <w:r w:rsidRPr="00D754BC">
        <w:rPr>
          <w:rFonts w:cstheme="minorHAnsi"/>
          <w:szCs w:val="24"/>
          <w:lang w:val="es-ES"/>
        </w:rPr>
        <w:t>Atentamente,</w:t>
      </w:r>
    </w:p>
    <w:p w14:paraId="5278490E" w14:textId="77777777" w:rsidR="00D754BC" w:rsidRPr="00D754BC" w:rsidRDefault="00D754BC" w:rsidP="00D754BC">
      <w:pPr>
        <w:spacing w:before="1200" w:after="1200"/>
        <w:rPr>
          <w:rFonts w:cstheme="minorHAnsi"/>
          <w:i/>
          <w:iCs/>
          <w:szCs w:val="24"/>
          <w:lang w:val="es-ES"/>
        </w:rPr>
      </w:pPr>
      <w:r w:rsidRPr="00D754BC">
        <w:rPr>
          <w:rFonts w:cstheme="minorHAnsi"/>
          <w:i/>
          <w:iCs/>
          <w:szCs w:val="24"/>
          <w:lang w:val="es-ES"/>
        </w:rPr>
        <w:t>(firmado)</w:t>
      </w:r>
    </w:p>
    <w:p w14:paraId="626EE59B" w14:textId="6B976EA2" w:rsidR="00401C20" w:rsidRPr="007B6316" w:rsidRDefault="00D754BC" w:rsidP="00D754BC">
      <w:pPr>
        <w:rPr>
          <w:lang w:val="es-ES"/>
        </w:rPr>
      </w:pPr>
      <w:r w:rsidRPr="00D754BC">
        <w:rPr>
          <w:rFonts w:cstheme="minorHAnsi"/>
          <w:noProof/>
          <w:szCs w:val="24"/>
          <w:lang w:val="es-ES"/>
        </w:rPr>
        <w:t>Seizo Onoe</w:t>
      </w:r>
      <w:r w:rsidRPr="00D754BC">
        <w:rPr>
          <w:rFonts w:cstheme="minorHAnsi"/>
          <w:szCs w:val="24"/>
          <w:lang w:val="es-ES"/>
        </w:rPr>
        <w:br/>
        <w:t xml:space="preserve">Director de la Oficina de </w:t>
      </w:r>
      <w:r w:rsidRPr="00D754BC">
        <w:rPr>
          <w:rFonts w:cstheme="minorHAnsi"/>
          <w:szCs w:val="24"/>
          <w:lang w:val="es-ES"/>
        </w:rPr>
        <w:br/>
        <w:t>Normalización de las Telecomunicaciones</w:t>
      </w:r>
    </w:p>
    <w:sectPr w:rsidR="00401C20" w:rsidRPr="007B6316" w:rsidSect="00B87E9E">
      <w:headerReference w:type="default" r:id="rId17"/>
      <w:footerReference w:type="first" r:id="rId18"/>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9E1AF" w14:textId="77777777" w:rsidR="00D754BC" w:rsidRDefault="00D754BC">
      <w:r>
        <w:separator/>
      </w:r>
    </w:p>
  </w:endnote>
  <w:endnote w:type="continuationSeparator" w:id="0">
    <w:p w14:paraId="6CAB0E61" w14:textId="77777777" w:rsidR="00D754BC" w:rsidRDefault="00D7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F6F3"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6C161" w14:textId="77777777" w:rsidR="00D754BC" w:rsidRDefault="00D754BC">
      <w:r>
        <w:t>____________________</w:t>
      </w:r>
    </w:p>
  </w:footnote>
  <w:footnote w:type="continuationSeparator" w:id="0">
    <w:p w14:paraId="1212E31A" w14:textId="77777777" w:rsidR="00D754BC" w:rsidRDefault="00D75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C1FB" w14:textId="77777777" w:rsidR="006969B4" w:rsidRPr="00303D62" w:rsidRDefault="006969B4">
    <w:pPr>
      <w:pStyle w:val="Header"/>
      <w:rP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3"/>
  </w:num>
  <w:num w:numId="3" w16cid:durableId="1069613404">
    <w:abstractNumId w:val="2"/>
  </w:num>
  <w:num w:numId="4" w16cid:durableId="37493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BC"/>
    <w:rsid w:val="00002529"/>
    <w:rsid w:val="00085662"/>
    <w:rsid w:val="000C382F"/>
    <w:rsid w:val="001173CC"/>
    <w:rsid w:val="001350B9"/>
    <w:rsid w:val="0014464D"/>
    <w:rsid w:val="001A54CC"/>
    <w:rsid w:val="00257FB4"/>
    <w:rsid w:val="002E496E"/>
    <w:rsid w:val="00303D62"/>
    <w:rsid w:val="00335367"/>
    <w:rsid w:val="00370C2D"/>
    <w:rsid w:val="003D1E8D"/>
    <w:rsid w:val="003D673B"/>
    <w:rsid w:val="003F2855"/>
    <w:rsid w:val="00401C20"/>
    <w:rsid w:val="004A7957"/>
    <w:rsid w:val="004C4144"/>
    <w:rsid w:val="0055719E"/>
    <w:rsid w:val="006969B4"/>
    <w:rsid w:val="006E4F7B"/>
    <w:rsid w:val="00781E2A"/>
    <w:rsid w:val="007933A2"/>
    <w:rsid w:val="007B6316"/>
    <w:rsid w:val="00814503"/>
    <w:rsid w:val="008258C2"/>
    <w:rsid w:val="008505BD"/>
    <w:rsid w:val="00850C78"/>
    <w:rsid w:val="00876165"/>
    <w:rsid w:val="00884D12"/>
    <w:rsid w:val="008975C2"/>
    <w:rsid w:val="008C17AD"/>
    <w:rsid w:val="008D02CD"/>
    <w:rsid w:val="0091370C"/>
    <w:rsid w:val="0095172A"/>
    <w:rsid w:val="009A0BA0"/>
    <w:rsid w:val="00A54E47"/>
    <w:rsid w:val="00AB6E3A"/>
    <w:rsid w:val="00AE7093"/>
    <w:rsid w:val="00B422BC"/>
    <w:rsid w:val="00B43F77"/>
    <w:rsid w:val="00B55A3E"/>
    <w:rsid w:val="00B87E9E"/>
    <w:rsid w:val="00B95F0A"/>
    <w:rsid w:val="00B96180"/>
    <w:rsid w:val="00C116FE"/>
    <w:rsid w:val="00C17AC0"/>
    <w:rsid w:val="00C34772"/>
    <w:rsid w:val="00C5465A"/>
    <w:rsid w:val="00D54642"/>
    <w:rsid w:val="00D754BC"/>
    <w:rsid w:val="00D834E7"/>
    <w:rsid w:val="00DD77C9"/>
    <w:rsid w:val="00DF3538"/>
    <w:rsid w:val="00E839B0"/>
    <w:rsid w:val="00E92C09"/>
    <w:rsid w:val="00F14380"/>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B5A4C"/>
  <w15:docId w15:val="{5D5EAD45-211D-4658-AB3A-7157E56B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D75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inr/Pages/default.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sbtson@it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itu.int/en/ITU-T/inr/forms/Pages/iin.aspx" TargetMode="External"/><Relationship Id="rId23" Type="http://schemas.openxmlformats.org/officeDocument/2006/relationships/customXml" Target="../customXml/item4.xml"/><Relationship Id="rId10" Type="http://schemas.openxmlformats.org/officeDocument/2006/relationships/hyperlink" Target="https://www.itu.int/myworkspace/t-rec/item?id=8728&amp;lang=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yperlink" Target="https://www.itu.int/pub/T-SP/e"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3" ma:contentTypeDescription="Create a new document." ma:contentTypeScope="" ma:versionID="0f20bce1901f33acfe335412fc44138d">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e9f9ee9344ed2db78a2d65959b61a729"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customXml/itemProps2.xml><?xml version="1.0" encoding="utf-8"?>
<ds:datastoreItem xmlns:ds="http://schemas.openxmlformats.org/officeDocument/2006/customXml" ds:itemID="{A485C03C-0F59-4D1D-8D84-B5A9AAA19B44}"/>
</file>

<file path=customXml/itemProps3.xml><?xml version="1.0" encoding="utf-8"?>
<ds:datastoreItem xmlns:ds="http://schemas.openxmlformats.org/officeDocument/2006/customXml" ds:itemID="{EC00351A-2D3B-40DA-8D4D-9D5E6682E5BF}"/>
</file>

<file path=customXml/itemProps4.xml><?xml version="1.0" encoding="utf-8"?>
<ds:datastoreItem xmlns:ds="http://schemas.openxmlformats.org/officeDocument/2006/customXml" ds:itemID="{50180E37-7530-407A-BD2C-4B2CCBADD9EE}"/>
</file>

<file path=docProps/app.xml><?xml version="1.0" encoding="utf-8"?>
<Properties xmlns="http://schemas.openxmlformats.org/officeDocument/2006/extended-properties" xmlns:vt="http://schemas.openxmlformats.org/officeDocument/2006/docPropsVTypes">
  <Template>PS_TSB_Circular_Letter.dotx</Template>
  <TotalTime>15</TotalTime>
  <Pages>3</Pages>
  <Words>664</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4310</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Spanish</cp:lastModifiedBy>
  <cp:revision>1</cp:revision>
  <cp:lastPrinted>2011-04-15T08:24:00Z</cp:lastPrinted>
  <dcterms:created xsi:type="dcterms:W3CDTF">2026-05-12T07:05:00Z</dcterms:created>
  <dcterms:modified xsi:type="dcterms:W3CDTF">2026-05-12T07:38:00Z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4" name="docLang">
    <vt:lpwstr>es</vt:lpwstr>
  </property>
  <property fmtid="{D5CDD505-2E9C-101B-9397-08002B2CF9AE}" pid="5" name="MediaServiceImageTags">
    <vt:lpwstr/>
  </property>
</Properties>
</file>