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EE5CE1" w14:paraId="3FDAE1F3" w14:textId="77777777" w:rsidTr="003F083D">
        <w:trPr>
          <w:cantSplit/>
        </w:trPr>
        <w:tc>
          <w:tcPr>
            <w:tcW w:w="0" w:type="auto"/>
            <w:vAlign w:val="center"/>
          </w:tcPr>
          <w:p w14:paraId="3DE42CAA" w14:textId="77777777" w:rsidR="00EF6A23" w:rsidRPr="00EE5CE1" w:rsidRDefault="00EF6A23" w:rsidP="00D14F31">
            <w:pPr>
              <w:tabs>
                <w:tab w:val="right" w:pos="8732"/>
              </w:tabs>
              <w:spacing w:before="0"/>
              <w:rPr>
                <w:b/>
                <w:bCs/>
                <w:iCs/>
                <w:color w:val="FFFFFF"/>
                <w:sz w:val="30"/>
                <w:szCs w:val="30"/>
              </w:rPr>
            </w:pPr>
            <w:r w:rsidRPr="00EE5CE1">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EE5CE1" w:rsidRDefault="00EF6A23" w:rsidP="00EF6A23">
            <w:pPr>
              <w:spacing w:before="0"/>
              <w:rPr>
                <w:rFonts w:cs="Times New Roman Bold"/>
                <w:b/>
                <w:bCs/>
                <w:iCs/>
                <w:smallCaps/>
                <w:sz w:val="34"/>
                <w:szCs w:val="34"/>
              </w:rPr>
            </w:pPr>
            <w:r w:rsidRPr="00EE5CE1">
              <w:rPr>
                <w:rFonts w:cs="Times New Roman Bold"/>
                <w:b/>
                <w:bCs/>
                <w:iCs/>
                <w:smallCaps/>
                <w:sz w:val="34"/>
                <w:szCs w:val="34"/>
              </w:rPr>
              <w:t>Union internationale des télécommunications</w:t>
            </w:r>
          </w:p>
          <w:p w14:paraId="089E66D0" w14:textId="77777777" w:rsidR="00EF6A23" w:rsidRPr="00EE5CE1" w:rsidRDefault="00EF6A23" w:rsidP="00EF6A23">
            <w:pPr>
              <w:spacing w:before="0"/>
              <w:rPr>
                <w:color w:val="FFFFFF"/>
                <w:sz w:val="26"/>
                <w:szCs w:val="26"/>
              </w:rPr>
            </w:pPr>
            <w:r w:rsidRPr="00EE5CE1">
              <w:rPr>
                <w:rFonts w:cs="Times New Roman Bold"/>
                <w:b/>
                <w:bCs/>
                <w:iCs/>
                <w:smallCaps/>
                <w:sz w:val="28"/>
                <w:szCs w:val="28"/>
              </w:rPr>
              <w:t>B</w:t>
            </w:r>
            <w:r w:rsidRPr="00EE5CE1">
              <w:rPr>
                <w:b/>
                <w:bCs/>
                <w:iCs/>
                <w:smallCaps/>
                <w:sz w:val="28"/>
                <w:szCs w:val="28"/>
              </w:rPr>
              <w:t>ureau de la Normalisation des Télécommunications</w:t>
            </w:r>
          </w:p>
        </w:tc>
      </w:tr>
      <w:tr w:rsidR="00036F4F" w:rsidRPr="00EE5CE1" w14:paraId="18B25741" w14:textId="77777777" w:rsidTr="00307FB4">
        <w:trPr>
          <w:cantSplit/>
        </w:trPr>
        <w:tc>
          <w:tcPr>
            <w:tcW w:w="0" w:type="auto"/>
          </w:tcPr>
          <w:p w14:paraId="4B1AFD72" w14:textId="77777777" w:rsidR="00036F4F" w:rsidRPr="00EE5CE1" w:rsidRDefault="00036F4F" w:rsidP="00A5280F">
            <w:pPr>
              <w:tabs>
                <w:tab w:val="left" w:pos="4111"/>
              </w:tabs>
              <w:spacing w:before="10"/>
              <w:ind w:left="57"/>
            </w:pPr>
          </w:p>
        </w:tc>
        <w:tc>
          <w:tcPr>
            <w:tcW w:w="3399" w:type="dxa"/>
          </w:tcPr>
          <w:p w14:paraId="6579D3E8" w14:textId="77777777" w:rsidR="00036F4F" w:rsidRPr="00EE5CE1" w:rsidRDefault="00036F4F" w:rsidP="00A5280F">
            <w:pPr>
              <w:tabs>
                <w:tab w:val="left" w:pos="4111"/>
              </w:tabs>
              <w:spacing w:before="10"/>
              <w:ind w:left="57"/>
              <w:rPr>
                <w:b/>
              </w:rPr>
            </w:pPr>
          </w:p>
        </w:tc>
        <w:tc>
          <w:tcPr>
            <w:tcW w:w="5051" w:type="dxa"/>
          </w:tcPr>
          <w:p w14:paraId="0DC34ECA" w14:textId="7F3E3DF0" w:rsidR="00036F4F" w:rsidRPr="00EE5CE1" w:rsidRDefault="00036F4F" w:rsidP="00A5645A">
            <w:pPr>
              <w:tabs>
                <w:tab w:val="clear" w:pos="794"/>
                <w:tab w:val="clear" w:pos="1191"/>
                <w:tab w:val="clear" w:pos="1588"/>
                <w:tab w:val="clear" w:pos="1985"/>
                <w:tab w:val="left" w:pos="284"/>
              </w:tabs>
              <w:spacing w:after="120"/>
              <w:ind w:left="284" w:hanging="227"/>
            </w:pPr>
            <w:r w:rsidRPr="00EE5CE1">
              <w:t>Genève, le</w:t>
            </w:r>
            <w:r w:rsidR="004419E9" w:rsidRPr="00EE5CE1">
              <w:t xml:space="preserve"> </w:t>
            </w:r>
            <w:r w:rsidR="00237BD9" w:rsidRPr="00EE5CE1">
              <w:rPr>
                <w:color w:val="000000"/>
              </w:rPr>
              <w:t>11 mai 2026</w:t>
            </w:r>
          </w:p>
        </w:tc>
      </w:tr>
      <w:tr w:rsidR="00445B68" w:rsidRPr="00EE5CE1" w14:paraId="16CDDFEF" w14:textId="77777777" w:rsidTr="00307FB4">
        <w:trPr>
          <w:cantSplit/>
          <w:trHeight w:val="340"/>
        </w:trPr>
        <w:tc>
          <w:tcPr>
            <w:tcW w:w="0" w:type="auto"/>
          </w:tcPr>
          <w:p w14:paraId="3EFF375D" w14:textId="58556577" w:rsidR="00445B68" w:rsidRPr="00EE5CE1" w:rsidRDefault="00445B68" w:rsidP="00307FB4">
            <w:pPr>
              <w:tabs>
                <w:tab w:val="left" w:pos="4111"/>
              </w:tabs>
              <w:spacing w:before="10"/>
              <w:ind w:left="57"/>
              <w:rPr>
                <w:b/>
                <w:bCs/>
              </w:rPr>
            </w:pPr>
            <w:r w:rsidRPr="00EE5CE1">
              <w:rPr>
                <w:b/>
                <w:bCs/>
              </w:rPr>
              <w:t>Réf.:</w:t>
            </w:r>
          </w:p>
        </w:tc>
        <w:tc>
          <w:tcPr>
            <w:tcW w:w="3399" w:type="dxa"/>
          </w:tcPr>
          <w:p w14:paraId="5FFBBC9B" w14:textId="2331FCEB" w:rsidR="00445B68" w:rsidRPr="00EE5CE1" w:rsidRDefault="00445B68" w:rsidP="00A5280F">
            <w:pPr>
              <w:tabs>
                <w:tab w:val="left" w:pos="4111"/>
              </w:tabs>
              <w:spacing w:before="10"/>
              <w:ind w:left="57"/>
              <w:rPr>
                <w:b/>
              </w:rPr>
            </w:pPr>
            <w:r w:rsidRPr="00EE5CE1">
              <w:rPr>
                <w:b/>
              </w:rPr>
              <w:t xml:space="preserve">Circulaire TSB </w:t>
            </w:r>
            <w:r w:rsidR="00237BD9" w:rsidRPr="00EE5CE1">
              <w:rPr>
                <w:b/>
              </w:rPr>
              <w:t>136</w:t>
            </w:r>
          </w:p>
          <w:p w14:paraId="577F6DA2" w14:textId="74D715E9" w:rsidR="00445B68" w:rsidRPr="00EE5CE1" w:rsidRDefault="00237BD9" w:rsidP="00307FB4">
            <w:pPr>
              <w:tabs>
                <w:tab w:val="left" w:pos="4111"/>
              </w:tabs>
              <w:spacing w:before="10"/>
              <w:ind w:left="57"/>
            </w:pPr>
            <w:r w:rsidRPr="00EE5CE1">
              <w:t>CE 2/MCB</w:t>
            </w:r>
          </w:p>
        </w:tc>
        <w:tc>
          <w:tcPr>
            <w:tcW w:w="5051" w:type="dxa"/>
            <w:vMerge w:val="restart"/>
          </w:tcPr>
          <w:p w14:paraId="35271D8E" w14:textId="1860481E" w:rsidR="00307FB4" w:rsidRPr="00EE5CE1" w:rsidRDefault="00307FB4" w:rsidP="00307FB4">
            <w:pPr>
              <w:tabs>
                <w:tab w:val="left" w:pos="4111"/>
              </w:tabs>
              <w:spacing w:before="0"/>
              <w:ind w:left="426" w:hanging="426"/>
            </w:pPr>
            <w:bookmarkStart w:id="0" w:name="Addressee_F"/>
            <w:bookmarkEnd w:id="0"/>
            <w:r w:rsidRPr="00EE5CE1">
              <w:t>–</w:t>
            </w:r>
            <w:r w:rsidRPr="00EE5CE1">
              <w:tab/>
            </w:r>
            <w:r w:rsidR="00237BD9" w:rsidRPr="00EE5CE1">
              <w:rPr>
                <w:color w:val="000000"/>
              </w:rPr>
              <w:t>Aux Administrations des États Membres de l'Union</w:t>
            </w:r>
            <w:r w:rsidRPr="00EE5CE1">
              <w:t>;</w:t>
            </w:r>
          </w:p>
          <w:p w14:paraId="461460AE" w14:textId="7C0BB61E" w:rsidR="00445B68" w:rsidRPr="00EE5CE1" w:rsidRDefault="00307FB4" w:rsidP="00307FB4">
            <w:pPr>
              <w:tabs>
                <w:tab w:val="left" w:pos="4111"/>
              </w:tabs>
              <w:spacing w:before="0"/>
              <w:ind w:left="426" w:hanging="426"/>
            </w:pPr>
            <w:r w:rsidRPr="00EE5CE1">
              <w:t>–</w:t>
            </w:r>
            <w:r w:rsidRPr="00EE5CE1">
              <w:tab/>
            </w:r>
            <w:r w:rsidR="00237BD9" w:rsidRPr="00EE5CE1">
              <w:rPr>
                <w:color w:val="000000"/>
              </w:rPr>
              <w:t>À l'État de Palestine (Résolution 99 (Rév.</w:t>
            </w:r>
            <w:r w:rsidR="00237BD9" w:rsidRPr="00EE5CE1">
              <w:rPr>
                <w:color w:val="000000"/>
              </w:rPr>
              <w:t> </w:t>
            </w:r>
            <w:r w:rsidR="00237BD9" w:rsidRPr="00EE5CE1">
              <w:rPr>
                <w:color w:val="000000"/>
              </w:rPr>
              <w:t>Dubaï, 2018))</w:t>
            </w:r>
          </w:p>
        </w:tc>
      </w:tr>
      <w:tr w:rsidR="00237BD9" w:rsidRPr="00EE5CE1" w14:paraId="06A3F0E7" w14:textId="77777777" w:rsidTr="00307FB4">
        <w:trPr>
          <w:cantSplit/>
          <w:trHeight w:val="340"/>
        </w:trPr>
        <w:tc>
          <w:tcPr>
            <w:tcW w:w="0" w:type="auto"/>
          </w:tcPr>
          <w:p w14:paraId="5CF43A7B" w14:textId="490F0778" w:rsidR="00237BD9" w:rsidRPr="00EE5CE1" w:rsidRDefault="00237BD9" w:rsidP="00237BD9">
            <w:pPr>
              <w:tabs>
                <w:tab w:val="left" w:pos="4111"/>
              </w:tabs>
              <w:spacing w:before="10"/>
              <w:ind w:left="57"/>
              <w:rPr>
                <w:b/>
                <w:bCs/>
              </w:rPr>
            </w:pPr>
            <w:r w:rsidRPr="00EE5CE1">
              <w:rPr>
                <w:b/>
                <w:bCs/>
              </w:rPr>
              <w:t>Tél.:</w:t>
            </w:r>
          </w:p>
        </w:tc>
        <w:tc>
          <w:tcPr>
            <w:tcW w:w="3399" w:type="dxa"/>
          </w:tcPr>
          <w:p w14:paraId="2074781F" w14:textId="609E5DBC" w:rsidR="00237BD9" w:rsidRPr="00EE5CE1" w:rsidRDefault="00237BD9" w:rsidP="00237BD9">
            <w:pPr>
              <w:tabs>
                <w:tab w:val="left" w:pos="4111"/>
              </w:tabs>
              <w:spacing w:before="10"/>
              <w:ind w:left="57"/>
              <w:rPr>
                <w:b/>
              </w:rPr>
            </w:pPr>
            <w:r w:rsidRPr="00EE5CE1">
              <w:rPr>
                <w:color w:val="000000"/>
              </w:rPr>
              <w:t>+41 22 730 5901</w:t>
            </w:r>
          </w:p>
        </w:tc>
        <w:tc>
          <w:tcPr>
            <w:tcW w:w="5051" w:type="dxa"/>
            <w:vMerge/>
          </w:tcPr>
          <w:p w14:paraId="2F310545" w14:textId="77777777" w:rsidR="00237BD9" w:rsidRPr="00EE5CE1" w:rsidRDefault="00237BD9" w:rsidP="00237BD9">
            <w:pPr>
              <w:tabs>
                <w:tab w:val="clear" w:pos="794"/>
                <w:tab w:val="clear" w:pos="1191"/>
                <w:tab w:val="clear" w:pos="1588"/>
                <w:tab w:val="clear" w:pos="1985"/>
                <w:tab w:val="left" w:pos="284"/>
              </w:tabs>
              <w:spacing w:before="0"/>
              <w:ind w:left="284" w:hanging="227"/>
            </w:pPr>
          </w:p>
        </w:tc>
      </w:tr>
      <w:tr w:rsidR="00237BD9" w:rsidRPr="00EE5CE1" w14:paraId="724FD23E" w14:textId="77777777" w:rsidTr="00307FB4">
        <w:trPr>
          <w:cantSplit/>
        </w:trPr>
        <w:tc>
          <w:tcPr>
            <w:tcW w:w="0" w:type="auto"/>
          </w:tcPr>
          <w:p w14:paraId="73149CCD" w14:textId="367ED8A7" w:rsidR="00237BD9" w:rsidRPr="00EE5CE1" w:rsidRDefault="00237BD9" w:rsidP="00237BD9">
            <w:pPr>
              <w:tabs>
                <w:tab w:val="left" w:pos="4111"/>
              </w:tabs>
              <w:spacing w:before="10"/>
              <w:ind w:left="57"/>
              <w:rPr>
                <w:b/>
                <w:bCs/>
                <w:sz w:val="20"/>
              </w:rPr>
            </w:pPr>
            <w:r w:rsidRPr="00EE5CE1">
              <w:rPr>
                <w:b/>
                <w:bCs/>
              </w:rPr>
              <w:t>Télécopie:</w:t>
            </w:r>
          </w:p>
        </w:tc>
        <w:tc>
          <w:tcPr>
            <w:tcW w:w="3399" w:type="dxa"/>
          </w:tcPr>
          <w:p w14:paraId="78D06186" w14:textId="3B4A52F7" w:rsidR="00237BD9" w:rsidRPr="00EE5CE1" w:rsidRDefault="00237BD9" w:rsidP="00237BD9">
            <w:pPr>
              <w:tabs>
                <w:tab w:val="left" w:pos="4111"/>
              </w:tabs>
              <w:spacing w:before="0"/>
              <w:ind w:left="57"/>
            </w:pPr>
            <w:r w:rsidRPr="00EE5CE1">
              <w:t>+41 22 730 5853</w:t>
            </w:r>
          </w:p>
        </w:tc>
        <w:tc>
          <w:tcPr>
            <w:tcW w:w="5051" w:type="dxa"/>
            <w:vMerge/>
          </w:tcPr>
          <w:p w14:paraId="6D3A5806" w14:textId="77777777" w:rsidR="00237BD9" w:rsidRPr="00EE5CE1" w:rsidRDefault="00237BD9" w:rsidP="00237BD9">
            <w:pPr>
              <w:tabs>
                <w:tab w:val="left" w:pos="226"/>
                <w:tab w:val="left" w:pos="4111"/>
              </w:tabs>
              <w:spacing w:before="0"/>
              <w:ind w:left="226" w:hanging="226"/>
              <w:rPr>
                <w:b/>
              </w:rPr>
            </w:pPr>
          </w:p>
        </w:tc>
      </w:tr>
      <w:tr w:rsidR="00237BD9" w:rsidRPr="00EE5CE1" w14:paraId="030F9AE5" w14:textId="77777777" w:rsidTr="00237BD9">
        <w:trPr>
          <w:cantSplit/>
          <w:trHeight w:val="74"/>
        </w:trPr>
        <w:tc>
          <w:tcPr>
            <w:tcW w:w="0" w:type="auto"/>
          </w:tcPr>
          <w:p w14:paraId="7B417C4C" w14:textId="2F248872" w:rsidR="00237BD9" w:rsidRPr="00EE5CE1" w:rsidRDefault="00237BD9" w:rsidP="00237BD9">
            <w:pPr>
              <w:tabs>
                <w:tab w:val="left" w:pos="4111"/>
              </w:tabs>
              <w:spacing w:before="10"/>
              <w:ind w:left="57"/>
              <w:rPr>
                <w:b/>
                <w:bCs/>
                <w:sz w:val="20"/>
              </w:rPr>
            </w:pPr>
            <w:r w:rsidRPr="00EE5CE1">
              <w:rPr>
                <w:b/>
                <w:bCs/>
              </w:rPr>
              <w:t>Courriel:</w:t>
            </w:r>
          </w:p>
        </w:tc>
        <w:tc>
          <w:tcPr>
            <w:tcW w:w="3399" w:type="dxa"/>
          </w:tcPr>
          <w:p w14:paraId="1A4A5F7B" w14:textId="27934978" w:rsidR="00237BD9" w:rsidRPr="00EE5CE1" w:rsidRDefault="00237BD9" w:rsidP="00237BD9">
            <w:pPr>
              <w:tabs>
                <w:tab w:val="left" w:pos="4111"/>
              </w:tabs>
              <w:spacing w:before="0"/>
              <w:ind w:left="57"/>
            </w:pPr>
            <w:hyperlink r:id="rId9" w:history="1">
              <w:r w:rsidRPr="00EE5CE1">
                <w:rPr>
                  <w:rStyle w:val="Hyperlink"/>
                </w:rPr>
                <w:t>tsbsg2@</w:t>
              </w:r>
              <w:r w:rsidRPr="00EE5CE1">
                <w:rPr>
                  <w:rStyle w:val="Hyperlink"/>
                </w:rPr>
                <w:t>i</w:t>
              </w:r>
              <w:r w:rsidRPr="00EE5CE1">
                <w:rPr>
                  <w:rStyle w:val="Hyperlink"/>
                </w:rPr>
                <w:t>tu.int</w:t>
              </w:r>
            </w:hyperlink>
          </w:p>
        </w:tc>
        <w:tc>
          <w:tcPr>
            <w:tcW w:w="5051" w:type="dxa"/>
            <w:vMerge/>
          </w:tcPr>
          <w:p w14:paraId="323DAC81" w14:textId="77777777" w:rsidR="00237BD9" w:rsidRPr="00EE5CE1" w:rsidRDefault="00237BD9" w:rsidP="00237BD9">
            <w:pPr>
              <w:tabs>
                <w:tab w:val="left" w:pos="226"/>
                <w:tab w:val="left" w:pos="4111"/>
              </w:tabs>
              <w:spacing w:before="0"/>
              <w:ind w:left="226" w:hanging="226"/>
              <w:rPr>
                <w:b/>
              </w:rPr>
            </w:pPr>
          </w:p>
        </w:tc>
      </w:tr>
      <w:tr w:rsidR="00237BD9" w:rsidRPr="00EE5CE1" w14:paraId="640FB6B9" w14:textId="77777777" w:rsidTr="00307FB4">
        <w:trPr>
          <w:cantSplit/>
        </w:trPr>
        <w:tc>
          <w:tcPr>
            <w:tcW w:w="0" w:type="auto"/>
          </w:tcPr>
          <w:p w14:paraId="15527369" w14:textId="3C740C83" w:rsidR="00237BD9" w:rsidRPr="00EE5CE1" w:rsidRDefault="00237BD9" w:rsidP="00237BD9">
            <w:pPr>
              <w:tabs>
                <w:tab w:val="left" w:pos="4111"/>
              </w:tabs>
              <w:spacing w:before="10"/>
              <w:ind w:left="57"/>
              <w:rPr>
                <w:b/>
                <w:bCs/>
              </w:rPr>
            </w:pPr>
          </w:p>
        </w:tc>
        <w:tc>
          <w:tcPr>
            <w:tcW w:w="3399" w:type="dxa"/>
          </w:tcPr>
          <w:p w14:paraId="172249CE" w14:textId="5154C771" w:rsidR="00237BD9" w:rsidRPr="00EE5CE1" w:rsidRDefault="00237BD9" w:rsidP="00237BD9">
            <w:pPr>
              <w:tabs>
                <w:tab w:val="left" w:pos="4111"/>
              </w:tabs>
              <w:spacing w:before="0"/>
              <w:ind w:left="57"/>
              <w:rPr>
                <w:rStyle w:val="Hyperlink"/>
              </w:rPr>
            </w:pPr>
          </w:p>
        </w:tc>
        <w:tc>
          <w:tcPr>
            <w:tcW w:w="5051" w:type="dxa"/>
          </w:tcPr>
          <w:p w14:paraId="55E5D357" w14:textId="77777777" w:rsidR="00237BD9" w:rsidRPr="00EE5CE1" w:rsidRDefault="00237BD9" w:rsidP="00237BD9">
            <w:pPr>
              <w:tabs>
                <w:tab w:val="clear" w:pos="794"/>
                <w:tab w:val="left" w:pos="226"/>
                <w:tab w:val="left" w:pos="4111"/>
              </w:tabs>
              <w:spacing w:before="0"/>
              <w:ind w:left="226" w:hanging="226"/>
              <w:rPr>
                <w:b/>
                <w:bCs/>
              </w:rPr>
            </w:pPr>
            <w:r w:rsidRPr="00EE5CE1">
              <w:rPr>
                <w:b/>
                <w:bCs/>
              </w:rPr>
              <w:t>Copie:</w:t>
            </w:r>
          </w:p>
          <w:p w14:paraId="1BF9C1EF" w14:textId="77777777" w:rsidR="00237BD9" w:rsidRPr="00EE5CE1" w:rsidRDefault="00237BD9" w:rsidP="00237BD9">
            <w:pPr>
              <w:tabs>
                <w:tab w:val="clear" w:pos="794"/>
                <w:tab w:val="clear" w:pos="1191"/>
                <w:tab w:val="clear" w:pos="1588"/>
                <w:tab w:val="clear" w:pos="1985"/>
              </w:tabs>
              <w:spacing w:before="40" w:after="40"/>
              <w:ind w:left="430" w:hanging="430"/>
              <w:rPr>
                <w:rFonts w:cstheme="minorHAnsi"/>
                <w:sz w:val="22"/>
                <w:szCs w:val="22"/>
              </w:rPr>
            </w:pPr>
            <w:r w:rsidRPr="00EE5CE1">
              <w:t>–</w:t>
            </w:r>
            <w:r w:rsidRPr="00EE5CE1">
              <w:tab/>
            </w:r>
            <w:r w:rsidRPr="00EE5CE1">
              <w:rPr>
                <w:color w:val="000000"/>
              </w:rPr>
              <w:t>Aux Membres du Secteur de l'UIT-T;</w:t>
            </w:r>
          </w:p>
          <w:p w14:paraId="5791A9FE" w14:textId="64F5B34A" w:rsidR="00237BD9" w:rsidRPr="00EE5CE1" w:rsidRDefault="00237BD9" w:rsidP="00237BD9">
            <w:pPr>
              <w:tabs>
                <w:tab w:val="clear" w:pos="794"/>
                <w:tab w:val="clear" w:pos="1191"/>
                <w:tab w:val="clear" w:pos="1588"/>
                <w:tab w:val="clear" w:pos="1985"/>
              </w:tabs>
              <w:spacing w:before="40" w:after="40"/>
              <w:ind w:left="430" w:hanging="430"/>
              <w:rPr>
                <w:rFonts w:cstheme="minorHAnsi"/>
                <w:sz w:val="22"/>
                <w:szCs w:val="22"/>
              </w:rPr>
            </w:pPr>
            <w:r w:rsidRPr="00EE5CE1">
              <w:t>–</w:t>
            </w:r>
            <w:r w:rsidRPr="00EE5CE1">
              <w:tab/>
            </w:r>
            <w:r w:rsidRPr="00EE5CE1">
              <w:rPr>
                <w:color w:val="000000"/>
              </w:rPr>
              <w:t>Aux Associés de la Commission d'études 2 de l'UIT-T;</w:t>
            </w:r>
          </w:p>
          <w:p w14:paraId="0A3349A5" w14:textId="40EBF8D9" w:rsidR="00237BD9" w:rsidRPr="00EE5CE1" w:rsidRDefault="00237BD9" w:rsidP="00237BD9">
            <w:pPr>
              <w:pStyle w:val="Tabletext0"/>
              <w:tabs>
                <w:tab w:val="clear" w:pos="284"/>
              </w:tabs>
              <w:ind w:left="430" w:hanging="430"/>
              <w:rPr>
                <w:rFonts w:asciiTheme="minorHAnsi" w:hAnsiTheme="minorHAnsi" w:cstheme="minorHAnsi"/>
                <w:sz w:val="22"/>
                <w:szCs w:val="22"/>
                <w:lang w:val="fr-FR"/>
              </w:rPr>
            </w:pPr>
            <w:r w:rsidRPr="00EE5CE1">
              <w:rPr>
                <w:lang w:val="fr-FR"/>
              </w:rPr>
              <w:t>–</w:t>
            </w:r>
            <w:r w:rsidRPr="00EE5CE1">
              <w:rPr>
                <w:lang w:val="fr-FR"/>
              </w:rPr>
              <w:tab/>
            </w:r>
            <w:r w:rsidRPr="00EE5CE1">
              <w:rPr>
                <w:color w:val="000000"/>
                <w:lang w:val="fr-FR"/>
              </w:rPr>
              <w:t>Aux établissements universitaires participant aux travaux de l'UIT;</w:t>
            </w:r>
          </w:p>
          <w:p w14:paraId="6C9D06A5" w14:textId="37B663F1" w:rsidR="00237BD9" w:rsidRPr="00EE5CE1" w:rsidRDefault="00237BD9" w:rsidP="00237BD9">
            <w:pPr>
              <w:pStyle w:val="Tabletext0"/>
              <w:tabs>
                <w:tab w:val="clear" w:pos="284"/>
                <w:tab w:val="clear" w:pos="567"/>
              </w:tabs>
              <w:ind w:left="430" w:hanging="430"/>
              <w:rPr>
                <w:rFonts w:asciiTheme="minorHAnsi" w:hAnsiTheme="minorHAnsi" w:cstheme="minorHAnsi"/>
                <w:sz w:val="22"/>
                <w:szCs w:val="22"/>
                <w:lang w:val="fr-FR"/>
              </w:rPr>
            </w:pPr>
            <w:r w:rsidRPr="00EE5CE1">
              <w:rPr>
                <w:lang w:val="fr-FR"/>
              </w:rPr>
              <w:t>–</w:t>
            </w:r>
            <w:r w:rsidRPr="00EE5CE1">
              <w:rPr>
                <w:lang w:val="fr-FR"/>
              </w:rPr>
              <w:tab/>
            </w:r>
            <w:r w:rsidRPr="00EE5CE1">
              <w:rPr>
                <w:color w:val="000000"/>
                <w:lang w:val="fr-FR"/>
              </w:rPr>
              <w:t>Aux Présidents et Vice-Présidents de la Commission d'études 2 de l'UIT-T;</w:t>
            </w:r>
          </w:p>
          <w:p w14:paraId="5F14E1A0" w14:textId="6B24D67C" w:rsidR="00237BD9" w:rsidRPr="00EE5CE1" w:rsidRDefault="00237BD9" w:rsidP="00237BD9">
            <w:pPr>
              <w:pStyle w:val="Tabletext0"/>
              <w:tabs>
                <w:tab w:val="clear" w:pos="284"/>
                <w:tab w:val="clear" w:pos="567"/>
              </w:tabs>
              <w:ind w:left="430" w:hanging="430"/>
              <w:rPr>
                <w:rFonts w:asciiTheme="minorHAnsi" w:hAnsiTheme="minorHAnsi" w:cstheme="minorHAnsi"/>
                <w:sz w:val="22"/>
                <w:szCs w:val="22"/>
                <w:lang w:val="fr-FR"/>
              </w:rPr>
            </w:pPr>
            <w:r w:rsidRPr="00EE5CE1">
              <w:rPr>
                <w:lang w:val="fr-FR"/>
              </w:rPr>
              <w:t>–</w:t>
            </w:r>
            <w:r w:rsidRPr="00EE5CE1">
              <w:rPr>
                <w:lang w:val="fr-FR"/>
              </w:rPr>
              <w:tab/>
            </w:r>
            <w:r w:rsidRPr="00EE5CE1">
              <w:rPr>
                <w:color w:val="000000"/>
                <w:lang w:val="fr-FR"/>
              </w:rPr>
              <w:t>Au Directeur du Bureau de développement des télécommunications;</w:t>
            </w:r>
          </w:p>
          <w:p w14:paraId="19762254" w14:textId="7F454D40" w:rsidR="00237BD9" w:rsidRPr="00EE5CE1" w:rsidRDefault="00237BD9" w:rsidP="00237BD9">
            <w:pPr>
              <w:tabs>
                <w:tab w:val="clear" w:pos="794"/>
                <w:tab w:val="left" w:pos="4111"/>
              </w:tabs>
              <w:spacing w:before="0"/>
              <w:ind w:left="430" w:hanging="430"/>
            </w:pPr>
            <w:r w:rsidRPr="00EE5CE1">
              <w:t>–</w:t>
            </w:r>
            <w:r w:rsidRPr="00EE5CE1">
              <w:tab/>
            </w:r>
            <w:r w:rsidRPr="00EE5CE1">
              <w:rPr>
                <w:color w:val="000000"/>
              </w:rPr>
              <w:t>Au Directeur du Bureau des radiocommunications</w:t>
            </w:r>
          </w:p>
        </w:tc>
      </w:tr>
      <w:tr w:rsidR="00237BD9" w:rsidRPr="00EE5CE1" w14:paraId="5435C04A" w14:textId="77777777" w:rsidTr="00C41B89">
        <w:trPr>
          <w:cantSplit/>
          <w:trHeight w:val="397"/>
        </w:trPr>
        <w:tc>
          <w:tcPr>
            <w:tcW w:w="0" w:type="auto"/>
          </w:tcPr>
          <w:p w14:paraId="2A0B9B4F" w14:textId="77777777" w:rsidR="00237BD9" w:rsidRPr="00EE5CE1" w:rsidRDefault="00237BD9" w:rsidP="00237BD9">
            <w:pPr>
              <w:tabs>
                <w:tab w:val="left" w:pos="4111"/>
              </w:tabs>
              <w:ind w:left="57"/>
              <w:rPr>
                <w:b/>
                <w:bCs/>
                <w:szCs w:val="22"/>
              </w:rPr>
            </w:pPr>
            <w:r w:rsidRPr="00EE5CE1">
              <w:rPr>
                <w:b/>
                <w:bCs/>
                <w:szCs w:val="22"/>
              </w:rPr>
              <w:t>Objet:</w:t>
            </w:r>
          </w:p>
        </w:tc>
        <w:tc>
          <w:tcPr>
            <w:tcW w:w="0" w:type="auto"/>
            <w:gridSpan w:val="2"/>
          </w:tcPr>
          <w:p w14:paraId="1A51EE75" w14:textId="2153C8AE" w:rsidR="00237BD9" w:rsidRPr="00EE5CE1" w:rsidRDefault="00237BD9" w:rsidP="00237BD9">
            <w:pPr>
              <w:tabs>
                <w:tab w:val="left" w:pos="4111"/>
              </w:tabs>
              <w:spacing w:after="120"/>
              <w:ind w:left="57"/>
              <w:rPr>
                <w:b/>
                <w:bCs/>
                <w:szCs w:val="22"/>
              </w:rPr>
            </w:pPr>
            <w:r w:rsidRPr="00EE5CE1">
              <w:rPr>
                <w:b/>
                <w:bCs/>
                <w:szCs w:val="22"/>
              </w:rPr>
              <w:t>Notification du numéro identificateur d</w:t>
            </w:r>
            <w:r w:rsidR="00C243C2" w:rsidRPr="00EE5CE1">
              <w:rPr>
                <w:b/>
                <w:bCs/>
                <w:szCs w:val="22"/>
              </w:rPr>
              <w:t>'</w:t>
            </w:r>
            <w:r w:rsidRPr="00EE5CE1">
              <w:rPr>
                <w:b/>
                <w:bCs/>
                <w:szCs w:val="22"/>
              </w:rPr>
              <w:t>entité émettrice (IIN)</w:t>
            </w:r>
          </w:p>
        </w:tc>
      </w:tr>
    </w:tbl>
    <w:p w14:paraId="2D1EC328" w14:textId="77777777" w:rsidR="00517A03" w:rsidRPr="00EE5CE1" w:rsidRDefault="00517A03" w:rsidP="0048088B">
      <w:pPr>
        <w:spacing w:before="360"/>
      </w:pPr>
      <w:bookmarkStart w:id="1" w:name="StartTyping_F"/>
      <w:bookmarkEnd w:id="1"/>
      <w:r w:rsidRPr="00EE5CE1">
        <w:t>Madame, Monsieur,</w:t>
      </w:r>
    </w:p>
    <w:p w14:paraId="46F2C3C2" w14:textId="6C106577" w:rsidR="00307FB4" w:rsidRPr="00EE5CE1" w:rsidRDefault="00237BD9" w:rsidP="00307FB4">
      <w:pPr>
        <w:rPr>
          <w:bCs/>
        </w:rPr>
      </w:pPr>
      <w:r w:rsidRPr="00EE5CE1">
        <w:rPr>
          <w:bCs/>
        </w:rPr>
        <w:t>1</w:t>
      </w:r>
      <w:r w:rsidRPr="00EE5CE1">
        <w:rPr>
          <w:bCs/>
        </w:rPr>
        <w:tab/>
        <w:t>La Commission d</w:t>
      </w:r>
      <w:r w:rsidR="00C243C2" w:rsidRPr="00EE5CE1">
        <w:rPr>
          <w:bCs/>
        </w:rPr>
        <w:t>'</w:t>
      </w:r>
      <w:r w:rsidRPr="00EE5CE1">
        <w:rPr>
          <w:bCs/>
        </w:rPr>
        <w:t>études 2 de l</w:t>
      </w:r>
      <w:r w:rsidR="00C243C2" w:rsidRPr="00EE5CE1">
        <w:rPr>
          <w:bCs/>
        </w:rPr>
        <w:t>'</w:t>
      </w:r>
      <w:r w:rsidRPr="00EE5CE1">
        <w:rPr>
          <w:bCs/>
        </w:rPr>
        <w:t>UIT-T (</w:t>
      </w:r>
      <w:r w:rsidRPr="00EE5CE1">
        <w:rPr>
          <w:bCs/>
          <w:i/>
          <w:iCs/>
        </w:rPr>
        <w:t>Aspects opérationnels des télécommunications et des TIC</w:t>
      </w:r>
      <w:r w:rsidRPr="00EE5CE1">
        <w:rPr>
          <w:bCs/>
        </w:rPr>
        <w:t xml:space="preserve">) a approuvé une révision de la </w:t>
      </w:r>
      <w:hyperlink r:id="rId10" w:history="1">
        <w:r w:rsidRPr="00EE5CE1">
          <w:rPr>
            <w:rStyle w:val="Hyperlink"/>
            <w:bCs/>
          </w:rPr>
          <w:t>Recommandation UIT-T E.118</w:t>
        </w:r>
      </w:hyperlink>
      <w:r w:rsidRPr="00EE5CE1">
        <w:rPr>
          <w:bCs/>
        </w:rPr>
        <w:t xml:space="preserve">, </w:t>
      </w:r>
      <w:r w:rsidRPr="00EE5CE1">
        <w:rPr>
          <w:bCs/>
          <w:i/>
          <w:iCs/>
        </w:rPr>
        <w:t>Ressources de numérotage des cartes visant à identifier les comptes pour la facturation des services de télécommunication</w:t>
      </w:r>
      <w:r w:rsidRPr="00EE5CE1">
        <w:rPr>
          <w:bCs/>
        </w:rPr>
        <w:t xml:space="preserve"> pour lesquels le numéro identificateur d</w:t>
      </w:r>
      <w:r w:rsidR="00C243C2" w:rsidRPr="00EE5CE1">
        <w:rPr>
          <w:bCs/>
        </w:rPr>
        <w:t>'</w:t>
      </w:r>
      <w:r w:rsidRPr="00EE5CE1">
        <w:rPr>
          <w:bCs/>
        </w:rPr>
        <w:t>entité émettrice (IIN), une fois attribué, n</w:t>
      </w:r>
      <w:r w:rsidR="00C243C2" w:rsidRPr="00EE5CE1">
        <w:rPr>
          <w:bCs/>
        </w:rPr>
        <w:t>'</w:t>
      </w:r>
      <w:r w:rsidRPr="00EE5CE1">
        <w:rPr>
          <w:bCs/>
        </w:rPr>
        <w:t>a plus besoin d</w:t>
      </w:r>
      <w:r w:rsidR="00C243C2" w:rsidRPr="00EE5CE1">
        <w:rPr>
          <w:bCs/>
        </w:rPr>
        <w:t>'</w:t>
      </w:r>
      <w:r w:rsidRPr="00EE5CE1">
        <w:rPr>
          <w:bCs/>
        </w:rPr>
        <w:t>être enregistré auprès de l</w:t>
      </w:r>
      <w:r w:rsidR="00C243C2" w:rsidRPr="00EE5CE1">
        <w:rPr>
          <w:bCs/>
        </w:rPr>
        <w:t>'</w:t>
      </w:r>
      <w:r w:rsidRPr="00EE5CE1">
        <w:rPr>
          <w:bCs/>
        </w:rPr>
        <w:t>Union internationale des télécommunications (UIT). Seule une notification est nécessaire. Le numéro IIN fait partie du numéro de compte primaire (PAN) qui a une longueur totale de 19 caractères. Le numéro IIN est suivi de l</w:t>
      </w:r>
      <w:r w:rsidR="00C243C2" w:rsidRPr="00EE5CE1">
        <w:rPr>
          <w:bCs/>
        </w:rPr>
        <w:t>'</w:t>
      </w:r>
      <w:r w:rsidRPr="00EE5CE1">
        <w:rPr>
          <w:bCs/>
        </w:rPr>
        <w:t>identificateur d</w:t>
      </w:r>
      <w:r w:rsidR="00C243C2" w:rsidRPr="00EE5CE1">
        <w:rPr>
          <w:bCs/>
        </w:rPr>
        <w:t>'</w:t>
      </w:r>
      <w:r w:rsidRPr="00EE5CE1">
        <w:rPr>
          <w:bCs/>
        </w:rPr>
        <w:t>activité économique (MII) "89" pour les télécommunications, suivi de l</w:t>
      </w:r>
      <w:r w:rsidR="00C243C2" w:rsidRPr="00EE5CE1">
        <w:rPr>
          <w:bCs/>
        </w:rPr>
        <w:t>'</w:t>
      </w:r>
      <w:r w:rsidRPr="00EE5CE1">
        <w:rPr>
          <w:bCs/>
        </w:rPr>
        <w:t>indicatif de pays E.164. La structure est la suivante:</w:t>
      </w:r>
      <w:hyperlink r:id="rId11" w:history="1"/>
    </w:p>
    <w:p w14:paraId="04E2C4A2" w14:textId="2D0F8D89" w:rsidR="002E0D59" w:rsidRPr="00EE5CE1" w:rsidRDefault="002E0D59" w:rsidP="002E0D59">
      <w:pPr>
        <w:pStyle w:val="Figure0"/>
        <w:rPr>
          <w:rFonts w:ascii="Times New Roman" w:hAnsi="Times New Roman"/>
          <w:sz w:val="24"/>
          <w:lang w:eastAsia="fr-FR"/>
        </w:rPr>
      </w:pPr>
      <w:r w:rsidRPr="00EE5CE1">
        <w:drawing>
          <wp:inline distT="0" distB="0" distL="0" distR="0" wp14:anchorId="70ABAB97" wp14:editId="30D87888">
            <wp:extent cx="6177915" cy="3607435"/>
            <wp:effectExtent l="0" t="0" r="0" b="0"/>
            <wp:docPr id="1467266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7915" cy="3607435"/>
                    </a:xfrm>
                    <a:prstGeom prst="rect">
                      <a:avLst/>
                    </a:prstGeom>
                    <a:noFill/>
                    <a:ln>
                      <a:noFill/>
                    </a:ln>
                  </pic:spPr>
                </pic:pic>
              </a:graphicData>
            </a:graphic>
          </wp:inline>
        </w:drawing>
      </w:r>
    </w:p>
    <w:p w14:paraId="63DA6D6A" w14:textId="140F7D33" w:rsidR="00237BD9" w:rsidRPr="00EE5CE1" w:rsidRDefault="00237BD9" w:rsidP="002E0D59">
      <w:pPr>
        <w:spacing w:before="360" w:after="360"/>
        <w:rPr>
          <w:bCs/>
        </w:rPr>
      </w:pPr>
      <w:r w:rsidRPr="00EE5CE1">
        <w:rPr>
          <w:bCs/>
        </w:rPr>
        <w:t>2</w:t>
      </w:r>
      <w:r w:rsidRPr="00EE5CE1">
        <w:rPr>
          <w:bCs/>
        </w:rPr>
        <w:tab/>
        <w:t xml:space="preserve">En plus de ce changement, les </w:t>
      </w:r>
      <w:r w:rsidR="00C243C2" w:rsidRPr="00EE5CE1">
        <w:rPr>
          <w:bCs/>
        </w:rPr>
        <w:t>a</w:t>
      </w:r>
      <w:r w:rsidRPr="00EE5CE1">
        <w:rPr>
          <w:bCs/>
        </w:rPr>
        <w:t>dministrations peuvent maintenant autoriser des sous</w:t>
      </w:r>
      <w:r w:rsidR="00C243C2" w:rsidRPr="00EE5CE1">
        <w:rPr>
          <w:bCs/>
        </w:rPr>
        <w:noBreakHyphen/>
      </w:r>
      <w:r w:rsidRPr="00EE5CE1">
        <w:rPr>
          <w:bCs/>
        </w:rPr>
        <w:t>assignations dans le cadre de leur politique nationale. Si des sous-attributions sont autorisées, la structure de numérotation sera la suivante:</w:t>
      </w:r>
    </w:p>
    <w:p w14:paraId="05C02B9D" w14:textId="6940C8C3" w:rsidR="002E0D59" w:rsidRPr="00EE5CE1" w:rsidRDefault="002E0D59" w:rsidP="002E0D59">
      <w:pPr>
        <w:pStyle w:val="Figure0"/>
        <w:rPr>
          <w:rFonts w:ascii="Times New Roman" w:hAnsi="Times New Roman"/>
          <w:sz w:val="24"/>
          <w:lang w:eastAsia="fr-FR"/>
        </w:rPr>
      </w:pPr>
      <w:r w:rsidRPr="00EE5CE1">
        <w:drawing>
          <wp:inline distT="0" distB="0" distL="0" distR="0" wp14:anchorId="41A8DA01" wp14:editId="5E9FBB12">
            <wp:extent cx="6177915" cy="3392170"/>
            <wp:effectExtent l="0" t="0" r="0" b="0"/>
            <wp:docPr id="1153225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7915" cy="3392170"/>
                    </a:xfrm>
                    <a:prstGeom prst="rect">
                      <a:avLst/>
                    </a:prstGeom>
                    <a:noFill/>
                    <a:ln>
                      <a:noFill/>
                    </a:ln>
                  </pic:spPr>
                </pic:pic>
              </a:graphicData>
            </a:graphic>
          </wp:inline>
        </w:drawing>
      </w:r>
    </w:p>
    <w:p w14:paraId="6BE52F42" w14:textId="63864412" w:rsidR="00237BD9" w:rsidRPr="00237BD9" w:rsidRDefault="00237BD9" w:rsidP="002E0D59">
      <w:pPr>
        <w:spacing w:before="360"/>
        <w:rPr>
          <w:bCs/>
        </w:rPr>
      </w:pPr>
      <w:r w:rsidRPr="00237BD9">
        <w:rPr>
          <w:bCs/>
        </w:rPr>
        <w:t>3</w:t>
      </w:r>
      <w:r w:rsidRPr="00237BD9">
        <w:rPr>
          <w:bCs/>
        </w:rPr>
        <w:tab/>
        <w:t>Le numéro IIN est décrit comme étant le numéro d</w:t>
      </w:r>
      <w:r w:rsidR="00C243C2" w:rsidRPr="00EE5CE1">
        <w:rPr>
          <w:bCs/>
        </w:rPr>
        <w:t>'</w:t>
      </w:r>
      <w:r w:rsidRPr="00237BD9">
        <w:rPr>
          <w:bCs/>
        </w:rPr>
        <w:t>identification de l</w:t>
      </w:r>
      <w:r w:rsidR="00C243C2" w:rsidRPr="00EE5CE1">
        <w:rPr>
          <w:bCs/>
        </w:rPr>
        <w:t>'</w:t>
      </w:r>
      <w:r w:rsidRPr="00237BD9">
        <w:rPr>
          <w:bCs/>
        </w:rPr>
        <w:t>entité qui facture aux clients.</w:t>
      </w:r>
    </w:p>
    <w:p w14:paraId="48F90123" w14:textId="77777777" w:rsidR="00C243C2" w:rsidRPr="00EE5CE1" w:rsidRDefault="00237BD9" w:rsidP="00237BD9">
      <w:pPr>
        <w:rPr>
          <w:bCs/>
        </w:rPr>
      </w:pPr>
      <w:r w:rsidRPr="00237BD9">
        <w:rPr>
          <w:bCs/>
        </w:rPr>
        <w:t xml:space="preserve">Le numéro IIN sert à identifier l'émetteur en l'absence de sous-attribution, et, dans tous les cas, le bénéficiaire dans le pays identifié par l'indicatif de pays. Le numéro, comprenant l'identificateur MII et l'indicatif de pays, doit avoir un nombre de chiffres variable, avec un maximum de 7 chiffres. </w:t>
      </w:r>
      <w:r w:rsidR="00C243C2" w:rsidRPr="00EE5CE1">
        <w:rPr>
          <w:bCs/>
        </w:rPr>
        <w:br w:type="page"/>
      </w:r>
    </w:p>
    <w:p w14:paraId="5252DB4E" w14:textId="4E7E4EBE" w:rsidR="00237BD9" w:rsidRPr="00237BD9" w:rsidRDefault="00237BD9" w:rsidP="00237BD9">
      <w:pPr>
        <w:rPr>
          <w:bCs/>
        </w:rPr>
      </w:pPr>
      <w:r w:rsidRPr="00237BD9">
        <w:rPr>
          <w:bCs/>
        </w:rPr>
        <w:t>L'identificateur MII "89" est attribué par l'ISO/la CEI à l'UIT-T pour les télécommunications conformément à la norme ISO/CEI 7812-1. La longueur de l'indicatif de pays peut comporter de 1</w:t>
      </w:r>
      <w:r w:rsidR="002E0D59" w:rsidRPr="00EE5CE1">
        <w:rPr>
          <w:bCs/>
        </w:rPr>
        <w:t> </w:t>
      </w:r>
      <w:r w:rsidRPr="00237BD9">
        <w:rPr>
          <w:bCs/>
        </w:rPr>
        <w:t>à</w:t>
      </w:r>
      <w:r w:rsidR="002E0D59" w:rsidRPr="00EE5CE1">
        <w:rPr>
          <w:bCs/>
        </w:rPr>
        <w:t> </w:t>
      </w:r>
      <w:r w:rsidRPr="00237BD9">
        <w:rPr>
          <w:bCs/>
        </w:rPr>
        <w:t>3 chiffres conformément à la Recommandation UIT-T E.164.</w:t>
      </w:r>
    </w:p>
    <w:p w14:paraId="4FB42191" w14:textId="009A993A" w:rsidR="00237BD9" w:rsidRPr="00237BD9" w:rsidRDefault="00237BD9" w:rsidP="00237BD9">
      <w:pPr>
        <w:rPr>
          <w:bCs/>
        </w:rPr>
      </w:pPr>
      <w:r w:rsidRPr="00237BD9">
        <w:rPr>
          <w:bCs/>
        </w:rPr>
        <w:t>Dans les pays où l</w:t>
      </w:r>
      <w:r w:rsidR="00C243C2" w:rsidRPr="00EE5CE1">
        <w:rPr>
          <w:bCs/>
        </w:rPr>
        <w:t>'</w:t>
      </w:r>
      <w:r w:rsidRPr="00237BD9">
        <w:rPr>
          <w:bCs/>
        </w:rPr>
        <w:t>Administration autorise les sous-attributions, le numéro d'identification du sous</w:t>
      </w:r>
      <w:r w:rsidR="00C243C2" w:rsidRPr="00EE5CE1">
        <w:rPr>
          <w:bCs/>
        </w:rPr>
        <w:noBreakHyphen/>
      </w:r>
      <w:r w:rsidRPr="00237BD9">
        <w:rPr>
          <w:bCs/>
        </w:rPr>
        <w:t>bénéficiaire (INoS) identifie le sous-bénéficiaire d</w:t>
      </w:r>
      <w:r w:rsidR="00C243C2" w:rsidRPr="00EE5CE1">
        <w:rPr>
          <w:bCs/>
        </w:rPr>
        <w:t>'</w:t>
      </w:r>
      <w:r w:rsidRPr="00237BD9">
        <w:rPr>
          <w:bCs/>
        </w:rPr>
        <w:t>un bénéficiaire identifié par le numéro d</w:t>
      </w:r>
      <w:r w:rsidR="00C243C2" w:rsidRPr="00EE5CE1">
        <w:rPr>
          <w:bCs/>
        </w:rPr>
        <w:t>'</w:t>
      </w:r>
      <w:r w:rsidRPr="00237BD9">
        <w:rPr>
          <w:bCs/>
        </w:rPr>
        <w:t>identification du bénéficiaire (INoA). Ce champ peut également être utilisé par l'administrateur pour l'assignation de plus petites séries de ressources de numérotage.</w:t>
      </w:r>
    </w:p>
    <w:p w14:paraId="4C789689" w14:textId="330A182B" w:rsidR="00237BD9" w:rsidRPr="00237BD9" w:rsidRDefault="00237BD9" w:rsidP="00237BD9">
      <w:pPr>
        <w:rPr>
          <w:bCs/>
        </w:rPr>
      </w:pPr>
      <w:r w:rsidRPr="00237BD9">
        <w:rPr>
          <w:bCs/>
        </w:rPr>
        <w:t>Pour les cartes de facturation, les émetteurs peuvent inclure un mécanisme de validation supplémentaire sur la carte, en plus du chiffre de contrôle de parité calculé selon la formule de Luhn (voir l</w:t>
      </w:r>
      <w:r w:rsidR="00C243C2" w:rsidRPr="00EE5CE1">
        <w:rPr>
          <w:bCs/>
        </w:rPr>
        <w:t>'</w:t>
      </w:r>
      <w:r w:rsidRPr="00237BD9">
        <w:rPr>
          <w:bCs/>
        </w:rPr>
        <w:t>Annexe B de la norme ISO/CEI 7812-1). La fonction de validation peut être modifiée lors de l</w:t>
      </w:r>
      <w:r w:rsidR="00C243C2" w:rsidRPr="00EE5CE1">
        <w:rPr>
          <w:bCs/>
        </w:rPr>
        <w:t>'</w:t>
      </w:r>
      <w:r w:rsidRPr="00237BD9">
        <w:rPr>
          <w:bCs/>
        </w:rPr>
        <w:t>émission de nouvelles cartes.</w:t>
      </w:r>
    </w:p>
    <w:p w14:paraId="4933DDF6" w14:textId="63962777" w:rsidR="00237BD9" w:rsidRPr="00237BD9" w:rsidRDefault="00237BD9" w:rsidP="00237BD9">
      <w:pPr>
        <w:rPr>
          <w:bCs/>
        </w:rPr>
      </w:pPr>
      <w:r w:rsidRPr="00237BD9">
        <w:rPr>
          <w:bCs/>
        </w:rPr>
        <w:t>4</w:t>
      </w:r>
      <w:r w:rsidRPr="00237BD9">
        <w:rPr>
          <w:bCs/>
        </w:rPr>
        <w:tab/>
        <w:t>La liste des numéros IIN attribués est tenue à jour par le TSB de l</w:t>
      </w:r>
      <w:r w:rsidR="00C243C2" w:rsidRPr="00EE5CE1">
        <w:rPr>
          <w:bCs/>
        </w:rPr>
        <w:t>'</w:t>
      </w:r>
      <w:r w:rsidRPr="00237BD9">
        <w:rPr>
          <w:bCs/>
        </w:rPr>
        <w:t>UIT. Conformément au point 6 de la Recommandation UIT-T E.118, les ressources E.118 attribuées seront notifiées par les administrations et publiées régulièrement par le TSB sur la page du site web de l</w:t>
      </w:r>
      <w:r w:rsidR="00C243C2" w:rsidRPr="00EE5CE1">
        <w:rPr>
          <w:bCs/>
        </w:rPr>
        <w:t>'</w:t>
      </w:r>
      <w:r w:rsidRPr="00237BD9">
        <w:rPr>
          <w:bCs/>
        </w:rPr>
        <w:t xml:space="preserve">UIT consacrée aux </w:t>
      </w:r>
      <w:hyperlink r:id="rId14" w:history="1">
        <w:r w:rsidRPr="00237BD9">
          <w:rPr>
            <w:rStyle w:val="Hyperlink"/>
            <w:bCs/>
          </w:rPr>
          <w:t>ressources internationales de numérotage</w:t>
        </w:r>
      </w:hyperlink>
      <w:r w:rsidRPr="00237BD9">
        <w:rPr>
          <w:bCs/>
        </w:rPr>
        <w:t xml:space="preserve"> (voir le </w:t>
      </w:r>
      <w:hyperlink r:id="rId15" w:history="1">
        <w:r w:rsidRPr="00237BD9">
          <w:rPr>
            <w:rStyle w:val="Hyperlink"/>
            <w:bCs/>
          </w:rPr>
          <w:t>Bulletin d</w:t>
        </w:r>
        <w:r w:rsidR="00C243C2" w:rsidRPr="00EE5CE1">
          <w:rPr>
            <w:rStyle w:val="Hyperlink"/>
            <w:bCs/>
          </w:rPr>
          <w:t>'</w:t>
        </w:r>
        <w:r w:rsidRPr="00237BD9">
          <w:rPr>
            <w:rStyle w:val="Hyperlink"/>
            <w:bCs/>
          </w:rPr>
          <w:t>exploitation</w:t>
        </w:r>
      </w:hyperlink>
      <w:r w:rsidRPr="00237BD9">
        <w:rPr>
          <w:bCs/>
        </w:rPr>
        <w:t>).</w:t>
      </w:r>
      <w:hyperlink r:id="rId16" w:history="1"/>
      <w:hyperlink r:id="rId17" w:history="1"/>
    </w:p>
    <w:p w14:paraId="65D6F830" w14:textId="458D9CC7" w:rsidR="00237BD9" w:rsidRPr="00237BD9" w:rsidRDefault="00237BD9" w:rsidP="00237BD9">
      <w:pPr>
        <w:rPr>
          <w:bCs/>
        </w:rPr>
      </w:pPr>
      <w:r w:rsidRPr="00237BD9">
        <w:rPr>
          <w:bCs/>
        </w:rPr>
        <w:t>5</w:t>
      </w:r>
      <w:r w:rsidRPr="00237BD9">
        <w:rPr>
          <w:bCs/>
        </w:rPr>
        <w:tab/>
        <w:t>À sa session de 2026, le Conseil de l</w:t>
      </w:r>
      <w:r w:rsidR="00C243C2" w:rsidRPr="00EE5CE1">
        <w:rPr>
          <w:bCs/>
        </w:rPr>
        <w:t>'</w:t>
      </w:r>
      <w:r w:rsidRPr="00237BD9">
        <w:rPr>
          <w:bCs/>
        </w:rPr>
        <w:t>UIT a décidé d</w:t>
      </w:r>
      <w:r w:rsidR="00C243C2" w:rsidRPr="00EE5CE1">
        <w:rPr>
          <w:bCs/>
        </w:rPr>
        <w:t>'</w:t>
      </w:r>
      <w:r w:rsidRPr="00237BD9">
        <w:rPr>
          <w:bCs/>
        </w:rPr>
        <w:t>abroger la Décision 601, de sorte qu</w:t>
      </w:r>
      <w:r w:rsidR="00C243C2" w:rsidRPr="00EE5CE1">
        <w:rPr>
          <w:bCs/>
        </w:rPr>
        <w:t>'</w:t>
      </w:r>
      <w:r w:rsidRPr="00237BD9">
        <w:rPr>
          <w:bCs/>
        </w:rPr>
        <w:t>aucun droit ne sera perçu par l</w:t>
      </w:r>
      <w:r w:rsidR="00C243C2" w:rsidRPr="00EE5CE1">
        <w:rPr>
          <w:bCs/>
        </w:rPr>
        <w:t>'</w:t>
      </w:r>
      <w:r w:rsidRPr="00237BD9">
        <w:rPr>
          <w:bCs/>
        </w:rPr>
        <w:t>UIT à compter du 11 mai 2026 (inclus) pour la notification des ressources E.118 attribuées.</w:t>
      </w:r>
    </w:p>
    <w:p w14:paraId="02FC30C5" w14:textId="1274F2A6" w:rsidR="00237BD9" w:rsidRPr="00237BD9" w:rsidRDefault="00237BD9" w:rsidP="00237BD9">
      <w:pPr>
        <w:rPr>
          <w:bCs/>
        </w:rPr>
      </w:pPr>
      <w:r w:rsidRPr="00237BD9">
        <w:rPr>
          <w:bCs/>
        </w:rPr>
        <w:t>6</w:t>
      </w:r>
      <w:r w:rsidRPr="00237BD9">
        <w:rPr>
          <w:bCs/>
        </w:rPr>
        <w:tab/>
        <w:t xml:space="preserve">Pour obtenir de plus amples informations sur les numéros IIN, veuillez consulter </w:t>
      </w:r>
      <w:hyperlink r:id="rId18" w:history="1">
        <w:r w:rsidRPr="00237BD9">
          <w:rPr>
            <w:rStyle w:val="Hyperlink"/>
            <w:bCs/>
          </w:rPr>
          <w:t>http://www.itu.int/en/ITU-T/inr/forms/Pages/iin.a</w:t>
        </w:r>
        <w:r w:rsidRPr="00237BD9">
          <w:rPr>
            <w:rStyle w:val="Hyperlink"/>
            <w:bCs/>
          </w:rPr>
          <w:t>s</w:t>
        </w:r>
        <w:r w:rsidRPr="00237BD9">
          <w:rPr>
            <w:rStyle w:val="Hyperlink"/>
            <w:bCs/>
          </w:rPr>
          <w:t>px</w:t>
        </w:r>
      </w:hyperlink>
      <w:r w:rsidRPr="00237BD9">
        <w:rPr>
          <w:bCs/>
        </w:rPr>
        <w:t>.</w:t>
      </w:r>
      <w:hyperlink r:id="rId19" w:history="1"/>
    </w:p>
    <w:p w14:paraId="1FE79530" w14:textId="2B8D8BCB" w:rsidR="00237BD9" w:rsidRPr="00237BD9" w:rsidRDefault="00237BD9" w:rsidP="00237BD9">
      <w:pPr>
        <w:rPr>
          <w:bCs/>
        </w:rPr>
      </w:pPr>
      <w:r w:rsidRPr="00237BD9">
        <w:rPr>
          <w:bCs/>
        </w:rPr>
        <w:t>7</w:t>
      </w:r>
      <w:r w:rsidRPr="00237BD9">
        <w:rPr>
          <w:bCs/>
        </w:rPr>
        <w:tab/>
        <w:t>Veuillez adresser vos observations à:</w:t>
      </w:r>
    </w:p>
    <w:p w14:paraId="14526016" w14:textId="1C83B723" w:rsidR="00237BD9" w:rsidRPr="00EE5CE1" w:rsidRDefault="00237BD9" w:rsidP="00C243C2">
      <w:pPr>
        <w:ind w:left="794"/>
        <w:rPr>
          <w:bCs/>
        </w:rPr>
      </w:pPr>
      <w:r w:rsidRPr="00237BD9">
        <w:rPr>
          <w:bCs/>
        </w:rPr>
        <w:t>Bulletin d</w:t>
      </w:r>
      <w:r w:rsidR="00C243C2" w:rsidRPr="00EE5CE1">
        <w:rPr>
          <w:bCs/>
        </w:rPr>
        <w:t>'</w:t>
      </w:r>
      <w:r w:rsidRPr="00237BD9">
        <w:rPr>
          <w:bCs/>
        </w:rPr>
        <w:t>exploitation et administration des ressources de numérotage</w:t>
      </w:r>
      <w:r w:rsidR="00C243C2" w:rsidRPr="00EE5CE1">
        <w:rPr>
          <w:bCs/>
        </w:rPr>
        <w:br/>
      </w:r>
      <w:r w:rsidRPr="00237BD9">
        <w:rPr>
          <w:bCs/>
        </w:rPr>
        <w:t>Union internationale des télécommunications</w:t>
      </w:r>
      <w:r w:rsidR="00C243C2" w:rsidRPr="00EE5CE1">
        <w:rPr>
          <w:bCs/>
        </w:rPr>
        <w:br/>
      </w:r>
      <w:r w:rsidRPr="00237BD9">
        <w:rPr>
          <w:bCs/>
        </w:rPr>
        <w:t>Bureau de la normalisation des télécommunications</w:t>
      </w:r>
      <w:r w:rsidR="00C243C2" w:rsidRPr="00EE5CE1">
        <w:rPr>
          <w:bCs/>
        </w:rPr>
        <w:br/>
      </w:r>
      <w:r w:rsidRPr="00237BD9">
        <w:rPr>
          <w:bCs/>
        </w:rPr>
        <w:t>Place des Nations, CH-1211 Genève 20, Suisse</w:t>
      </w:r>
      <w:r w:rsidR="00C243C2" w:rsidRPr="00EE5CE1">
        <w:rPr>
          <w:bCs/>
        </w:rPr>
        <w:br/>
      </w:r>
      <w:r w:rsidRPr="00237BD9">
        <w:rPr>
          <w:bCs/>
        </w:rPr>
        <w:t>Tél.: +41 22 730 5211</w:t>
      </w:r>
      <w:r w:rsidR="00C243C2" w:rsidRPr="00EE5CE1">
        <w:rPr>
          <w:bCs/>
        </w:rPr>
        <w:br/>
      </w:r>
      <w:r w:rsidRPr="00237BD9">
        <w:rPr>
          <w:bCs/>
        </w:rPr>
        <w:t>Télécopie: +41 22 730 5853</w:t>
      </w:r>
      <w:r w:rsidR="00C243C2" w:rsidRPr="00EE5CE1">
        <w:rPr>
          <w:bCs/>
        </w:rPr>
        <w:br/>
      </w:r>
      <w:r w:rsidRPr="00EE5CE1">
        <w:rPr>
          <w:bCs/>
        </w:rPr>
        <w:t xml:space="preserve">Courriel: </w:t>
      </w:r>
      <w:hyperlink r:id="rId20" w:history="1">
        <w:r w:rsidRPr="00EE5CE1">
          <w:rPr>
            <w:rStyle w:val="Hyperlink"/>
            <w:bCs/>
          </w:rPr>
          <w:t>tsbtson@itu.</w:t>
        </w:r>
        <w:r w:rsidRPr="00EE5CE1">
          <w:rPr>
            <w:rStyle w:val="Hyperlink"/>
            <w:bCs/>
          </w:rPr>
          <w:t>i</w:t>
        </w:r>
        <w:r w:rsidRPr="00EE5CE1">
          <w:rPr>
            <w:rStyle w:val="Hyperlink"/>
            <w:bCs/>
          </w:rPr>
          <w:t>nt</w:t>
        </w:r>
      </w:hyperlink>
    </w:p>
    <w:p w14:paraId="6A4CD67F" w14:textId="77777777" w:rsidR="00307FB4" w:rsidRPr="00EE5CE1" w:rsidRDefault="00307FB4" w:rsidP="00307FB4">
      <w:pPr>
        <w:rPr>
          <w:bCs/>
        </w:rPr>
      </w:pPr>
      <w:r w:rsidRPr="00EE5CE1">
        <w:rPr>
          <w:bCs/>
        </w:rPr>
        <w:t>Veuillez agréer, Madame, Monsieur, l'assurance de ma considération distinguée.</w:t>
      </w:r>
    </w:p>
    <w:p w14:paraId="3A296738" w14:textId="5A5DBCDD" w:rsidR="00B60868" w:rsidRPr="00EE5CE1" w:rsidRDefault="00B60868" w:rsidP="00B60868">
      <w:pPr>
        <w:spacing w:before="480" w:after="480"/>
        <w:rPr>
          <w:bCs/>
        </w:rPr>
      </w:pPr>
      <w:r w:rsidRPr="00EE5CE1">
        <w:rPr>
          <w:bCs/>
        </w:rPr>
        <w:t>(</w:t>
      </w:r>
      <w:r w:rsidRPr="00EE5CE1">
        <w:rPr>
          <w:bCs/>
          <w:i/>
        </w:rPr>
        <w:t>signé</w:t>
      </w:r>
      <w:r w:rsidRPr="00EE5CE1">
        <w:rPr>
          <w:bCs/>
        </w:rPr>
        <w:t>)</w:t>
      </w:r>
    </w:p>
    <w:p w14:paraId="558FB742" w14:textId="175CD9BE" w:rsidR="002937DB" w:rsidRPr="00EE5CE1" w:rsidRDefault="00307FB4" w:rsidP="00B60868">
      <w:pPr>
        <w:rPr>
          <w:bCs/>
        </w:rPr>
      </w:pPr>
      <w:r w:rsidRPr="00EE5CE1">
        <w:rPr>
          <w:bCs/>
        </w:rPr>
        <w:t>Seizo Onoe</w:t>
      </w:r>
      <w:r w:rsidR="00B60868" w:rsidRPr="00EE5CE1">
        <w:rPr>
          <w:bCs/>
        </w:rPr>
        <w:br/>
      </w:r>
      <w:r w:rsidRPr="00EE5CE1">
        <w:rPr>
          <w:bCs/>
        </w:rPr>
        <w:t>Directeur du Bureau de la normalisation</w:t>
      </w:r>
      <w:r w:rsidR="00B60868" w:rsidRPr="00EE5CE1">
        <w:rPr>
          <w:bCs/>
        </w:rPr>
        <w:br/>
      </w:r>
      <w:r w:rsidRPr="00EE5CE1">
        <w:rPr>
          <w:bCs/>
        </w:rPr>
        <w:t>des télécommunications</w:t>
      </w:r>
    </w:p>
    <w:sectPr w:rsidR="002937DB" w:rsidRPr="00EE5CE1" w:rsidSect="00A15179">
      <w:headerReference w:type="defaul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8D3C29E"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60CE8F8" w:rsidR="00697BC1" w:rsidRPr="00697BC1" w:rsidRDefault="00EE5CE1"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237BD9">
      <w:rPr>
        <w:noProof/>
        <w:sz w:val="18"/>
        <w:szCs w:val="16"/>
      </w:rPr>
      <w:t>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F7E61"/>
    <w:rsid w:val="002152A3"/>
    <w:rsid w:val="0023667A"/>
    <w:rsid w:val="00237BD9"/>
    <w:rsid w:val="002937DB"/>
    <w:rsid w:val="002E0D59"/>
    <w:rsid w:val="002E395D"/>
    <w:rsid w:val="00307FB4"/>
    <w:rsid w:val="003131F0"/>
    <w:rsid w:val="00333A80"/>
    <w:rsid w:val="00341117"/>
    <w:rsid w:val="00364E95"/>
    <w:rsid w:val="00372875"/>
    <w:rsid w:val="003742F8"/>
    <w:rsid w:val="003B1E80"/>
    <w:rsid w:val="003B66E8"/>
    <w:rsid w:val="003E66AD"/>
    <w:rsid w:val="004033F1"/>
    <w:rsid w:val="0041274B"/>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43C2"/>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E5CE1"/>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237BD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hAnsi="Calibri"/>
      <w:lang w:val="en-GB"/>
    </w:rPr>
  </w:style>
  <w:style w:type="paragraph" w:customStyle="1" w:styleId="Figure0">
    <w:name w:val="Figure"/>
    <w:basedOn w:val="Normal"/>
    <w:rsid w:val="0041274B"/>
    <w:rPr>
      <w:rFonts w:cstheme="minorHAnsi"/>
      <w:noProof/>
      <w:sz w:val="22"/>
      <w:szCs w:val="22"/>
    </w:rPr>
  </w:style>
  <w:style w:type="paragraph" w:styleId="NormalWeb">
    <w:name w:val="Normal (Web)"/>
    <w:basedOn w:val="Normal"/>
    <w:uiPriority w:val="99"/>
    <w:semiHidden/>
    <w:unhideWhenUsed/>
    <w:rsid w:val="0041274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itu.int/en/ITU-T/inr/forms/Pages/iin.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pub/T-SP/e"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tu.int/en/ITU-T/inr/Pages/default.aspx" TargetMode="External"/><Relationship Id="rId20"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yworkspace/t-rec/item?id=8728&amp;lang=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T-SP/fr" TargetMode="External"/><Relationship Id="rId23" Type="http://schemas.openxmlformats.org/officeDocument/2006/relationships/fontTable" Target="fontTable.xml"/><Relationship Id="rId10" Type="http://schemas.openxmlformats.org/officeDocument/2006/relationships/hyperlink" Target="https://www.itu.int/myworkspace/t-rec/item?id=8728&amp;lang=en" TargetMode="External"/><Relationship Id="rId19" Type="http://schemas.openxmlformats.org/officeDocument/2006/relationships/hyperlink" Target="http://www.itu.int/en/ITU-T/inr/forms/Pages/iin.aspx"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fr/ITU-T/inr/Pages/default.aspx"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7A110425-0465-4812-AA57-1CE810E9B11C}"/>
</file>

<file path=customXml/itemProps3.xml><?xml version="1.0" encoding="utf-8"?>
<ds:datastoreItem xmlns:ds="http://schemas.openxmlformats.org/officeDocument/2006/customXml" ds:itemID="{924C406F-660D-40DD-AC7E-4F8D8ACE8254}"/>
</file>

<file path=customXml/itemProps4.xml><?xml version="1.0" encoding="utf-8"?>
<ds:datastoreItem xmlns:ds="http://schemas.openxmlformats.org/officeDocument/2006/customXml" ds:itemID="{D43ABF1E-BA02-4DF8-A309-1D474503CDBD}"/>
</file>

<file path=docProps/app.xml><?xml version="1.0" encoding="utf-8"?>
<Properties xmlns="http://schemas.openxmlformats.org/officeDocument/2006/extended-properties" xmlns:vt="http://schemas.openxmlformats.org/officeDocument/2006/docPropsVTypes">
  <Template>PF_TSB_Circular.dotx</Template>
  <TotalTime>14</TotalTime>
  <Pages>3</Pages>
  <Words>626</Words>
  <Characters>4319</Characters>
  <Application>Microsoft Office Word</Application>
  <DocSecurity>0</DocSecurity>
  <Lines>110</Lines>
  <Paragraphs>65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4880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5</cp:revision>
  <cp:lastPrinted>2011-04-15T08:01:00Z</cp:lastPrinted>
  <dcterms:created xsi:type="dcterms:W3CDTF">2026-05-12T08:01:00Z</dcterms:created>
  <dcterms:modified xsi:type="dcterms:W3CDTF">2026-05-12T08:42:00Z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