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40"/>
        <w:tblW w:w="9913" w:type="dxa"/>
        <w:tblLayout w:type="fixed"/>
        <w:tblCellMar>
          <w:left w:w="0" w:type="dxa"/>
          <w:right w:w="0" w:type="dxa"/>
        </w:tblCellMar>
        <w:tblLook w:val="0000" w:firstRow="0" w:lastRow="0" w:firstColumn="0" w:lastColumn="0" w:noHBand="0" w:noVBand="0"/>
      </w:tblPr>
      <w:tblGrid>
        <w:gridCol w:w="1560"/>
        <w:gridCol w:w="3544"/>
        <w:gridCol w:w="4809"/>
      </w:tblGrid>
      <w:tr w:rsidR="00DD68CA" w:rsidRPr="00BF3687" w14:paraId="1D85B857" w14:textId="77777777" w:rsidTr="00BF3687">
        <w:trPr>
          <w:cantSplit/>
        </w:trPr>
        <w:tc>
          <w:tcPr>
            <w:tcW w:w="1560" w:type="dxa"/>
          </w:tcPr>
          <w:p w14:paraId="1495F506" w14:textId="77777777" w:rsidR="00DD68CA" w:rsidRPr="002E6014" w:rsidRDefault="00DD68CA" w:rsidP="00BF3687">
            <w:pPr>
              <w:spacing w:before="0"/>
              <w:rPr>
                <w:b/>
                <w:bCs/>
                <w:lang w:val="ru-RU"/>
              </w:rPr>
            </w:pPr>
            <w:r w:rsidRPr="002E6014">
              <w:rPr>
                <w:noProof/>
                <w:lang w:val="ru-RU" w:eastAsia="zh-CN"/>
              </w:rPr>
              <w:drawing>
                <wp:inline distT="0" distB="0" distL="0" distR="0" wp14:anchorId="4C4FE59A" wp14:editId="30282814">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353" w:type="dxa"/>
            <w:gridSpan w:val="2"/>
            <w:vAlign w:val="center"/>
          </w:tcPr>
          <w:p w14:paraId="57E5915D" w14:textId="77777777" w:rsidR="00DD68CA" w:rsidRPr="002E6014" w:rsidRDefault="00DD68CA" w:rsidP="00BF3687">
            <w:pPr>
              <w:spacing w:before="0"/>
              <w:rPr>
                <w:rFonts w:cs="Times New Roman Bold"/>
                <w:b/>
                <w:bCs/>
                <w:iCs/>
                <w:smallCaps/>
                <w:sz w:val="32"/>
                <w:szCs w:val="32"/>
                <w:lang w:val="ru-RU"/>
              </w:rPr>
            </w:pPr>
            <w:r w:rsidRPr="002E6014">
              <w:rPr>
                <w:rFonts w:cs="Times New Roman Bold"/>
                <w:b/>
                <w:bCs/>
                <w:iCs/>
                <w:smallCaps/>
                <w:sz w:val="32"/>
                <w:szCs w:val="32"/>
                <w:lang w:val="ru-RU"/>
              </w:rPr>
              <w:t>Международный союз электросвязи</w:t>
            </w:r>
          </w:p>
          <w:p w14:paraId="1D0680BE" w14:textId="77777777" w:rsidR="00DD68CA" w:rsidRPr="002E6014" w:rsidRDefault="00DD68CA" w:rsidP="00BF3687">
            <w:pPr>
              <w:tabs>
                <w:tab w:val="clear" w:pos="794"/>
                <w:tab w:val="clear" w:pos="1191"/>
                <w:tab w:val="clear" w:pos="1588"/>
                <w:tab w:val="clear" w:pos="1985"/>
                <w:tab w:val="left" w:pos="284"/>
              </w:tabs>
              <w:spacing w:before="0"/>
              <w:ind w:left="284" w:hanging="284"/>
              <w:rPr>
                <w:lang w:val="ru-RU"/>
              </w:rPr>
            </w:pPr>
            <w:r w:rsidRPr="002E6014">
              <w:rPr>
                <w:rFonts w:cs="Times New Roman Bold"/>
                <w:b/>
                <w:bCs/>
                <w:iCs/>
                <w:smallCaps/>
                <w:sz w:val="26"/>
                <w:szCs w:val="26"/>
                <w:lang w:val="ru-RU"/>
              </w:rPr>
              <w:t>Бюро стандартизации электросвязи</w:t>
            </w:r>
          </w:p>
        </w:tc>
      </w:tr>
      <w:tr w:rsidR="00DD68CA" w:rsidRPr="002E6014" w14:paraId="6A228FA6" w14:textId="77777777" w:rsidTr="00BF3687">
        <w:trPr>
          <w:cantSplit/>
        </w:trPr>
        <w:tc>
          <w:tcPr>
            <w:tcW w:w="1560" w:type="dxa"/>
          </w:tcPr>
          <w:p w14:paraId="2DFDA7BD" w14:textId="77777777" w:rsidR="00DD68CA" w:rsidRPr="002E6014" w:rsidRDefault="00DD68CA" w:rsidP="00BF3687">
            <w:pPr>
              <w:spacing w:before="0"/>
              <w:rPr>
                <w:b/>
                <w:bCs/>
                <w:lang w:val="ru-RU"/>
              </w:rPr>
            </w:pPr>
          </w:p>
        </w:tc>
        <w:tc>
          <w:tcPr>
            <w:tcW w:w="3544" w:type="dxa"/>
          </w:tcPr>
          <w:p w14:paraId="7718D818" w14:textId="77777777" w:rsidR="00DD68CA" w:rsidRPr="002E6014" w:rsidRDefault="00DD68CA" w:rsidP="00BF3687">
            <w:pPr>
              <w:spacing w:before="0"/>
              <w:rPr>
                <w:b/>
                <w:bCs/>
                <w:lang w:val="ru-RU"/>
              </w:rPr>
            </w:pPr>
          </w:p>
        </w:tc>
        <w:tc>
          <w:tcPr>
            <w:tcW w:w="4809" w:type="dxa"/>
          </w:tcPr>
          <w:p w14:paraId="0F271A24" w14:textId="2601C58D" w:rsidR="00DD68CA" w:rsidRPr="002E6014" w:rsidRDefault="00DD68CA" w:rsidP="00BF3687">
            <w:pPr>
              <w:tabs>
                <w:tab w:val="clear" w:pos="794"/>
                <w:tab w:val="clear" w:pos="1191"/>
                <w:tab w:val="clear" w:pos="1588"/>
                <w:tab w:val="clear" w:pos="1985"/>
                <w:tab w:val="left" w:pos="284"/>
              </w:tabs>
              <w:spacing w:after="120"/>
              <w:ind w:left="284" w:hanging="284"/>
              <w:rPr>
                <w:lang w:val="ru-RU"/>
              </w:rPr>
            </w:pPr>
            <w:r w:rsidRPr="002E6014">
              <w:rPr>
                <w:lang w:val="ru-RU"/>
              </w:rPr>
              <w:t xml:space="preserve">Женева, </w:t>
            </w:r>
            <w:r w:rsidR="00DD0454" w:rsidRPr="002E6014">
              <w:rPr>
                <w:color w:val="000000"/>
                <w:lang w:val="ru-RU"/>
              </w:rPr>
              <w:t>5 мая 2026 года</w:t>
            </w:r>
          </w:p>
        </w:tc>
      </w:tr>
      <w:tr w:rsidR="00A815B6" w:rsidRPr="00BF3687" w14:paraId="5D9C4518" w14:textId="77777777" w:rsidTr="00BF3687">
        <w:trPr>
          <w:cantSplit/>
        </w:trPr>
        <w:tc>
          <w:tcPr>
            <w:tcW w:w="1560" w:type="dxa"/>
          </w:tcPr>
          <w:p w14:paraId="4AEDB277" w14:textId="77777777" w:rsidR="00A815B6" w:rsidRPr="002E6014" w:rsidRDefault="00A815B6" w:rsidP="00BF3687">
            <w:pPr>
              <w:spacing w:before="0"/>
              <w:rPr>
                <w:lang w:val="ru-RU"/>
              </w:rPr>
            </w:pPr>
            <w:r w:rsidRPr="002E6014">
              <w:rPr>
                <w:b/>
                <w:bCs/>
                <w:lang w:val="ru-RU"/>
              </w:rPr>
              <w:t>Осн</w:t>
            </w:r>
            <w:r w:rsidRPr="002E6014">
              <w:rPr>
                <w:lang w:val="ru-RU"/>
              </w:rPr>
              <w:t>.:</w:t>
            </w:r>
          </w:p>
        </w:tc>
        <w:tc>
          <w:tcPr>
            <w:tcW w:w="3544" w:type="dxa"/>
          </w:tcPr>
          <w:p w14:paraId="1BE44CEF" w14:textId="2E379F8C" w:rsidR="00A815B6" w:rsidRPr="002E6014" w:rsidRDefault="00A815B6" w:rsidP="00BF3687">
            <w:pPr>
              <w:spacing w:before="0"/>
              <w:rPr>
                <w:lang w:val="ru-RU"/>
              </w:rPr>
            </w:pPr>
            <w:r w:rsidRPr="002E6014">
              <w:rPr>
                <w:b/>
                <w:bCs/>
                <w:lang w:val="ru-RU"/>
              </w:rPr>
              <w:t xml:space="preserve">Циркуляр </w:t>
            </w:r>
            <w:r w:rsidR="00DD0454" w:rsidRPr="002E6014">
              <w:rPr>
                <w:b/>
                <w:bCs/>
                <w:color w:val="000000"/>
                <w:lang w:val="ru-RU"/>
              </w:rPr>
              <w:t>135</w:t>
            </w:r>
            <w:r w:rsidRPr="002E6014">
              <w:rPr>
                <w:b/>
                <w:bCs/>
                <w:lang w:val="ru-RU"/>
              </w:rPr>
              <w:t xml:space="preserve"> БСЭ</w:t>
            </w:r>
            <w:r w:rsidRPr="002E6014">
              <w:rPr>
                <w:b/>
                <w:bCs/>
                <w:lang w:val="ru-RU"/>
              </w:rPr>
              <w:br/>
            </w:r>
            <w:r w:rsidR="00DD0454" w:rsidRPr="002E6014">
              <w:rPr>
                <w:lang w:val="ru-RU"/>
              </w:rPr>
              <w:t>TSB Events/MM</w:t>
            </w:r>
          </w:p>
          <w:p w14:paraId="20682E2A" w14:textId="77777777" w:rsidR="00A815B6" w:rsidRPr="002E6014" w:rsidRDefault="00A815B6" w:rsidP="00BF3687">
            <w:pPr>
              <w:spacing w:before="0"/>
              <w:rPr>
                <w:lang w:val="ru-RU"/>
              </w:rPr>
            </w:pPr>
          </w:p>
        </w:tc>
        <w:tc>
          <w:tcPr>
            <w:tcW w:w="4809" w:type="dxa"/>
            <w:vMerge w:val="restart"/>
          </w:tcPr>
          <w:p w14:paraId="49E16192" w14:textId="7CFC59C2" w:rsidR="00DD0454" w:rsidRPr="002E6014" w:rsidRDefault="00DD0454" w:rsidP="00BF3687">
            <w:pPr>
              <w:tabs>
                <w:tab w:val="clear" w:pos="794"/>
                <w:tab w:val="clear" w:pos="1191"/>
                <w:tab w:val="clear" w:pos="1588"/>
                <w:tab w:val="clear" w:pos="1985"/>
                <w:tab w:val="left" w:pos="284"/>
              </w:tabs>
              <w:spacing w:before="0" w:after="20"/>
              <w:ind w:left="288" w:hanging="288"/>
              <w:rPr>
                <w:lang w:val="ru-RU"/>
              </w:rPr>
            </w:pPr>
            <w:r w:rsidRPr="002E6014">
              <w:rPr>
                <w:b/>
                <w:bCs/>
                <w:color w:val="000000"/>
                <w:lang w:val="ru-RU"/>
              </w:rPr>
              <w:t>Кому</w:t>
            </w:r>
            <w:r w:rsidRPr="002E6014">
              <w:rPr>
                <w:color w:val="000000"/>
                <w:lang w:val="ru-RU"/>
              </w:rPr>
              <w:t>:</w:t>
            </w:r>
          </w:p>
          <w:p w14:paraId="57BFC3B8" w14:textId="703C06E5" w:rsidR="00A815B6" w:rsidRPr="002E6014" w:rsidRDefault="00A815B6" w:rsidP="00BF3687">
            <w:pPr>
              <w:tabs>
                <w:tab w:val="clear" w:pos="794"/>
                <w:tab w:val="clear" w:pos="1191"/>
                <w:tab w:val="clear" w:pos="1588"/>
                <w:tab w:val="clear" w:pos="1985"/>
                <w:tab w:val="left" w:pos="284"/>
              </w:tabs>
              <w:spacing w:before="0" w:after="20"/>
              <w:ind w:left="288" w:hanging="288"/>
              <w:rPr>
                <w:lang w:val="ru-RU"/>
              </w:rPr>
            </w:pPr>
            <w:r w:rsidRPr="002E6014">
              <w:rPr>
                <w:lang w:val="ru-RU"/>
              </w:rPr>
              <w:t>–</w:t>
            </w:r>
            <w:r w:rsidRPr="002E6014">
              <w:rPr>
                <w:lang w:val="ru-RU"/>
              </w:rPr>
              <w:tab/>
              <w:t>Администрациям Государств – Членов Союза</w:t>
            </w:r>
          </w:p>
          <w:p w14:paraId="76994B1B" w14:textId="099293ED" w:rsidR="00DD0454" w:rsidRPr="002E6014" w:rsidRDefault="00DD0454" w:rsidP="00BF3687">
            <w:pPr>
              <w:tabs>
                <w:tab w:val="clear" w:pos="794"/>
                <w:tab w:val="clear" w:pos="1191"/>
                <w:tab w:val="clear" w:pos="1588"/>
                <w:tab w:val="clear" w:pos="1985"/>
                <w:tab w:val="left" w:pos="284"/>
              </w:tabs>
              <w:spacing w:before="0" w:after="20"/>
              <w:ind w:left="288" w:hanging="288"/>
              <w:rPr>
                <w:lang w:val="ru-RU"/>
              </w:rPr>
            </w:pPr>
            <w:r w:rsidRPr="002E6014">
              <w:rPr>
                <w:lang w:val="ru-RU"/>
              </w:rPr>
              <w:t>–</w:t>
            </w:r>
            <w:r w:rsidRPr="002E6014">
              <w:rPr>
                <w:lang w:val="ru-RU"/>
              </w:rPr>
              <w:tab/>
            </w:r>
            <w:r w:rsidRPr="002E6014">
              <w:rPr>
                <w:color w:val="000000"/>
                <w:lang w:val="ru-RU"/>
              </w:rPr>
              <w:t>Государству Палестина (Рез. 99 (Пересм. Дубай, 2018 г.))</w:t>
            </w:r>
          </w:p>
          <w:p w14:paraId="72C4481A" w14:textId="77777777" w:rsidR="00A815B6" w:rsidRPr="002E6014" w:rsidRDefault="00A815B6" w:rsidP="00BF3687">
            <w:pPr>
              <w:tabs>
                <w:tab w:val="clear" w:pos="794"/>
                <w:tab w:val="clear" w:pos="1191"/>
                <w:tab w:val="clear" w:pos="1588"/>
                <w:tab w:val="clear" w:pos="1985"/>
                <w:tab w:val="left" w:pos="284"/>
              </w:tabs>
              <w:spacing w:before="0" w:after="20"/>
              <w:ind w:left="288" w:hanging="288"/>
              <w:rPr>
                <w:lang w:val="ru-RU"/>
              </w:rPr>
            </w:pPr>
            <w:r w:rsidRPr="002E6014">
              <w:rPr>
                <w:lang w:val="ru-RU"/>
              </w:rPr>
              <w:t>–</w:t>
            </w:r>
            <w:r w:rsidRPr="002E6014">
              <w:rPr>
                <w:lang w:val="ru-RU"/>
              </w:rPr>
              <w:tab/>
              <w:t>Членам Сектора МСЭ-Т</w:t>
            </w:r>
          </w:p>
          <w:p w14:paraId="6F0EFA9D" w14:textId="77777777" w:rsidR="00A815B6" w:rsidRPr="002E6014" w:rsidRDefault="00A815B6" w:rsidP="00BF3687">
            <w:pPr>
              <w:tabs>
                <w:tab w:val="clear" w:pos="794"/>
                <w:tab w:val="clear" w:pos="1191"/>
                <w:tab w:val="clear" w:pos="1588"/>
                <w:tab w:val="clear" w:pos="1985"/>
                <w:tab w:val="left" w:pos="284"/>
              </w:tabs>
              <w:spacing w:before="0" w:after="20"/>
              <w:ind w:left="288" w:hanging="288"/>
              <w:rPr>
                <w:lang w:val="ru-RU"/>
              </w:rPr>
            </w:pPr>
            <w:r w:rsidRPr="002E6014">
              <w:rPr>
                <w:lang w:val="ru-RU"/>
              </w:rPr>
              <w:t>–</w:t>
            </w:r>
            <w:r w:rsidRPr="002E6014">
              <w:rPr>
                <w:lang w:val="ru-RU"/>
              </w:rPr>
              <w:tab/>
              <w:t>Ассоциированным членам МСЭ-Т</w:t>
            </w:r>
          </w:p>
          <w:p w14:paraId="2CB14BE7" w14:textId="77777777" w:rsidR="00A815B6" w:rsidRPr="002E6014" w:rsidRDefault="00A815B6" w:rsidP="00BF3687">
            <w:pPr>
              <w:tabs>
                <w:tab w:val="clear" w:pos="794"/>
                <w:tab w:val="clear" w:pos="1191"/>
                <w:tab w:val="clear" w:pos="1588"/>
                <w:tab w:val="clear" w:pos="1985"/>
                <w:tab w:val="left" w:pos="284"/>
              </w:tabs>
              <w:spacing w:before="0" w:after="20"/>
              <w:ind w:left="288" w:hanging="288"/>
              <w:rPr>
                <w:lang w:val="ru-RU"/>
              </w:rPr>
            </w:pPr>
            <w:r w:rsidRPr="002E6014">
              <w:rPr>
                <w:lang w:val="ru-RU"/>
              </w:rPr>
              <w:t>–</w:t>
            </w:r>
            <w:r w:rsidRPr="002E6014">
              <w:rPr>
                <w:lang w:val="ru-RU"/>
              </w:rPr>
              <w:tab/>
              <w:t>Академическим организациям − Членам МСЭ</w:t>
            </w:r>
            <w:r w:rsidRPr="002E6014">
              <w:rPr>
                <w:lang w:val="ru-RU"/>
              </w:rPr>
              <w:noBreakHyphen/>
              <w:t>Т</w:t>
            </w:r>
          </w:p>
          <w:p w14:paraId="09D7F150" w14:textId="00FD4AAF" w:rsidR="00DD0454" w:rsidRPr="002E6014" w:rsidRDefault="00DD0454" w:rsidP="00BF3687">
            <w:pPr>
              <w:tabs>
                <w:tab w:val="clear" w:pos="794"/>
                <w:tab w:val="clear" w:pos="1191"/>
                <w:tab w:val="clear" w:pos="1588"/>
                <w:tab w:val="clear" w:pos="1985"/>
                <w:tab w:val="left" w:pos="284"/>
              </w:tabs>
              <w:spacing w:before="0" w:after="20"/>
              <w:ind w:left="288" w:hanging="288"/>
              <w:rPr>
                <w:lang w:val="ru-RU"/>
              </w:rPr>
            </w:pPr>
            <w:r w:rsidRPr="002E6014">
              <w:rPr>
                <w:b/>
                <w:bCs/>
                <w:color w:val="000000"/>
                <w:lang w:val="ru-RU"/>
              </w:rPr>
              <w:t>Копии</w:t>
            </w:r>
            <w:r w:rsidRPr="002E6014">
              <w:rPr>
                <w:color w:val="000000"/>
                <w:lang w:val="ru-RU"/>
              </w:rPr>
              <w:t>:</w:t>
            </w:r>
          </w:p>
          <w:p w14:paraId="28B9A1EE" w14:textId="42B9719A" w:rsidR="00A815B6" w:rsidRPr="002E6014" w:rsidRDefault="00A815B6" w:rsidP="00BF3687">
            <w:pPr>
              <w:tabs>
                <w:tab w:val="clear" w:pos="794"/>
                <w:tab w:val="clear" w:pos="1191"/>
                <w:tab w:val="clear" w:pos="1588"/>
                <w:tab w:val="clear" w:pos="1985"/>
                <w:tab w:val="left" w:pos="284"/>
              </w:tabs>
              <w:spacing w:before="0" w:after="20"/>
              <w:ind w:left="288" w:hanging="288"/>
              <w:rPr>
                <w:lang w:val="ru-RU"/>
              </w:rPr>
            </w:pPr>
            <w:r w:rsidRPr="002E6014">
              <w:rPr>
                <w:lang w:val="ru-RU"/>
              </w:rPr>
              <w:t>–</w:t>
            </w:r>
            <w:r w:rsidRPr="002E6014">
              <w:rPr>
                <w:lang w:val="ru-RU"/>
              </w:rPr>
              <w:tab/>
            </w:r>
            <w:r w:rsidR="00DD0454" w:rsidRPr="002E6014">
              <w:rPr>
                <w:color w:val="000000"/>
                <w:lang w:val="ru-RU"/>
              </w:rPr>
              <w:t>Председателям и заместителям председателей исследовательских комиссий</w:t>
            </w:r>
          </w:p>
          <w:p w14:paraId="7485E619" w14:textId="77777777" w:rsidR="00A815B6" w:rsidRPr="002E6014" w:rsidRDefault="00A815B6" w:rsidP="00BF3687">
            <w:pPr>
              <w:tabs>
                <w:tab w:val="clear" w:pos="794"/>
                <w:tab w:val="clear" w:pos="1191"/>
                <w:tab w:val="clear" w:pos="1588"/>
                <w:tab w:val="clear" w:pos="1985"/>
                <w:tab w:val="left" w:pos="284"/>
              </w:tabs>
              <w:spacing w:before="0" w:after="20"/>
              <w:ind w:left="288" w:hanging="288"/>
              <w:rPr>
                <w:lang w:val="ru-RU"/>
              </w:rPr>
            </w:pPr>
            <w:r w:rsidRPr="002E6014">
              <w:rPr>
                <w:lang w:val="ru-RU"/>
              </w:rPr>
              <w:t>–</w:t>
            </w:r>
            <w:r w:rsidRPr="002E6014">
              <w:rPr>
                <w:lang w:val="ru-RU"/>
              </w:rPr>
              <w:tab/>
              <w:t>Директору Бюро развития электросвязи</w:t>
            </w:r>
          </w:p>
          <w:p w14:paraId="4FD94797" w14:textId="77777777" w:rsidR="00A815B6" w:rsidRPr="002E6014" w:rsidRDefault="00A815B6" w:rsidP="00BF3687">
            <w:pPr>
              <w:tabs>
                <w:tab w:val="left" w:pos="284"/>
              </w:tabs>
              <w:spacing w:before="0" w:after="20"/>
              <w:ind w:left="288" w:hanging="288"/>
              <w:rPr>
                <w:lang w:val="ru-RU"/>
              </w:rPr>
            </w:pPr>
            <w:r w:rsidRPr="002E6014">
              <w:rPr>
                <w:lang w:val="ru-RU"/>
              </w:rPr>
              <w:t>–</w:t>
            </w:r>
            <w:r w:rsidRPr="002E6014">
              <w:rPr>
                <w:lang w:val="ru-RU"/>
              </w:rPr>
              <w:tab/>
              <w:t>Директору Бюро радиосвязи</w:t>
            </w:r>
          </w:p>
        </w:tc>
      </w:tr>
      <w:tr w:rsidR="00A815B6" w:rsidRPr="002E6014" w14:paraId="772D1810" w14:textId="77777777" w:rsidTr="00BF3687">
        <w:trPr>
          <w:cantSplit/>
        </w:trPr>
        <w:tc>
          <w:tcPr>
            <w:tcW w:w="1560" w:type="dxa"/>
          </w:tcPr>
          <w:p w14:paraId="4F13905F" w14:textId="77777777" w:rsidR="00A815B6" w:rsidRPr="00BF3687" w:rsidRDefault="00A815B6" w:rsidP="00BF3687">
            <w:pPr>
              <w:spacing w:before="0"/>
              <w:rPr>
                <w:lang w:val="ru-RU"/>
              </w:rPr>
            </w:pPr>
            <w:r w:rsidRPr="00BF3687">
              <w:rPr>
                <w:lang w:val="ru-RU"/>
              </w:rPr>
              <w:t>Тел.:</w:t>
            </w:r>
          </w:p>
        </w:tc>
        <w:tc>
          <w:tcPr>
            <w:tcW w:w="3544" w:type="dxa"/>
          </w:tcPr>
          <w:p w14:paraId="3C966082" w14:textId="2902170E" w:rsidR="00A815B6" w:rsidRPr="002E6014" w:rsidRDefault="00A815B6" w:rsidP="00BF3687">
            <w:pPr>
              <w:spacing w:before="0"/>
              <w:rPr>
                <w:lang w:val="ru-RU"/>
              </w:rPr>
            </w:pPr>
            <w:r w:rsidRPr="002E6014">
              <w:rPr>
                <w:lang w:val="ru-RU"/>
              </w:rPr>
              <w:t xml:space="preserve">+41 22 730 </w:t>
            </w:r>
            <w:r w:rsidR="00DD0454" w:rsidRPr="002E6014">
              <w:rPr>
                <w:lang w:val="ru-RU"/>
              </w:rPr>
              <w:t>5697</w:t>
            </w:r>
          </w:p>
        </w:tc>
        <w:tc>
          <w:tcPr>
            <w:tcW w:w="4809" w:type="dxa"/>
            <w:vMerge/>
          </w:tcPr>
          <w:p w14:paraId="70012674" w14:textId="77777777" w:rsidR="00A815B6" w:rsidRPr="002E6014" w:rsidRDefault="00A815B6" w:rsidP="00BF3687">
            <w:pPr>
              <w:tabs>
                <w:tab w:val="left" w:pos="284"/>
              </w:tabs>
              <w:spacing w:before="0"/>
              <w:ind w:left="284" w:hanging="284"/>
              <w:rPr>
                <w:b/>
                <w:bCs/>
                <w:lang w:val="ru-RU"/>
              </w:rPr>
            </w:pPr>
          </w:p>
        </w:tc>
      </w:tr>
      <w:tr w:rsidR="00A815B6" w:rsidRPr="002E6014" w14:paraId="1FAE553C" w14:textId="77777777" w:rsidTr="00BF3687">
        <w:trPr>
          <w:cantSplit/>
        </w:trPr>
        <w:tc>
          <w:tcPr>
            <w:tcW w:w="1560" w:type="dxa"/>
          </w:tcPr>
          <w:p w14:paraId="18011B9F" w14:textId="77777777" w:rsidR="00A815B6" w:rsidRPr="00BF3687" w:rsidRDefault="00A815B6" w:rsidP="00BF3687">
            <w:pPr>
              <w:spacing w:before="0"/>
              <w:rPr>
                <w:lang w:val="ru-RU"/>
              </w:rPr>
            </w:pPr>
            <w:r w:rsidRPr="00BF3687">
              <w:rPr>
                <w:lang w:val="ru-RU"/>
              </w:rPr>
              <w:t>Факс:</w:t>
            </w:r>
          </w:p>
        </w:tc>
        <w:tc>
          <w:tcPr>
            <w:tcW w:w="3544" w:type="dxa"/>
          </w:tcPr>
          <w:p w14:paraId="7D8D5556" w14:textId="77777777" w:rsidR="00A815B6" w:rsidRPr="002E6014" w:rsidRDefault="00A815B6" w:rsidP="00BF3687">
            <w:pPr>
              <w:spacing w:before="0"/>
              <w:rPr>
                <w:lang w:val="ru-RU"/>
              </w:rPr>
            </w:pPr>
            <w:r w:rsidRPr="002E6014">
              <w:rPr>
                <w:lang w:val="ru-RU"/>
              </w:rPr>
              <w:t>+41 22 730 5853</w:t>
            </w:r>
          </w:p>
        </w:tc>
        <w:tc>
          <w:tcPr>
            <w:tcW w:w="4809" w:type="dxa"/>
            <w:vMerge/>
          </w:tcPr>
          <w:p w14:paraId="320FB563" w14:textId="77777777" w:rsidR="00A815B6" w:rsidRPr="002E6014" w:rsidRDefault="00A815B6" w:rsidP="00BF3687">
            <w:pPr>
              <w:tabs>
                <w:tab w:val="left" w:pos="284"/>
              </w:tabs>
              <w:spacing w:before="0"/>
              <w:ind w:left="284" w:hanging="284"/>
              <w:rPr>
                <w:b/>
                <w:bCs/>
                <w:lang w:val="ru-RU"/>
              </w:rPr>
            </w:pPr>
          </w:p>
        </w:tc>
      </w:tr>
      <w:tr w:rsidR="00A815B6" w:rsidRPr="002E6014" w14:paraId="76AE90F4" w14:textId="77777777" w:rsidTr="00BF3687">
        <w:trPr>
          <w:cantSplit/>
        </w:trPr>
        <w:tc>
          <w:tcPr>
            <w:tcW w:w="1560" w:type="dxa"/>
          </w:tcPr>
          <w:p w14:paraId="7E089019" w14:textId="77777777" w:rsidR="00A815B6" w:rsidRPr="00BF3687" w:rsidRDefault="00A815B6" w:rsidP="00BF3687">
            <w:pPr>
              <w:spacing w:before="0"/>
              <w:rPr>
                <w:lang w:val="ru-RU"/>
              </w:rPr>
            </w:pPr>
            <w:r w:rsidRPr="00BF3687">
              <w:rPr>
                <w:lang w:val="ru-RU"/>
              </w:rPr>
              <w:t>Эл. почта:</w:t>
            </w:r>
          </w:p>
        </w:tc>
        <w:tc>
          <w:tcPr>
            <w:tcW w:w="3544" w:type="dxa"/>
          </w:tcPr>
          <w:p w14:paraId="298CFCDB" w14:textId="6FE3CDE0" w:rsidR="00A815B6" w:rsidRPr="002E6014" w:rsidRDefault="00DD0454" w:rsidP="00BF3687">
            <w:pPr>
              <w:spacing w:before="0"/>
              <w:rPr>
                <w:lang w:val="ru-RU"/>
              </w:rPr>
            </w:pPr>
            <w:hyperlink r:id="rId9" w:history="1">
              <w:hyperlink r:id="rId10" w:history="1">
                <w:r w:rsidRPr="002E6014">
                  <w:rPr>
                    <w:rStyle w:val="Hyperlink"/>
                    <w:szCs w:val="22"/>
                    <w:lang w:val="ru-RU"/>
                  </w:rPr>
                  <w:t>resiliencestandards@itu.int</w:t>
                </w:r>
              </w:hyperlink>
            </w:hyperlink>
          </w:p>
        </w:tc>
        <w:tc>
          <w:tcPr>
            <w:tcW w:w="4809" w:type="dxa"/>
            <w:vMerge/>
          </w:tcPr>
          <w:p w14:paraId="20CD1515" w14:textId="77777777" w:rsidR="00A815B6" w:rsidRPr="002E6014" w:rsidRDefault="00A815B6" w:rsidP="00BF3687">
            <w:pPr>
              <w:tabs>
                <w:tab w:val="clear" w:pos="794"/>
                <w:tab w:val="clear" w:pos="1191"/>
                <w:tab w:val="clear" w:pos="1588"/>
                <w:tab w:val="clear" w:pos="1985"/>
                <w:tab w:val="left" w:pos="284"/>
              </w:tabs>
              <w:spacing w:before="0"/>
              <w:ind w:left="284" w:hanging="284"/>
              <w:rPr>
                <w:lang w:val="ru-RU"/>
              </w:rPr>
            </w:pPr>
          </w:p>
        </w:tc>
      </w:tr>
      <w:tr w:rsidR="001629DC" w:rsidRPr="00BF3687" w14:paraId="2473AB5D" w14:textId="77777777" w:rsidTr="00BF3687">
        <w:tblPrEx>
          <w:tblCellMar>
            <w:left w:w="107" w:type="dxa"/>
            <w:right w:w="107" w:type="dxa"/>
          </w:tblCellMar>
        </w:tblPrEx>
        <w:trPr>
          <w:cantSplit/>
          <w:trHeight w:val="660"/>
        </w:trPr>
        <w:tc>
          <w:tcPr>
            <w:tcW w:w="1560" w:type="dxa"/>
          </w:tcPr>
          <w:p w14:paraId="64ADDD2C" w14:textId="77777777" w:rsidR="001629DC" w:rsidRPr="002E6014" w:rsidRDefault="001629DC" w:rsidP="00BF3687">
            <w:pPr>
              <w:ind w:left="-105"/>
              <w:rPr>
                <w:b/>
                <w:bCs/>
                <w:lang w:val="ru-RU"/>
              </w:rPr>
            </w:pPr>
            <w:r w:rsidRPr="002E6014">
              <w:rPr>
                <w:b/>
                <w:bCs/>
                <w:lang w:val="ru-RU"/>
              </w:rPr>
              <w:t>Предмет</w:t>
            </w:r>
            <w:r w:rsidRPr="002E6014">
              <w:rPr>
                <w:lang w:val="ru-RU"/>
              </w:rPr>
              <w:t>:</w:t>
            </w:r>
          </w:p>
        </w:tc>
        <w:tc>
          <w:tcPr>
            <w:tcW w:w="8353" w:type="dxa"/>
            <w:gridSpan w:val="2"/>
          </w:tcPr>
          <w:p w14:paraId="7D0ADAAA" w14:textId="213BE78F" w:rsidR="001629DC" w:rsidRPr="002E6014" w:rsidRDefault="00DD0454" w:rsidP="00BF3687">
            <w:pPr>
              <w:ind w:left="-45"/>
              <w:rPr>
                <w:b/>
                <w:bCs/>
                <w:lang w:val="ru-RU"/>
              </w:rPr>
            </w:pPr>
            <w:r w:rsidRPr="002E6014">
              <w:rPr>
                <w:b/>
                <w:bCs/>
                <w:color w:val="000000"/>
                <w:lang w:val="ru-RU"/>
              </w:rPr>
              <w:t xml:space="preserve">Четвертое собрание Глобальной инициативы по обеспечению устойчивости к стихийным бедствиям с помощью решений на основе ИИ </w:t>
            </w:r>
            <w:r w:rsidR="00721E64" w:rsidRPr="002E6014">
              <w:rPr>
                <w:b/>
                <w:bCs/>
                <w:color w:val="000000"/>
                <w:lang w:val="ru-RU"/>
              </w:rPr>
              <w:br/>
            </w:r>
            <w:r w:rsidRPr="002E6014">
              <w:rPr>
                <w:b/>
                <w:bCs/>
                <w:color w:val="000000"/>
                <w:lang w:val="ru-RU"/>
              </w:rPr>
              <w:t>(Женева, Швейцария, 7 июля 2026 г.)</w:t>
            </w:r>
          </w:p>
        </w:tc>
      </w:tr>
    </w:tbl>
    <w:p w14:paraId="0481CF27" w14:textId="77777777" w:rsidR="001629DC" w:rsidRPr="002E6014" w:rsidRDefault="001629DC" w:rsidP="00B54B88">
      <w:pPr>
        <w:pStyle w:val="Normalaftertitle"/>
        <w:rPr>
          <w:lang w:val="ru-RU"/>
        </w:rPr>
      </w:pPr>
      <w:r w:rsidRPr="002E6014">
        <w:rPr>
          <w:lang w:val="ru-RU"/>
        </w:rPr>
        <w:t>Уважаемая госпожа,</w:t>
      </w:r>
      <w:r w:rsidRPr="002E6014">
        <w:rPr>
          <w:lang w:val="ru-RU"/>
        </w:rPr>
        <w:br/>
        <w:t>уважаемый господин,</w:t>
      </w:r>
    </w:p>
    <w:p w14:paraId="6D5FBA73" w14:textId="7A290118" w:rsidR="00DD0454" w:rsidRPr="002E6014" w:rsidRDefault="00DD0454" w:rsidP="00DD0454">
      <w:pPr>
        <w:rPr>
          <w:rFonts w:cstheme="minorHAnsi"/>
          <w:lang w:val="ru-RU"/>
        </w:rPr>
      </w:pPr>
      <w:r w:rsidRPr="002E6014">
        <w:rPr>
          <w:lang w:val="ru-RU"/>
        </w:rPr>
        <w:t>1</w:t>
      </w:r>
      <w:r w:rsidRPr="002E6014">
        <w:rPr>
          <w:lang w:val="ru-RU"/>
        </w:rPr>
        <w:tab/>
        <w:t xml:space="preserve">Международный союз электросвязи (МСЭ) организует </w:t>
      </w:r>
      <w:r w:rsidRPr="002E6014">
        <w:rPr>
          <w:b/>
          <w:lang w:val="ru-RU"/>
        </w:rPr>
        <w:t>четвертое собрание</w:t>
      </w:r>
      <w:r w:rsidRPr="002E6014">
        <w:rPr>
          <w:lang w:val="ru-RU"/>
        </w:rPr>
        <w:t xml:space="preserve"> </w:t>
      </w:r>
      <w:hyperlink r:id="rId11" w:history="1">
        <w:r w:rsidRPr="002E6014">
          <w:rPr>
            <w:rStyle w:val="Hyperlink"/>
            <w:rFonts w:cstheme="minorHAnsi"/>
            <w:b/>
            <w:bCs/>
            <w:lang w:val="ru-RU"/>
          </w:rPr>
          <w:t>Глобальной инициативы по обеспечению устойчивости к стих</w:t>
        </w:r>
        <w:r w:rsidRPr="002E6014">
          <w:rPr>
            <w:rStyle w:val="Hyperlink"/>
            <w:rFonts w:cstheme="minorHAnsi"/>
            <w:b/>
            <w:bCs/>
            <w:lang w:val="ru-RU"/>
          </w:rPr>
          <w:t>и</w:t>
        </w:r>
        <w:r w:rsidRPr="002E6014">
          <w:rPr>
            <w:rStyle w:val="Hyperlink"/>
            <w:rFonts w:cstheme="minorHAnsi"/>
            <w:b/>
            <w:bCs/>
            <w:lang w:val="ru-RU"/>
          </w:rPr>
          <w:t>йным бедствиям с помощью решений на основе</w:t>
        </w:r>
        <w:r w:rsidR="00721E64" w:rsidRPr="002E6014">
          <w:rPr>
            <w:rStyle w:val="Hyperlink"/>
            <w:rFonts w:cstheme="minorHAnsi"/>
            <w:b/>
            <w:bCs/>
            <w:lang w:val="ru-RU"/>
          </w:rPr>
          <w:t> </w:t>
        </w:r>
        <w:r w:rsidRPr="002E6014">
          <w:rPr>
            <w:rStyle w:val="Hyperlink"/>
            <w:rFonts w:cstheme="minorHAnsi"/>
            <w:b/>
            <w:bCs/>
            <w:lang w:val="ru-RU"/>
          </w:rPr>
          <w:t>ИИ</w:t>
        </w:r>
      </w:hyperlink>
      <w:r w:rsidRPr="002E6014">
        <w:rPr>
          <w:lang w:val="ru-RU"/>
        </w:rPr>
        <w:t xml:space="preserve">, которое состоится во второй половине дня </w:t>
      </w:r>
      <w:r w:rsidRPr="002E6014">
        <w:rPr>
          <w:b/>
          <w:bCs/>
          <w:lang w:val="ru-RU"/>
        </w:rPr>
        <w:t>7 июля 2026</w:t>
      </w:r>
      <w:r w:rsidR="00721E64" w:rsidRPr="002E6014">
        <w:rPr>
          <w:b/>
          <w:bCs/>
          <w:lang w:val="ru-RU"/>
        </w:rPr>
        <w:t> </w:t>
      </w:r>
      <w:r w:rsidRPr="002E6014">
        <w:rPr>
          <w:b/>
          <w:bCs/>
          <w:lang w:val="ru-RU"/>
        </w:rPr>
        <w:t>года</w:t>
      </w:r>
      <w:r w:rsidRPr="002E6014">
        <w:rPr>
          <w:lang w:val="ru-RU"/>
        </w:rPr>
        <w:t xml:space="preserve"> в Международном центре выставок и конференций Palexpo в Женеве, Швейцария. В тот же день утром в рамках </w:t>
      </w:r>
      <w:hyperlink r:id="rId12" w:history="1">
        <w:r w:rsidRPr="002E6014">
          <w:rPr>
            <w:rStyle w:val="Hyperlink"/>
            <w:rFonts w:cstheme="minorHAnsi"/>
            <w:b/>
            <w:bCs/>
            <w:lang w:val="ru-RU"/>
          </w:rPr>
          <w:t xml:space="preserve">Глобального саммита "ИИ </w:t>
        </w:r>
        <w:r w:rsidRPr="002E6014">
          <w:rPr>
            <w:rStyle w:val="Hyperlink"/>
            <w:rFonts w:cstheme="minorHAnsi"/>
            <w:b/>
            <w:bCs/>
            <w:lang w:val="ru-RU"/>
          </w:rPr>
          <w:t>в</w:t>
        </w:r>
        <w:r w:rsidRPr="002E6014">
          <w:rPr>
            <w:rStyle w:val="Hyperlink"/>
            <w:rFonts w:cstheme="minorHAnsi"/>
            <w:b/>
            <w:bCs/>
            <w:lang w:val="ru-RU"/>
          </w:rPr>
          <w:t>о благо" 2026</w:t>
        </w:r>
        <w:r w:rsidR="00721E64" w:rsidRPr="002E6014">
          <w:rPr>
            <w:rStyle w:val="Hyperlink"/>
            <w:rFonts w:cstheme="minorHAnsi"/>
            <w:b/>
            <w:bCs/>
            <w:lang w:val="ru-RU"/>
          </w:rPr>
          <w:t> </w:t>
        </w:r>
        <w:r w:rsidRPr="002E6014">
          <w:rPr>
            <w:rStyle w:val="Hyperlink"/>
            <w:rFonts w:cstheme="minorHAnsi"/>
            <w:b/>
            <w:bCs/>
            <w:lang w:val="ru-RU"/>
          </w:rPr>
          <w:t>года</w:t>
        </w:r>
      </w:hyperlink>
      <w:r w:rsidRPr="002E6014">
        <w:rPr>
          <w:lang w:val="ru-RU"/>
        </w:rPr>
        <w:t xml:space="preserve"> там же состоится </w:t>
      </w:r>
      <w:r w:rsidRPr="002E6014">
        <w:rPr>
          <w:b/>
          <w:bCs/>
          <w:lang w:val="ru-RU"/>
        </w:rPr>
        <w:t>семинар-практикум</w:t>
      </w:r>
      <w:r w:rsidRPr="002E6014">
        <w:rPr>
          <w:lang w:val="ru-RU"/>
        </w:rPr>
        <w:t xml:space="preserve"> на тему </w:t>
      </w:r>
      <w:hyperlink r:id="rId13" w:history="1">
        <w:r w:rsidRPr="002E6014">
          <w:rPr>
            <w:rStyle w:val="Hyperlink"/>
            <w:rFonts w:cstheme="minorHAnsi"/>
            <w:lang w:val="ru-RU"/>
          </w:rPr>
          <w:t>"</w:t>
        </w:r>
        <w:r w:rsidRPr="002E6014">
          <w:rPr>
            <w:rStyle w:val="Hyperlink"/>
            <w:rFonts w:cstheme="minorHAnsi"/>
            <w:b/>
            <w:bCs/>
            <w:lang w:val="ru-RU"/>
          </w:rPr>
          <w:t>ИИ для обеспечения устойчивости к бедствиям: на перекрестке науки, стандартов и инноваций</w:t>
        </w:r>
        <w:r w:rsidRPr="002E6014">
          <w:rPr>
            <w:rStyle w:val="Hyperlink"/>
            <w:rFonts w:cstheme="minorHAnsi"/>
            <w:lang w:val="ru-RU"/>
          </w:rPr>
          <w:t>"</w:t>
        </w:r>
      </w:hyperlink>
      <w:r w:rsidRPr="002E6014">
        <w:rPr>
          <w:lang w:val="ru-RU"/>
        </w:rPr>
        <w:t>.</w:t>
      </w:r>
      <w:hyperlink r:id="rId14" w:history="1"/>
      <w:hyperlink r:id="rId15" w:history="1"/>
      <w:hyperlink r:id="rId16" w:history="1"/>
    </w:p>
    <w:p w14:paraId="0C80BF39" w14:textId="309F8A38" w:rsidR="00DD0454" w:rsidRPr="002E6014" w:rsidDel="00A93B65" w:rsidRDefault="00DD0454" w:rsidP="00DD0454">
      <w:pPr>
        <w:rPr>
          <w:rFonts w:cstheme="minorHAnsi"/>
          <w:lang w:val="ru-RU"/>
        </w:rPr>
      </w:pPr>
      <w:r w:rsidRPr="002E6014">
        <w:rPr>
          <w:lang w:val="ru-RU"/>
        </w:rPr>
        <w:t>2</w:t>
      </w:r>
      <w:r w:rsidRPr="002E6014">
        <w:rPr>
          <w:lang w:val="ru-RU"/>
        </w:rPr>
        <w:tab/>
        <w:t xml:space="preserve">Собрание Глобальной инициативы пройдет в рамках </w:t>
      </w:r>
      <w:hyperlink r:id="rId17" w:history="1">
        <w:r w:rsidRPr="002E6014">
          <w:rPr>
            <w:rStyle w:val="Hyperlink"/>
            <w:b/>
            <w:bCs/>
            <w:lang w:val="ru-RU"/>
          </w:rPr>
          <w:t>Глобального самм</w:t>
        </w:r>
        <w:r w:rsidRPr="002E6014">
          <w:rPr>
            <w:rStyle w:val="Hyperlink"/>
            <w:b/>
            <w:bCs/>
            <w:lang w:val="ru-RU"/>
          </w:rPr>
          <w:t>и</w:t>
        </w:r>
        <w:r w:rsidRPr="002E6014">
          <w:rPr>
            <w:rStyle w:val="Hyperlink"/>
            <w:b/>
            <w:bCs/>
            <w:lang w:val="ru-RU"/>
          </w:rPr>
          <w:t>та "ИИ во благо" 2026</w:t>
        </w:r>
        <w:r w:rsidR="00721E64" w:rsidRPr="002E6014">
          <w:rPr>
            <w:rStyle w:val="Hyperlink"/>
            <w:b/>
            <w:bCs/>
            <w:lang w:val="ru-RU"/>
          </w:rPr>
          <w:t> </w:t>
        </w:r>
        <w:r w:rsidRPr="002E6014">
          <w:rPr>
            <w:rStyle w:val="Hyperlink"/>
            <w:b/>
            <w:bCs/>
            <w:lang w:val="ru-RU"/>
          </w:rPr>
          <w:t>года</w:t>
        </w:r>
      </w:hyperlink>
      <w:r w:rsidRPr="002E6014">
        <w:rPr>
          <w:lang w:val="ru-RU"/>
        </w:rPr>
        <w:t xml:space="preserve"> на той же площадке. </w:t>
      </w:r>
      <w:r w:rsidRPr="002E6014">
        <w:rPr>
          <w:b/>
          <w:lang w:val="ru-RU"/>
        </w:rPr>
        <w:t>Обращаем ваше внимание, что регистрация на</w:t>
      </w:r>
      <w:r w:rsidRPr="002E6014">
        <w:rPr>
          <w:lang w:val="ru-RU"/>
        </w:rPr>
        <w:t xml:space="preserve"> </w:t>
      </w:r>
      <w:hyperlink r:id="rId18" w:history="1">
        <w:r w:rsidRPr="002E6014">
          <w:rPr>
            <w:rStyle w:val="Hyperlink"/>
            <w:rFonts w:cstheme="majorBidi"/>
            <w:b/>
            <w:bCs/>
            <w:lang w:val="ru-RU"/>
          </w:rPr>
          <w:t>Глобальный саммит "ИИ во благо"</w:t>
        </w:r>
      </w:hyperlink>
      <w:r w:rsidRPr="002E6014">
        <w:rPr>
          <w:lang w:val="ru-RU"/>
        </w:rPr>
        <w:t xml:space="preserve"> </w:t>
      </w:r>
      <w:r w:rsidRPr="002E6014">
        <w:rPr>
          <w:b/>
          <w:lang w:val="ru-RU"/>
        </w:rPr>
        <w:t>является обязательной для участия в собрании Глобальной инициативы</w:t>
      </w:r>
      <w:r w:rsidRPr="002E6014">
        <w:rPr>
          <w:lang w:val="ru-RU"/>
        </w:rPr>
        <w:t xml:space="preserve">, а также в </w:t>
      </w:r>
      <w:r w:rsidRPr="002E6014">
        <w:rPr>
          <w:b/>
          <w:lang w:val="ru-RU"/>
        </w:rPr>
        <w:t>семинаре-практикуме</w:t>
      </w:r>
      <w:r w:rsidRPr="002E6014">
        <w:rPr>
          <w:lang w:val="ru-RU"/>
        </w:rPr>
        <w:t>. Веб-сайт будет постоянно обновляться с учетом последней информации и любых изменений. Участникам рекомендуется регулярно его просматривать, чтобы следить за</w:t>
      </w:r>
      <w:r w:rsidR="00721E64" w:rsidRPr="002E6014">
        <w:rPr>
          <w:lang w:val="ru-RU"/>
        </w:rPr>
        <w:t> </w:t>
      </w:r>
      <w:r w:rsidRPr="002E6014">
        <w:rPr>
          <w:lang w:val="ru-RU"/>
        </w:rPr>
        <w:t>обновлениями.</w:t>
      </w:r>
      <w:hyperlink r:id="rId19" w:history="1"/>
      <w:hyperlink r:id="rId20" w:history="1"/>
    </w:p>
    <w:p w14:paraId="4234A17C" w14:textId="2F4DB279" w:rsidR="00DD0454" w:rsidRPr="002E6014" w:rsidRDefault="00DD0454" w:rsidP="00DD0454">
      <w:pPr>
        <w:rPr>
          <w:rFonts w:cstheme="minorHAnsi"/>
          <w:lang w:val="ru-RU"/>
        </w:rPr>
      </w:pPr>
      <w:r w:rsidRPr="002E6014">
        <w:rPr>
          <w:lang w:val="ru-RU"/>
        </w:rPr>
        <w:t>3</w:t>
      </w:r>
      <w:r w:rsidRPr="002E6014">
        <w:rPr>
          <w:lang w:val="ru-RU"/>
        </w:rPr>
        <w:tab/>
      </w:r>
      <w:hyperlink r:id="rId21" w:history="1">
        <w:r w:rsidRPr="002E6014">
          <w:rPr>
            <w:rStyle w:val="Hyperlink"/>
            <w:rFonts w:cstheme="minorHAnsi"/>
            <w:lang w:val="ru-RU"/>
          </w:rPr>
          <w:t>Глобальная инициатива по обеспечению устойчивости к стих</w:t>
        </w:r>
        <w:r w:rsidRPr="002E6014">
          <w:rPr>
            <w:rStyle w:val="Hyperlink"/>
            <w:rFonts w:cstheme="minorHAnsi"/>
            <w:lang w:val="ru-RU"/>
          </w:rPr>
          <w:t>и</w:t>
        </w:r>
        <w:r w:rsidRPr="002E6014">
          <w:rPr>
            <w:rStyle w:val="Hyperlink"/>
            <w:rFonts w:cstheme="minorHAnsi"/>
            <w:lang w:val="ru-RU"/>
          </w:rPr>
          <w:t>йным бедствиям с помощью решений на основе ИИ</w:t>
        </w:r>
      </w:hyperlink>
      <w:r w:rsidRPr="002E6014">
        <w:rPr>
          <w:lang w:val="ru-RU"/>
        </w:rPr>
        <w:t xml:space="preserve"> представляет собой совместный проект, реализуемый под руководством МСЭ при участии Программы ООН по окружающей среде (ЮНЕП), Рамочной конвенции ООН об изменении климата (РКИК ООН), Всемирного почтового союза (ВПС), Всемирной метеорологической организации (ВМО) и Организации Объединенных Наций по вопросам образования, науки и культуры (ЮНЕСКО).</w:t>
      </w:r>
      <w:hyperlink r:id="rId22" w:history="1"/>
    </w:p>
    <w:p w14:paraId="7823D93A" w14:textId="77777777" w:rsidR="00DD0454" w:rsidRPr="002E6014" w:rsidRDefault="00DD0454" w:rsidP="00DD0454">
      <w:pPr>
        <w:rPr>
          <w:rFonts w:cstheme="minorHAnsi"/>
          <w:lang w:val="ru-RU"/>
        </w:rPr>
      </w:pPr>
      <w:r w:rsidRPr="002E6014">
        <w:rPr>
          <w:lang w:val="ru-RU"/>
        </w:rPr>
        <w:t xml:space="preserve">В рамках этой инициативы изучается вопрос о том, как эффективно использовать ИИ для управления операциями в случае бедствий, предоставляются экспертные рекомендации, поддерживаются исследования и инновации и оказывается содействие разработке стандартов. С более подробной информацией о начале осуществления этой инициативы можно ознакомиться </w:t>
      </w:r>
      <w:hyperlink r:id="rId23" w:history="1">
        <w:r w:rsidRPr="002E6014">
          <w:rPr>
            <w:rStyle w:val="Hyperlink"/>
            <w:rFonts w:cstheme="minorHAnsi"/>
            <w:lang w:val="ru-RU"/>
          </w:rPr>
          <w:t>по сс</w:t>
        </w:r>
        <w:r w:rsidRPr="002E6014">
          <w:rPr>
            <w:rStyle w:val="Hyperlink"/>
            <w:rFonts w:cstheme="minorHAnsi"/>
            <w:lang w:val="ru-RU"/>
          </w:rPr>
          <w:t>ы</w:t>
        </w:r>
        <w:r w:rsidRPr="002E6014">
          <w:rPr>
            <w:rStyle w:val="Hyperlink"/>
            <w:rFonts w:cstheme="minorHAnsi"/>
            <w:lang w:val="ru-RU"/>
          </w:rPr>
          <w:t>лке</w:t>
        </w:r>
      </w:hyperlink>
      <w:r w:rsidRPr="002E6014">
        <w:rPr>
          <w:lang w:val="ru-RU"/>
        </w:rPr>
        <w:t xml:space="preserve">. Основой для этой инициативы служит деятельность </w:t>
      </w:r>
      <w:hyperlink r:id="rId24" w:history="1">
        <w:r w:rsidRPr="002E6014">
          <w:rPr>
            <w:rStyle w:val="Hyperlink"/>
            <w:rFonts w:cstheme="minorHAnsi"/>
            <w:lang w:val="ru-RU"/>
          </w:rPr>
          <w:t>Оперативной группы МСЭ, ВМО и ЮНЕП по ИИ в управлении операциями в случае стихийных бедствий (ОГ</w:t>
        </w:r>
        <w:r w:rsidRPr="002E6014">
          <w:rPr>
            <w:rStyle w:val="Hyperlink"/>
            <w:rFonts w:cstheme="minorHAnsi"/>
            <w:lang w:val="ru-RU"/>
          </w:rPr>
          <w:t>-</w:t>
        </w:r>
        <w:r w:rsidRPr="002E6014">
          <w:rPr>
            <w:rStyle w:val="Hyperlink"/>
            <w:rFonts w:cstheme="minorHAnsi"/>
            <w:lang w:val="ru-RU"/>
          </w:rPr>
          <w:t>AI4NDM)</w:t>
        </w:r>
      </w:hyperlink>
      <w:r w:rsidRPr="002E6014">
        <w:rPr>
          <w:lang w:val="ru-RU"/>
        </w:rPr>
        <w:t>.</w:t>
      </w:r>
      <w:hyperlink r:id="rId25" w:history="1"/>
      <w:hyperlink r:id="rId26" w:history="1"/>
    </w:p>
    <w:p w14:paraId="12517558" w14:textId="77777777" w:rsidR="00DD0454" w:rsidRPr="002E6014" w:rsidRDefault="00DD0454" w:rsidP="00DD0454">
      <w:pPr>
        <w:rPr>
          <w:rFonts w:cstheme="minorHAnsi"/>
          <w:lang w:val="ru-RU"/>
        </w:rPr>
      </w:pPr>
      <w:r w:rsidRPr="002E6014">
        <w:rPr>
          <w:lang w:val="ru-RU"/>
        </w:rPr>
        <w:lastRenderedPageBreak/>
        <w:t>4</w:t>
      </w:r>
      <w:r w:rsidRPr="002E6014">
        <w:rPr>
          <w:lang w:val="ru-RU"/>
        </w:rPr>
        <w:tab/>
        <w:t xml:space="preserve">Четвертое собрание Глобальной инициативы будет посвящено рассмотрению письменных вкладов и дальнейшей разработке учебных материалов. Проект повестки дня, документы собрания и дополнительная информация о собрании будут доступны на </w:t>
      </w:r>
      <w:hyperlink r:id="rId27" w:history="1">
        <w:r w:rsidRPr="002E6014">
          <w:rPr>
            <w:rStyle w:val="Hyperlink"/>
            <w:rFonts w:cstheme="minorHAnsi"/>
            <w:lang w:val="ru-RU"/>
          </w:rPr>
          <w:t>домашней странице</w:t>
        </w:r>
      </w:hyperlink>
      <w:r w:rsidRPr="002E6014">
        <w:rPr>
          <w:lang w:val="ru-RU"/>
        </w:rPr>
        <w:t xml:space="preserve"> мероприятия.</w:t>
      </w:r>
      <w:hyperlink r:id="rId28" w:history="1"/>
    </w:p>
    <w:p w14:paraId="5A0F5A67" w14:textId="7986D6B8" w:rsidR="00DD0454" w:rsidRPr="002E6014" w:rsidRDefault="00DD0454" w:rsidP="00DD0454">
      <w:pPr>
        <w:rPr>
          <w:rFonts w:cstheme="minorHAnsi"/>
          <w:lang w:val="ru-RU"/>
        </w:rPr>
      </w:pPr>
      <w:r w:rsidRPr="002E6014">
        <w:rPr>
          <w:lang w:val="ru-RU"/>
        </w:rPr>
        <w:t>Письменные вклады имеют решающее значение для успешной работы Группы; настоятельно рекомендуется представлять вклады для обеспечения ее дальнейшего продвижения. Вклады следует представлять в электронном виде в Секретариат (</w:t>
      </w:r>
      <w:hyperlink r:id="rId29" w:history="1">
        <w:r w:rsidRPr="002E6014">
          <w:rPr>
            <w:rStyle w:val="Hyperlink"/>
            <w:rFonts w:cstheme="minorHAnsi"/>
            <w:lang w:val="ru-RU"/>
          </w:rPr>
          <w:t>resiliencestandards@itu.int</w:t>
        </w:r>
      </w:hyperlink>
      <w:r w:rsidRPr="002E6014">
        <w:rPr>
          <w:lang w:val="ru-RU"/>
        </w:rPr>
        <w:t xml:space="preserve">), используя шаблоны документов, размещенные на </w:t>
      </w:r>
      <w:hyperlink r:id="rId30" w:history="1">
        <w:r w:rsidRPr="002E6014">
          <w:rPr>
            <w:rStyle w:val="Hyperlink"/>
            <w:rFonts w:cstheme="minorHAnsi"/>
            <w:lang w:val="ru-RU"/>
          </w:rPr>
          <w:t>домашней странице</w:t>
        </w:r>
        <w:r w:rsidRPr="002E6014">
          <w:rPr>
            <w:rStyle w:val="Hyperlink"/>
            <w:rFonts w:cstheme="minorHAnsi"/>
            <w:lang w:val="ru-RU"/>
          </w:rPr>
          <w:t xml:space="preserve"> </w:t>
        </w:r>
        <w:r w:rsidRPr="002E6014">
          <w:rPr>
            <w:rStyle w:val="Hyperlink"/>
            <w:rFonts w:cstheme="minorHAnsi"/>
            <w:lang w:val="ru-RU"/>
          </w:rPr>
          <w:t>GI-AI4R</w:t>
        </w:r>
      </w:hyperlink>
      <w:r w:rsidRPr="002E6014">
        <w:rPr>
          <w:lang w:val="ru-RU"/>
        </w:rPr>
        <w:t>.</w:t>
      </w:r>
      <w:hyperlink r:id="rId31" w:history="1"/>
      <w:hyperlink r:id="rId32" w:history="1"/>
    </w:p>
    <w:p w14:paraId="1A0C0C6B" w14:textId="77777777" w:rsidR="00DD0454" w:rsidRPr="002E6014" w:rsidRDefault="00DD0454" w:rsidP="00DD0454">
      <w:pPr>
        <w:rPr>
          <w:rFonts w:cstheme="minorHAnsi"/>
          <w:lang w:val="ru-RU"/>
        </w:rPr>
      </w:pPr>
      <w:r w:rsidRPr="002E6014">
        <w:rPr>
          <w:lang w:val="ru-RU"/>
        </w:rPr>
        <w:t xml:space="preserve">Предельный срок представления вкладов – </w:t>
      </w:r>
      <w:r w:rsidRPr="002E6014">
        <w:rPr>
          <w:b/>
          <w:bCs/>
          <w:lang w:val="ru-RU"/>
        </w:rPr>
        <w:t>29 июня 2026 года</w:t>
      </w:r>
      <w:r w:rsidRPr="002E6014">
        <w:rPr>
          <w:lang w:val="ru-RU"/>
        </w:rPr>
        <w:t>.</w:t>
      </w:r>
    </w:p>
    <w:p w14:paraId="5B452708" w14:textId="77777777" w:rsidR="00DD0454" w:rsidRPr="002E6014" w:rsidRDefault="00DD0454" w:rsidP="00DD0454">
      <w:pPr>
        <w:rPr>
          <w:rFonts w:cstheme="minorHAnsi"/>
          <w:lang w:val="ru-RU"/>
        </w:rPr>
      </w:pPr>
      <w:r w:rsidRPr="002E6014">
        <w:rPr>
          <w:lang w:val="ru-RU"/>
        </w:rPr>
        <w:t>5</w:t>
      </w:r>
      <w:r w:rsidRPr="002E6014">
        <w:rPr>
          <w:lang w:val="ru-RU"/>
        </w:rPr>
        <w:tab/>
        <w:t xml:space="preserve">Открытие семинара-практикума состоится </w:t>
      </w:r>
      <w:r w:rsidRPr="002E6014">
        <w:rPr>
          <w:b/>
          <w:bCs/>
          <w:lang w:val="ru-RU"/>
        </w:rPr>
        <w:t>7 июля 2026 года</w:t>
      </w:r>
      <w:r w:rsidRPr="002E6014">
        <w:rPr>
          <w:lang w:val="ru-RU"/>
        </w:rPr>
        <w:t xml:space="preserve"> в 09 час. 00 мин. Обсуждения будут проходить только на английском языке. Более подробная информация будет размещена на веб-странице мероприятия.</w:t>
      </w:r>
    </w:p>
    <w:p w14:paraId="06F746A9" w14:textId="77777777" w:rsidR="00DD0454" w:rsidRPr="002E6014" w:rsidDel="004608DB" w:rsidRDefault="00DD0454" w:rsidP="00DD0454">
      <w:pPr>
        <w:rPr>
          <w:rFonts w:cstheme="minorHAnsi"/>
          <w:lang w:val="ru-RU"/>
        </w:rPr>
      </w:pPr>
      <w:r w:rsidRPr="002E6014">
        <w:rPr>
          <w:lang w:val="ru-RU"/>
        </w:rPr>
        <w:t>6</w:t>
      </w:r>
      <w:r w:rsidRPr="002E6014">
        <w:rPr>
          <w:lang w:val="ru-RU"/>
        </w:rPr>
        <w:tab/>
        <w:t xml:space="preserve">Вся необходимая информация, касающаяся собрания Глобальной инициативы (например, проект программы, список докладчиков и ссылка для регистрации), будет размещена на главной веб-странице мероприятия по адресу: </w:t>
      </w:r>
      <w:hyperlink r:id="rId33" w:history="1">
        <w:r w:rsidRPr="002E6014">
          <w:rPr>
            <w:rStyle w:val="Hyperlink"/>
            <w:lang w:val="ru-RU"/>
          </w:rPr>
          <w:t>https://aiforgood.itu</w:t>
        </w:r>
        <w:r w:rsidRPr="002E6014">
          <w:rPr>
            <w:rStyle w:val="Hyperlink"/>
            <w:lang w:val="ru-RU"/>
          </w:rPr>
          <w:t>.</w:t>
        </w:r>
        <w:r w:rsidRPr="002E6014">
          <w:rPr>
            <w:rStyle w:val="Hyperlink"/>
            <w:lang w:val="ru-RU"/>
          </w:rPr>
          <w:t>int/summit26/</w:t>
        </w:r>
      </w:hyperlink>
      <w:r w:rsidRPr="002E6014">
        <w:rPr>
          <w:lang w:val="ru-RU"/>
        </w:rPr>
        <w:t>. Веб-сайт будет регулярно обновляться по мере появления новой или измененной информации, и участникам рекомендуется периодически проверять его для получения актуальных данных.</w:t>
      </w:r>
      <w:hyperlink r:id="rId34" w:history="1"/>
    </w:p>
    <w:p w14:paraId="575E7252" w14:textId="77777777" w:rsidR="00DD0454" w:rsidRPr="002E6014" w:rsidRDefault="00DD0454" w:rsidP="00DD0454">
      <w:pPr>
        <w:rPr>
          <w:rFonts w:cstheme="minorHAnsi"/>
          <w:lang w:val="ru-RU"/>
        </w:rPr>
      </w:pPr>
      <w:r w:rsidRPr="002E6014">
        <w:rPr>
          <w:lang w:val="ru-RU"/>
        </w:rPr>
        <w:t>7</w:t>
      </w:r>
      <w:r w:rsidRPr="002E6014">
        <w:rPr>
          <w:lang w:val="ru-RU"/>
        </w:rPr>
        <w:tab/>
        <w:t>Хотел бы напомнить вам, что гражданам некоторых стран для въезда в Швейцарию и пребывания в ней в течение любого периода времени требуется виза. Визу следует получать в учреждении (посольстве или консульстве), представляющем Швейцарию в вашей стране, или, если в вашей стране такое учреждение отсутствует, в ближайшем к стране выезда. Процесс оформления и выдачи визы может занять некоторое время, поэтому рекомендуется уточнить информацию о сроках непосредственно в соответствующем представительстве и заблаговременно подать заявление.</w:t>
      </w:r>
    </w:p>
    <w:p w14:paraId="44F941C9" w14:textId="296D34D0" w:rsidR="00DD68CA" w:rsidRPr="002E6014" w:rsidRDefault="00DD68CA" w:rsidP="00DD68CA">
      <w:pPr>
        <w:rPr>
          <w:szCs w:val="22"/>
          <w:lang w:val="ru-RU"/>
        </w:rPr>
      </w:pPr>
      <w:r w:rsidRPr="002E6014">
        <w:rPr>
          <w:lang w:val="ru-RU"/>
        </w:rPr>
        <w:t>С уважением,</w:t>
      </w:r>
    </w:p>
    <w:p w14:paraId="08D73F3C" w14:textId="5D8FC6DC" w:rsidR="00DD68CA" w:rsidRPr="002E6014" w:rsidRDefault="00C636EB" w:rsidP="00BF3687">
      <w:pPr>
        <w:pStyle w:val="Normalaftertitle"/>
        <w:spacing w:before="720"/>
        <w:rPr>
          <w:szCs w:val="22"/>
          <w:lang w:val="ru-RU"/>
        </w:rPr>
      </w:pPr>
      <w:r>
        <w:rPr>
          <w:noProof/>
          <w:lang w:val="ru-RU"/>
        </w:rPr>
        <w:drawing>
          <wp:anchor distT="0" distB="0" distL="114300" distR="114300" simplePos="0" relativeHeight="251658240" behindDoc="1" locked="0" layoutInCell="1" allowOverlap="1" wp14:anchorId="38B6F25E" wp14:editId="7F4CF90D">
            <wp:simplePos x="0" y="0"/>
            <wp:positionH relativeFrom="margin">
              <wp:align>left</wp:align>
            </wp:positionH>
            <wp:positionV relativeFrom="paragraph">
              <wp:posOffset>63500</wp:posOffset>
            </wp:positionV>
            <wp:extent cx="768389" cy="342918"/>
            <wp:effectExtent l="0" t="0" r="0" b="0"/>
            <wp:wrapNone/>
            <wp:docPr id="920013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13904" name="Picture 920013904"/>
                    <pic:cNvPicPr/>
                  </pic:nvPicPr>
                  <pic:blipFill>
                    <a:blip r:embed="rId35">
                      <a:extLst>
                        <a:ext uri="{28A0092B-C50C-407E-A947-70E740481C1C}">
                          <a14:useLocalDpi xmlns:a14="http://schemas.microsoft.com/office/drawing/2010/main" val="0"/>
                        </a:ext>
                      </a:extLst>
                    </a:blip>
                    <a:stretch>
                      <a:fillRect/>
                    </a:stretch>
                  </pic:blipFill>
                  <pic:spPr>
                    <a:xfrm>
                      <a:off x="0" y="0"/>
                      <a:ext cx="768389" cy="342918"/>
                    </a:xfrm>
                    <a:prstGeom prst="rect">
                      <a:avLst/>
                    </a:prstGeom>
                  </pic:spPr>
                </pic:pic>
              </a:graphicData>
            </a:graphic>
          </wp:anchor>
        </w:drawing>
      </w:r>
      <w:r w:rsidR="00A815B6" w:rsidRPr="002E6014">
        <w:rPr>
          <w:lang w:val="ru-RU"/>
        </w:rPr>
        <w:t>Сейдзо Оноэ</w:t>
      </w:r>
      <w:r w:rsidR="00DD68CA" w:rsidRPr="002E6014">
        <w:rPr>
          <w:szCs w:val="22"/>
          <w:lang w:val="ru-RU"/>
        </w:rPr>
        <w:br/>
        <w:t>Директор Бюро</w:t>
      </w:r>
      <w:r w:rsidR="00DD68CA" w:rsidRPr="002E6014">
        <w:rPr>
          <w:szCs w:val="22"/>
          <w:lang w:val="ru-RU"/>
        </w:rPr>
        <w:br/>
        <w:t>стандартизации электросвязи</w:t>
      </w:r>
    </w:p>
    <w:sectPr w:rsidR="00DD68CA" w:rsidRPr="002E6014" w:rsidSect="00721E64">
      <w:headerReference w:type="default" r:id="rId36"/>
      <w:footerReference w:type="default" r:id="rId37"/>
      <w:footerReference w:type="first" r:id="rId38"/>
      <w:pgSz w:w="11907" w:h="16840" w:code="9"/>
      <w:pgMar w:top="1418" w:right="1134" w:bottom="1418" w:left="1134"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A91B" w14:textId="77777777" w:rsidR="00DD0454" w:rsidRDefault="00DD0454">
      <w:r>
        <w:separator/>
      </w:r>
    </w:p>
  </w:endnote>
  <w:endnote w:type="continuationSeparator" w:id="0">
    <w:p w14:paraId="29411691" w14:textId="77777777" w:rsidR="00DD0454" w:rsidRDefault="00DD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85CC" w14:textId="535A9F40" w:rsidR="00B54B88" w:rsidRPr="00B54B88" w:rsidRDefault="00B54B88" w:rsidP="009166E1">
    <w:pPr>
      <w:pStyle w:val="Footer"/>
      <w:tabs>
        <w:tab w:val="clear" w:pos="4703"/>
        <w:tab w:val="clear" w:pos="9406"/>
        <w:tab w:val="center" w:pos="5387"/>
        <w:tab w:val="right" w:pos="9639"/>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38EC" w14:textId="77777777" w:rsidR="007652F9" w:rsidRPr="00671514" w:rsidRDefault="007652F9" w:rsidP="00AC4AD7">
    <w:pPr>
      <w:pStyle w:val="FirstFooter"/>
      <w:spacing w:before="0" w:line="240" w:lineRule="auto"/>
      <w:ind w:left="-397" w:right="-397"/>
      <w:jc w:val="center"/>
      <w:rPr>
        <w:rFonts w:asciiTheme="minorHAnsi" w:hAnsiTheme="minorHAnsi" w:cs="Times New Roman"/>
        <w:color w:val="0070C0"/>
        <w:sz w:val="18"/>
        <w:szCs w:val="18"/>
        <w:lang w:val="fr-CH"/>
      </w:rPr>
    </w:pPr>
    <w:r w:rsidRPr="00671514">
      <w:rPr>
        <w:rFonts w:asciiTheme="minorHAnsi" w:hAnsiTheme="minorHAnsi" w:cs="Times New Roman"/>
        <w:color w:val="0070C0"/>
        <w:sz w:val="18"/>
        <w:szCs w:val="18"/>
        <w:lang w:val="fr-CH"/>
      </w:rPr>
      <w:t xml:space="preserve">International </w:t>
    </w:r>
    <w:proofErr w:type="spellStart"/>
    <w:r w:rsidRPr="00671514">
      <w:rPr>
        <w:rFonts w:asciiTheme="minorHAnsi" w:hAnsiTheme="minorHAnsi" w:cs="Times New Roman"/>
        <w:color w:val="0070C0"/>
        <w:sz w:val="18"/>
        <w:szCs w:val="18"/>
        <w:lang w:val="fr-CH"/>
      </w:rPr>
      <w:t>Telecommunication</w:t>
    </w:r>
    <w:proofErr w:type="spellEnd"/>
    <w:r w:rsidRPr="00671514">
      <w:rPr>
        <w:rFonts w:asciiTheme="minorHAnsi" w:hAnsiTheme="minorHAnsi" w:cs="Times New Roman"/>
        <w:color w:val="0070C0"/>
        <w:sz w:val="18"/>
        <w:szCs w:val="18"/>
        <w:lang w:val="fr-CH"/>
      </w:rPr>
      <w:t xml:space="preserve"> Union • Place des Nations • CH</w:t>
    </w:r>
    <w:r w:rsidRPr="00671514">
      <w:rPr>
        <w:rFonts w:asciiTheme="minorHAnsi" w:hAnsiTheme="minorHAnsi" w:cs="Times New Roman"/>
        <w:color w:val="0070C0"/>
        <w:sz w:val="18"/>
        <w:szCs w:val="18"/>
        <w:lang w:val="fr-CH"/>
      </w:rPr>
      <w:noBreakHyphen/>
      <w:t xml:space="preserve">1211 Geneva 20 • </w:t>
    </w:r>
    <w:proofErr w:type="spellStart"/>
    <w:r w:rsidRPr="00671514">
      <w:rPr>
        <w:rFonts w:asciiTheme="minorHAnsi" w:hAnsiTheme="minorHAnsi" w:cs="Times New Roman"/>
        <w:color w:val="0070C0"/>
        <w:sz w:val="18"/>
        <w:szCs w:val="18"/>
        <w:lang w:val="fr-CH"/>
      </w:rPr>
      <w:t>Switzerland</w:t>
    </w:r>
    <w:proofErr w:type="spellEnd"/>
    <w:r w:rsidRPr="00671514">
      <w:rPr>
        <w:rFonts w:asciiTheme="minorHAnsi" w:hAnsiTheme="minorHAnsi" w:cs="Times New Roman"/>
        <w:color w:val="0070C0"/>
        <w:sz w:val="18"/>
        <w:szCs w:val="18"/>
        <w:lang w:val="fr-CH"/>
      </w:rPr>
      <w:br/>
    </w:r>
    <w:proofErr w:type="spellStart"/>
    <w:proofErr w:type="gramStart"/>
    <w:r w:rsidRPr="00671514">
      <w:rPr>
        <w:rFonts w:asciiTheme="minorHAnsi" w:hAnsiTheme="minorHAnsi" w:cs="Times New Roman"/>
        <w:color w:val="0070C0"/>
        <w:sz w:val="18"/>
        <w:szCs w:val="18"/>
        <w:lang w:val="fr-CH"/>
      </w:rPr>
      <w:t>Тел</w:t>
    </w:r>
    <w:proofErr w:type="spellEnd"/>
    <w:r w:rsidRPr="00671514">
      <w:rPr>
        <w:rFonts w:asciiTheme="minorHAnsi" w:hAnsiTheme="minorHAnsi" w:cs="Times New Roman"/>
        <w:color w:val="0070C0"/>
        <w:sz w:val="18"/>
        <w:szCs w:val="18"/>
        <w:lang w:val="fr-CH"/>
      </w:rPr>
      <w:t>:</w:t>
    </w:r>
    <w:proofErr w:type="gramEnd"/>
    <w:r w:rsidRPr="00671514">
      <w:rPr>
        <w:rFonts w:asciiTheme="minorHAnsi" w:hAnsiTheme="minorHAnsi" w:cs="Times New Roman"/>
        <w:color w:val="0070C0"/>
        <w:sz w:val="18"/>
        <w:szCs w:val="18"/>
        <w:lang w:val="fr-CH"/>
      </w:rPr>
      <w:t xml:space="preserve"> +41 22 730 5111 • </w:t>
    </w:r>
    <w:proofErr w:type="spellStart"/>
    <w:proofErr w:type="gramStart"/>
    <w:r w:rsidRPr="00671514">
      <w:rPr>
        <w:rFonts w:asciiTheme="minorHAnsi" w:hAnsiTheme="minorHAnsi" w:cs="Times New Roman"/>
        <w:color w:val="0070C0"/>
        <w:sz w:val="18"/>
        <w:szCs w:val="18"/>
        <w:lang w:val="fr-CH"/>
      </w:rPr>
      <w:t>Факс</w:t>
    </w:r>
    <w:proofErr w:type="spellEnd"/>
    <w:r w:rsidRPr="00671514">
      <w:rPr>
        <w:rFonts w:asciiTheme="minorHAnsi" w:hAnsiTheme="minorHAnsi" w:cs="Times New Roman"/>
        <w:color w:val="0070C0"/>
        <w:sz w:val="18"/>
        <w:szCs w:val="18"/>
        <w:lang w:val="fr-CH"/>
      </w:rPr>
      <w:t>:</w:t>
    </w:r>
    <w:proofErr w:type="gramEnd"/>
    <w:r w:rsidRPr="00671514">
      <w:rPr>
        <w:rFonts w:asciiTheme="minorHAnsi" w:hAnsiTheme="minorHAnsi" w:cs="Times New Roman"/>
        <w:color w:val="0070C0"/>
        <w:sz w:val="18"/>
        <w:szCs w:val="18"/>
        <w:lang w:val="fr-CH"/>
      </w:rPr>
      <w:t xml:space="preserve"> +41 22 733 7256 • </w:t>
    </w:r>
    <w:proofErr w:type="spellStart"/>
    <w:r w:rsidRPr="00671514">
      <w:rPr>
        <w:rFonts w:asciiTheme="minorHAnsi" w:hAnsiTheme="minorHAnsi" w:cs="Times New Roman"/>
        <w:color w:val="0070C0"/>
        <w:sz w:val="18"/>
        <w:szCs w:val="18"/>
        <w:lang w:val="fr-CH"/>
      </w:rPr>
      <w:t>Эл</w:t>
    </w:r>
    <w:proofErr w:type="spellEnd"/>
    <w:r w:rsidRPr="00671514">
      <w:rPr>
        <w:rFonts w:asciiTheme="minorHAnsi" w:hAnsiTheme="minorHAnsi" w:cs="Times New Roman"/>
        <w:color w:val="0070C0"/>
        <w:sz w:val="18"/>
        <w:szCs w:val="18"/>
        <w:lang w:val="fr-CH"/>
      </w:rPr>
      <w:t xml:space="preserve">. </w:t>
    </w:r>
    <w:proofErr w:type="spellStart"/>
    <w:proofErr w:type="gramStart"/>
    <w:r w:rsidRPr="00671514">
      <w:rPr>
        <w:rFonts w:asciiTheme="minorHAnsi" w:hAnsiTheme="minorHAnsi" w:cs="Times New Roman"/>
        <w:color w:val="0070C0"/>
        <w:sz w:val="18"/>
        <w:szCs w:val="18"/>
        <w:lang w:val="fr-CH"/>
      </w:rPr>
      <w:t>почта</w:t>
    </w:r>
    <w:proofErr w:type="spellEnd"/>
    <w:r w:rsidRPr="00671514">
      <w:rPr>
        <w:rFonts w:asciiTheme="minorHAnsi" w:hAnsiTheme="minorHAnsi" w:cs="Times New Roman"/>
        <w:color w:val="0070C0"/>
        <w:sz w:val="18"/>
        <w:szCs w:val="18"/>
        <w:lang w:val="fr-CH"/>
      </w:rPr>
      <w:t>:</w:t>
    </w:r>
    <w:proofErr w:type="gramEnd"/>
    <w:r w:rsidRPr="00671514">
      <w:rPr>
        <w:rFonts w:asciiTheme="minorHAnsi" w:hAnsiTheme="minorHAnsi" w:cs="Times New Roman"/>
        <w:color w:val="0070C0"/>
        <w:sz w:val="18"/>
        <w:szCs w:val="18"/>
        <w:lang w:val="fr-CH"/>
      </w:rPr>
      <w:t xml:space="preserve"> </w:t>
    </w:r>
    <w:hyperlink r:id="rId1" w:history="1">
      <w:r w:rsidRPr="00671514">
        <w:rPr>
          <w:rStyle w:val="Hyperlink"/>
          <w:color w:val="0070C0"/>
          <w:sz w:val="18"/>
          <w:szCs w:val="24"/>
          <w:lang w:val="fr-CH"/>
        </w:rPr>
        <w:t>itumail@itu.int</w:t>
      </w:r>
    </w:hyperlink>
    <w:r w:rsidRPr="00671514">
      <w:rPr>
        <w:rFonts w:asciiTheme="minorHAnsi" w:hAnsiTheme="minorHAnsi" w:cs="Times New Roman"/>
        <w:color w:val="0070C0"/>
        <w:sz w:val="18"/>
        <w:szCs w:val="18"/>
        <w:lang w:val="fr-CH"/>
      </w:rPr>
      <w:t xml:space="preserve"> • </w:t>
    </w:r>
    <w:hyperlink r:id="rId2" w:history="1">
      <w:r w:rsidRPr="00671514">
        <w:rPr>
          <w:rStyle w:val="Hyperlink"/>
          <w:color w:val="0070C0"/>
          <w:sz w:val="18"/>
          <w:szCs w:val="2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C792" w14:textId="77777777" w:rsidR="00DD0454" w:rsidRDefault="00DD0454">
      <w:r>
        <w:separator/>
      </w:r>
    </w:p>
  </w:footnote>
  <w:footnote w:type="continuationSeparator" w:id="0">
    <w:p w14:paraId="6927553C" w14:textId="77777777" w:rsidR="00DD0454" w:rsidRDefault="00DD0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BEA1" w14:textId="2A12D99F" w:rsidR="00B54B88" w:rsidRDefault="00B54B88">
    <w:pPr>
      <w:pStyle w:val="Header"/>
    </w:pPr>
    <w:r>
      <w:t xml:space="preserve">- </w:t>
    </w:r>
    <w:sdt>
      <w:sdtPr>
        <w:id w:val="20254328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D68CA">
          <w:rPr>
            <w:noProof/>
          </w:rPr>
          <w:t>2</w:t>
        </w:r>
        <w:r>
          <w:rPr>
            <w:noProof/>
          </w:rPr>
          <w:fldChar w:fldCharType="end"/>
        </w:r>
        <w:r>
          <w:rPr>
            <w:noProof/>
          </w:rPr>
          <w:t xml:space="preserve"> -</w:t>
        </w:r>
      </w:sdtContent>
    </w:sdt>
    <w:r w:rsidR="00DD0454">
      <w:rPr>
        <w:noProof/>
      </w:rPr>
      <w:br/>
    </w:r>
    <w:r w:rsidR="00721E64">
      <w:rPr>
        <w:rStyle w:val="PageNumber"/>
        <w:lang w:val="ru-RU"/>
      </w:rPr>
      <w:t>Циркуляр 1</w:t>
    </w:r>
    <w:r w:rsidR="00721E64">
      <w:rPr>
        <w:rStyle w:val="PageNumber"/>
      </w:rPr>
      <w:t>3</w:t>
    </w:r>
    <w:r w:rsidR="00721E64">
      <w:rPr>
        <w:rStyle w:val="PageNumber"/>
        <w:lang w:val="ru-RU"/>
      </w:rPr>
      <w:t>5 БСЭ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CA88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6855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3A89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52BC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5E1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4C2E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B2EB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FCBF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DA59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0EF1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9F44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EC6A4A"/>
    <w:multiLevelType w:val="multilevel"/>
    <w:tmpl w:val="C3727700"/>
    <w:lvl w:ilvl="0">
      <w:start w:val="1992"/>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C2453AF"/>
    <w:multiLevelType w:val="hybridMultilevel"/>
    <w:tmpl w:val="A4A25A6E"/>
    <w:lvl w:ilvl="0" w:tplc="40BE33B6">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4E6045"/>
    <w:multiLevelType w:val="singleLevel"/>
    <w:tmpl w:val="15DE5808"/>
    <w:lvl w:ilvl="0">
      <w:numFmt w:val="bullet"/>
      <w:lvlText w:val="-"/>
      <w:lvlJc w:val="left"/>
      <w:pPr>
        <w:tabs>
          <w:tab w:val="num" w:pos="360"/>
        </w:tabs>
        <w:ind w:left="360" w:hanging="360"/>
      </w:pPr>
      <w:rPr>
        <w:rFonts w:ascii="Times New Roman" w:hAnsi="Times New Roman" w:hint="default"/>
        <w:sz w:val="21"/>
      </w:rPr>
    </w:lvl>
  </w:abstractNum>
  <w:abstractNum w:abstractNumId="15" w15:restartNumberingAfterBreak="0">
    <w:nsid w:val="220D7432"/>
    <w:multiLevelType w:val="multilevel"/>
    <w:tmpl w:val="3CB2DA18"/>
    <w:lvl w:ilvl="0">
      <w:start w:val="1990"/>
      <w:numFmt w:val="decimal"/>
      <w:lvlText w:val="%1"/>
      <w:lvlJc w:val="left"/>
      <w:pPr>
        <w:tabs>
          <w:tab w:val="num" w:pos="1440"/>
        </w:tabs>
        <w:ind w:left="1440" w:hanging="1440"/>
      </w:pPr>
      <w:rPr>
        <w:rFonts w:hint="default"/>
      </w:rPr>
    </w:lvl>
    <w:lvl w:ilvl="1">
      <w:start w:val="199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57A3A8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7" w15:restartNumberingAfterBreak="0">
    <w:nsid w:val="374C21E5"/>
    <w:multiLevelType w:val="hybridMultilevel"/>
    <w:tmpl w:val="183052CA"/>
    <w:lvl w:ilvl="0" w:tplc="EF8214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AF4787"/>
    <w:multiLevelType w:val="multilevel"/>
    <w:tmpl w:val="B2027FE8"/>
    <w:lvl w:ilvl="0">
      <w:start w:val="1979"/>
      <w:numFmt w:val="decimal"/>
      <w:lvlText w:val="%1"/>
      <w:lvlJc w:val="left"/>
      <w:pPr>
        <w:tabs>
          <w:tab w:val="num" w:pos="1035"/>
        </w:tabs>
        <w:ind w:left="1035" w:hanging="1035"/>
      </w:pPr>
      <w:rPr>
        <w:rFonts w:hint="default"/>
      </w:rPr>
    </w:lvl>
    <w:lvl w:ilvl="1">
      <w:start w:val="1983"/>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591128"/>
    <w:multiLevelType w:val="multilevel"/>
    <w:tmpl w:val="B732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C7D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DC357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EE135A7"/>
    <w:multiLevelType w:val="singleLevel"/>
    <w:tmpl w:val="54861FBA"/>
    <w:lvl w:ilvl="0">
      <w:start w:val="1"/>
      <w:numFmt w:val="bullet"/>
      <w:lvlText w:val=""/>
      <w:lvlJc w:val="left"/>
      <w:pPr>
        <w:tabs>
          <w:tab w:val="num" w:pos="360"/>
        </w:tabs>
        <w:ind w:left="360" w:hanging="360"/>
      </w:pPr>
      <w:rPr>
        <w:rFonts w:ascii="Symbol" w:hAnsi="Symbol" w:hint="default"/>
        <w:lang w:val="ru-RU"/>
      </w:rPr>
    </w:lvl>
  </w:abstractNum>
  <w:abstractNum w:abstractNumId="23" w15:restartNumberingAfterBreak="0">
    <w:nsid w:val="613B4ED3"/>
    <w:multiLevelType w:val="multilevel"/>
    <w:tmpl w:val="701692F0"/>
    <w:lvl w:ilvl="0">
      <w:start w:val="1984"/>
      <w:numFmt w:val="decimal"/>
      <w:lvlText w:val="%1"/>
      <w:lvlJc w:val="left"/>
      <w:pPr>
        <w:tabs>
          <w:tab w:val="num" w:pos="1035"/>
        </w:tabs>
        <w:ind w:left="1035" w:hanging="1035"/>
      </w:pPr>
      <w:rPr>
        <w:rFonts w:hint="default"/>
      </w:rPr>
    </w:lvl>
    <w:lvl w:ilvl="1">
      <w:start w:val="1985"/>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B40CC7"/>
    <w:multiLevelType w:val="hybridMultilevel"/>
    <w:tmpl w:val="788ABB2C"/>
    <w:lvl w:ilvl="0" w:tplc="6FCC4FF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CD3D6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64418327">
    <w:abstractNumId w:val="20"/>
  </w:num>
  <w:num w:numId="2" w16cid:durableId="1456950427">
    <w:abstractNumId w:val="15"/>
  </w:num>
  <w:num w:numId="3" w16cid:durableId="471364242">
    <w:abstractNumId w:val="26"/>
  </w:num>
  <w:num w:numId="4" w16cid:durableId="1738280842">
    <w:abstractNumId w:val="12"/>
  </w:num>
  <w:num w:numId="5" w16cid:durableId="290329939">
    <w:abstractNumId w:val="21"/>
  </w:num>
  <w:num w:numId="6" w16cid:durableId="596402489">
    <w:abstractNumId w:val="11"/>
  </w:num>
  <w:num w:numId="7" w16cid:durableId="195847848">
    <w:abstractNumId w:val="23"/>
  </w:num>
  <w:num w:numId="8" w16cid:durableId="1782341371">
    <w:abstractNumId w:val="18"/>
  </w:num>
  <w:num w:numId="9" w16cid:durableId="297492829">
    <w:abstractNumId w:val="19"/>
  </w:num>
  <w:num w:numId="10" w16cid:durableId="1578713688">
    <w:abstractNumId w:val="14"/>
  </w:num>
  <w:num w:numId="11" w16cid:durableId="1787852321">
    <w:abstractNumId w:val="22"/>
  </w:num>
  <w:num w:numId="12" w16cid:durableId="484249593">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3" w16cid:durableId="755324824">
    <w:abstractNumId w:val="16"/>
  </w:num>
  <w:num w:numId="14" w16cid:durableId="338388796">
    <w:abstractNumId w:val="17"/>
  </w:num>
  <w:num w:numId="15" w16cid:durableId="43607854">
    <w:abstractNumId w:val="13"/>
  </w:num>
  <w:num w:numId="16" w16cid:durableId="540018201">
    <w:abstractNumId w:val="25"/>
  </w:num>
  <w:num w:numId="17" w16cid:durableId="1767847574">
    <w:abstractNumId w:val="24"/>
  </w:num>
  <w:num w:numId="18" w16cid:durableId="1739940795">
    <w:abstractNumId w:val="9"/>
  </w:num>
  <w:num w:numId="19" w16cid:durableId="887034820">
    <w:abstractNumId w:val="7"/>
  </w:num>
  <w:num w:numId="20" w16cid:durableId="1731613263">
    <w:abstractNumId w:val="6"/>
  </w:num>
  <w:num w:numId="21" w16cid:durableId="1708990457">
    <w:abstractNumId w:val="5"/>
  </w:num>
  <w:num w:numId="22" w16cid:durableId="805321174">
    <w:abstractNumId w:val="4"/>
  </w:num>
  <w:num w:numId="23" w16cid:durableId="474681719">
    <w:abstractNumId w:val="8"/>
  </w:num>
  <w:num w:numId="24" w16cid:durableId="452138871">
    <w:abstractNumId w:val="3"/>
  </w:num>
  <w:num w:numId="25" w16cid:durableId="214976601">
    <w:abstractNumId w:val="2"/>
  </w:num>
  <w:num w:numId="26" w16cid:durableId="1177694782">
    <w:abstractNumId w:val="1"/>
  </w:num>
  <w:num w:numId="27" w16cid:durableId="1893075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ru-RU" w:vendorID="1" w:dllVersion="512" w:checkStyle="1"/>
  <w:activeWritingStyle w:appName="MSWord" w:lang="fr-FR" w:vendorID="9" w:dllVersion="512"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54"/>
    <w:rsid w:val="000107D2"/>
    <w:rsid w:val="00012C4F"/>
    <w:rsid w:val="00022027"/>
    <w:rsid w:val="00024565"/>
    <w:rsid w:val="0003235D"/>
    <w:rsid w:val="00082B7B"/>
    <w:rsid w:val="00095EA0"/>
    <w:rsid w:val="000C2147"/>
    <w:rsid w:val="000C7D98"/>
    <w:rsid w:val="00103310"/>
    <w:rsid w:val="00115B49"/>
    <w:rsid w:val="001626BA"/>
    <w:rsid w:val="001629DC"/>
    <w:rsid w:val="001B4A74"/>
    <w:rsid w:val="001D261C"/>
    <w:rsid w:val="00207341"/>
    <w:rsid w:val="0025701E"/>
    <w:rsid w:val="0026232A"/>
    <w:rsid w:val="002736E9"/>
    <w:rsid w:val="002B37F9"/>
    <w:rsid w:val="002D06B7"/>
    <w:rsid w:val="002D26FD"/>
    <w:rsid w:val="002E4C41"/>
    <w:rsid w:val="002E6014"/>
    <w:rsid w:val="0033434F"/>
    <w:rsid w:val="00340304"/>
    <w:rsid w:val="003F5B77"/>
    <w:rsid w:val="00415128"/>
    <w:rsid w:val="004167E6"/>
    <w:rsid w:val="0041688E"/>
    <w:rsid w:val="00444B73"/>
    <w:rsid w:val="00455EFA"/>
    <w:rsid w:val="004650C7"/>
    <w:rsid w:val="00475A27"/>
    <w:rsid w:val="00495F13"/>
    <w:rsid w:val="004A0D07"/>
    <w:rsid w:val="004C5268"/>
    <w:rsid w:val="004E01AE"/>
    <w:rsid w:val="004F48F0"/>
    <w:rsid w:val="00514426"/>
    <w:rsid w:val="005D044D"/>
    <w:rsid w:val="005D271B"/>
    <w:rsid w:val="005E616E"/>
    <w:rsid w:val="005F761F"/>
    <w:rsid w:val="006139B2"/>
    <w:rsid w:val="00625BAF"/>
    <w:rsid w:val="00636D90"/>
    <w:rsid w:val="00671514"/>
    <w:rsid w:val="006777D5"/>
    <w:rsid w:val="006E5691"/>
    <w:rsid w:val="006F1984"/>
    <w:rsid w:val="00701561"/>
    <w:rsid w:val="0071361F"/>
    <w:rsid w:val="00717255"/>
    <w:rsid w:val="00721E64"/>
    <w:rsid w:val="0072783D"/>
    <w:rsid w:val="0073537C"/>
    <w:rsid w:val="00741C5B"/>
    <w:rsid w:val="0074299E"/>
    <w:rsid w:val="00753F18"/>
    <w:rsid w:val="00763FF3"/>
    <w:rsid w:val="007652F9"/>
    <w:rsid w:val="007752C4"/>
    <w:rsid w:val="0079397B"/>
    <w:rsid w:val="007D0BFA"/>
    <w:rsid w:val="00803BC4"/>
    <w:rsid w:val="00826CB4"/>
    <w:rsid w:val="00831FDC"/>
    <w:rsid w:val="00832A5A"/>
    <w:rsid w:val="00847FBC"/>
    <w:rsid w:val="00867192"/>
    <w:rsid w:val="00871131"/>
    <w:rsid w:val="008863B5"/>
    <w:rsid w:val="008C5C0E"/>
    <w:rsid w:val="008C7044"/>
    <w:rsid w:val="008E0925"/>
    <w:rsid w:val="009166E1"/>
    <w:rsid w:val="009344BF"/>
    <w:rsid w:val="009469D2"/>
    <w:rsid w:val="009979B5"/>
    <w:rsid w:val="009A2C9B"/>
    <w:rsid w:val="009B6144"/>
    <w:rsid w:val="00A10C65"/>
    <w:rsid w:val="00A21DD2"/>
    <w:rsid w:val="00A563C7"/>
    <w:rsid w:val="00A57977"/>
    <w:rsid w:val="00A654CA"/>
    <w:rsid w:val="00A66C90"/>
    <w:rsid w:val="00A815B6"/>
    <w:rsid w:val="00A8170F"/>
    <w:rsid w:val="00A91EB5"/>
    <w:rsid w:val="00AC4AD7"/>
    <w:rsid w:val="00AD3D11"/>
    <w:rsid w:val="00AF19CE"/>
    <w:rsid w:val="00AF2B53"/>
    <w:rsid w:val="00B34D84"/>
    <w:rsid w:val="00B54B88"/>
    <w:rsid w:val="00BC33B4"/>
    <w:rsid w:val="00BF3687"/>
    <w:rsid w:val="00C22D6C"/>
    <w:rsid w:val="00C60E38"/>
    <w:rsid w:val="00C623F1"/>
    <w:rsid w:val="00C636EB"/>
    <w:rsid w:val="00CA7B14"/>
    <w:rsid w:val="00D040F2"/>
    <w:rsid w:val="00D407BA"/>
    <w:rsid w:val="00D47122"/>
    <w:rsid w:val="00D83022"/>
    <w:rsid w:val="00D911F5"/>
    <w:rsid w:val="00DA1127"/>
    <w:rsid w:val="00DC6716"/>
    <w:rsid w:val="00DD0454"/>
    <w:rsid w:val="00DD2CE8"/>
    <w:rsid w:val="00DD68CA"/>
    <w:rsid w:val="00DE5455"/>
    <w:rsid w:val="00DF012B"/>
    <w:rsid w:val="00DF109B"/>
    <w:rsid w:val="00E07386"/>
    <w:rsid w:val="00E14A1A"/>
    <w:rsid w:val="00E17F1A"/>
    <w:rsid w:val="00E32AA0"/>
    <w:rsid w:val="00E45C46"/>
    <w:rsid w:val="00E645B4"/>
    <w:rsid w:val="00EC5E44"/>
    <w:rsid w:val="00EF273F"/>
    <w:rsid w:val="00F1219B"/>
    <w:rsid w:val="00F15118"/>
    <w:rsid w:val="00F205F5"/>
    <w:rsid w:val="00F547E0"/>
    <w:rsid w:val="00F830DA"/>
    <w:rsid w:val="00F83892"/>
    <w:rsid w:val="00F8473D"/>
    <w:rsid w:val="00F8789D"/>
    <w:rsid w:val="00F93AEE"/>
    <w:rsid w:val="00FC019B"/>
    <w:rsid w:val="00FD353E"/>
    <w:rsid w:val="00FE3F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A5EE2"/>
  <w15:docId w15:val="{9168F5E2-D581-45E5-AE9A-7FE957DC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C4F"/>
    <w:pPr>
      <w:tabs>
        <w:tab w:val="left" w:pos="794"/>
        <w:tab w:val="left" w:pos="1191"/>
        <w:tab w:val="left" w:pos="1588"/>
        <w:tab w:val="left" w:pos="1985"/>
      </w:tabs>
      <w:spacing w:before="120"/>
    </w:pPr>
    <w:rPr>
      <w:rFonts w:asciiTheme="minorHAnsi" w:hAnsiTheme="minorHAnsi"/>
      <w:sz w:val="22"/>
      <w:szCs w:val="24"/>
      <w:lang w:eastAsia="en-US"/>
    </w:rPr>
  </w:style>
  <w:style w:type="paragraph" w:styleId="Heading1">
    <w:name w:val="heading 1"/>
    <w:basedOn w:val="Normal"/>
    <w:next w:val="Normal"/>
    <w:qFormat/>
    <w:pPr>
      <w:keepNext/>
      <w:jc w:val="center"/>
      <w:outlineLvl w:val="0"/>
    </w:pPr>
    <w:rPr>
      <w:rFonts w:cs="Arial"/>
      <w:b/>
      <w:bCs/>
      <w:color w:val="000000"/>
      <w:sz w:val="20"/>
      <w:szCs w:val="20"/>
    </w:rPr>
  </w:style>
  <w:style w:type="paragraph" w:styleId="Heading2">
    <w:name w:val="heading 2"/>
    <w:basedOn w:val="Normal"/>
    <w:next w:val="Normal"/>
    <w:qFormat/>
    <w:pPr>
      <w:keepNext/>
      <w:widowControl w:val="0"/>
      <w:autoSpaceDE w:val="0"/>
      <w:autoSpaceDN w:val="0"/>
      <w:adjustRightInd w:val="0"/>
      <w:jc w:val="center"/>
      <w:outlineLvl w:val="1"/>
    </w:pPr>
    <w:rPr>
      <w:b/>
      <w:bCs/>
      <w:sz w:val="20"/>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b/>
      <w:bCs/>
      <w:i/>
      <w:iCs/>
      <w:lang w:val="ru-RU"/>
    </w:rPr>
  </w:style>
  <w:style w:type="paragraph" w:styleId="Heading5">
    <w:name w:val="heading 5"/>
    <w:basedOn w:val="Normal"/>
    <w:next w:val="Normal"/>
    <w:qFormat/>
    <w:pPr>
      <w:keepNext/>
      <w:pageBreakBefore/>
      <w:tabs>
        <w:tab w:val="right" w:pos="8647"/>
      </w:tabs>
      <w:spacing w:before="660"/>
      <w:ind w:left="-86" w:firstLine="86"/>
      <w:outlineLvl w:val="4"/>
    </w:pPr>
    <w:rPr>
      <w:spacing w:val="40"/>
      <w:sz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50C7"/>
    <w:pPr>
      <w:tabs>
        <w:tab w:val="clear" w:pos="794"/>
        <w:tab w:val="clear" w:pos="1191"/>
        <w:tab w:val="clear" w:pos="1588"/>
        <w:tab w:val="clear" w:pos="1985"/>
      </w:tabs>
      <w:spacing w:before="0"/>
      <w:jc w:val="center"/>
    </w:pPr>
    <w:rPr>
      <w:sz w:val="18"/>
    </w:rPr>
  </w:style>
  <w:style w:type="paragraph" w:styleId="Footer">
    <w:name w:val="footer"/>
    <w:basedOn w:val="Normal"/>
    <w:link w:val="FooterChar"/>
    <w:rsid w:val="00B54B88"/>
    <w:pPr>
      <w:tabs>
        <w:tab w:val="center" w:pos="4703"/>
        <w:tab w:val="right" w:pos="9406"/>
      </w:tabs>
      <w:spacing w:before="0"/>
    </w:pPr>
    <w:rPr>
      <w:sz w:val="16"/>
    </w:rPr>
  </w:style>
  <w:style w:type="paragraph" w:styleId="BodyText">
    <w:name w:val="Body Text"/>
    <w:basedOn w:val="Normal"/>
    <w:link w:val="BodyTextChar"/>
    <w:rPr>
      <w:b/>
      <w:bCs/>
      <w:sz w:val="24"/>
    </w:rPr>
  </w:style>
  <w:style w:type="paragraph" w:styleId="Title">
    <w:name w:val="Title"/>
    <w:basedOn w:val="Normal"/>
    <w:qFormat/>
    <w:pPr>
      <w:jc w:val="center"/>
    </w:pPr>
    <w:rPr>
      <w:b/>
      <w:bCs/>
      <w:sz w:val="24"/>
    </w:rPr>
  </w:style>
  <w:style w:type="paragraph" w:customStyle="1" w:styleId="xl24">
    <w:name w:val="xl24"/>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z w:val="24"/>
    </w:rPr>
  </w:style>
  <w:style w:type="paragraph" w:customStyle="1" w:styleId="Bureau">
    <w:name w:val="Bureau"/>
    <w:basedOn w:val="Normal"/>
    <w:pPr>
      <w:tabs>
        <w:tab w:val="right" w:pos="8732"/>
      </w:tabs>
    </w:pPr>
    <w:rPr>
      <w:rFonts w:ascii="Futura Lt BT" w:hAnsi="Futura Lt BT"/>
      <w:i/>
      <w:sz w:val="28"/>
      <w:szCs w:val="20"/>
      <w:lang w:bidi="he-IL"/>
    </w:rPr>
  </w:style>
  <w:style w:type="paragraph" w:customStyle="1" w:styleId="Logo">
    <w:name w:val="Logo"/>
    <w:basedOn w:val="Normal"/>
    <w:pPr>
      <w:spacing w:before="100"/>
      <w:jc w:val="right"/>
    </w:pPr>
    <w:rPr>
      <w:rFonts w:ascii="Futura Lt BT" w:hAnsi="Futura Lt BT"/>
      <w:color w:val="FFFFFF"/>
      <w:sz w:val="20"/>
      <w:szCs w:val="20"/>
      <w:lang w:bidi="he-IL"/>
    </w:rPr>
  </w:style>
  <w:style w:type="paragraph" w:styleId="TOC1">
    <w:name w:val="toc 1"/>
    <w:basedOn w:val="Normal"/>
    <w:semiHidden/>
    <w:pPr>
      <w:tabs>
        <w:tab w:val="left" w:leader="dot" w:pos="8789"/>
        <w:tab w:val="right" w:pos="9639"/>
      </w:tabs>
      <w:overflowPunct w:val="0"/>
      <w:autoSpaceDE w:val="0"/>
      <w:autoSpaceDN w:val="0"/>
      <w:adjustRightInd w:val="0"/>
      <w:spacing w:before="200"/>
      <w:ind w:left="794" w:hanging="794"/>
      <w:textAlignment w:val="baseline"/>
    </w:pPr>
    <w:rPr>
      <w:sz w:val="24"/>
      <w:szCs w:val="20"/>
      <w:lang w:val="en-GB"/>
    </w:rPr>
  </w:style>
  <w:style w:type="paragraph" w:styleId="Index1">
    <w:name w:val="index 1"/>
    <w:basedOn w:val="Normal"/>
    <w:next w:val="Normal"/>
    <w:semiHidden/>
    <w:pPr>
      <w:overflowPunct w:val="0"/>
      <w:autoSpaceDE w:val="0"/>
      <w:autoSpaceDN w:val="0"/>
      <w:adjustRightInd w:val="0"/>
      <w:textAlignment w:val="baseline"/>
    </w:pPr>
    <w:rPr>
      <w:sz w:val="24"/>
      <w:szCs w:val="20"/>
      <w:lang w:val="en-GB"/>
    </w:rPr>
  </w:style>
  <w:style w:type="paragraph" w:customStyle="1" w:styleId="Table">
    <w:name w:val="Table_#"/>
    <w:basedOn w:val="Normal"/>
    <w:next w:val="Normal"/>
    <w:pPr>
      <w:keepNext/>
      <w:overflowPunct w:val="0"/>
      <w:autoSpaceDE w:val="0"/>
      <w:autoSpaceDN w:val="0"/>
      <w:adjustRightInd w:val="0"/>
      <w:spacing w:before="560" w:after="120"/>
      <w:jc w:val="center"/>
      <w:textAlignment w:val="baseline"/>
    </w:pPr>
    <w:rPr>
      <w:caps/>
      <w:sz w:val="24"/>
      <w:szCs w:val="20"/>
      <w:lang w:val="en-GB"/>
    </w:rPr>
  </w:style>
  <w:style w:type="paragraph" w:customStyle="1" w:styleId="AnnexTitle">
    <w:name w:val="Annex_Title"/>
    <w:basedOn w:val="Normal"/>
    <w:next w:val="Normal"/>
    <w:pPr>
      <w:keepNext/>
      <w:keepLines/>
      <w:overflowPunct w:val="0"/>
      <w:autoSpaceDE w:val="0"/>
      <w:autoSpaceDN w:val="0"/>
      <w:adjustRightInd w:val="0"/>
      <w:spacing w:before="240" w:after="280"/>
      <w:jc w:val="center"/>
      <w:textAlignment w:val="baseline"/>
    </w:pPr>
    <w:rPr>
      <w:b/>
      <w:sz w:val="24"/>
      <w:szCs w:val="20"/>
      <w:lang w:val="en-GB"/>
    </w:rPr>
  </w:style>
  <w:style w:type="paragraph" w:customStyle="1" w:styleId="toc0">
    <w:name w:val="toc 0"/>
    <w:basedOn w:val="Normal"/>
    <w:next w:val="TOC1"/>
    <w:pPr>
      <w:tabs>
        <w:tab w:val="right" w:pos="9781"/>
      </w:tabs>
      <w:overflowPunct w:val="0"/>
      <w:autoSpaceDE w:val="0"/>
      <w:autoSpaceDN w:val="0"/>
      <w:adjustRightInd w:val="0"/>
      <w:textAlignment w:val="baseline"/>
    </w:pPr>
    <w:rPr>
      <w:b/>
      <w:sz w:val="24"/>
      <w:szCs w:val="20"/>
      <w:lang w:val="en-GB"/>
    </w:rPr>
  </w:style>
  <w:style w:type="paragraph" w:styleId="BodyTextIndent">
    <w:name w:val="Body Text Indent"/>
    <w:basedOn w:val="Normal"/>
    <w:link w:val="BodyTextIndentChar"/>
    <w:pPr>
      <w:tabs>
        <w:tab w:val="left" w:pos="141"/>
      </w:tabs>
      <w:ind w:left="141" w:hanging="141"/>
    </w:pPr>
    <w:rPr>
      <w:sz w:val="24"/>
    </w:rPr>
  </w:style>
  <w:style w:type="paragraph" w:styleId="BodyTextIndent2">
    <w:name w:val="Body Text Indent 2"/>
    <w:basedOn w:val="Normal"/>
    <w:pPr>
      <w:tabs>
        <w:tab w:val="left" w:pos="284"/>
        <w:tab w:val="left" w:pos="4111"/>
      </w:tabs>
      <w:ind w:left="284" w:hanging="227"/>
    </w:pPr>
    <w:rPr>
      <w:lang w:val="ru-RU"/>
    </w:rPr>
  </w:style>
  <w:style w:type="paragraph" w:styleId="BodyText2">
    <w:name w:val="Body Text 2"/>
    <w:basedOn w:val="Normal"/>
    <w:rPr>
      <w:sz w:val="24"/>
    </w:rPr>
  </w:style>
  <w:style w:type="character" w:styleId="PageNumber">
    <w:name w:val="page number"/>
    <w:basedOn w:val="DefaultParagraphFont"/>
  </w:style>
  <w:style w:type="paragraph" w:customStyle="1" w:styleId="itu">
    <w:name w:val="itu"/>
    <w:basedOn w:val="Normal"/>
    <w:pPr>
      <w:tabs>
        <w:tab w:val="left" w:pos="709"/>
        <w:tab w:val="left" w:pos="1134"/>
      </w:tabs>
    </w:pPr>
    <w:rPr>
      <w:rFonts w:ascii="Futura Lt BT" w:hAnsi="Futura Lt BT"/>
      <w:sz w:val="18"/>
      <w:szCs w:val="20"/>
      <w:lang w:val="en-GB"/>
    </w:rPr>
  </w:style>
  <w:style w:type="character" w:styleId="Hyperlink">
    <w:name w:val="Hyperlink"/>
    <w:aliases w:val="超级链接,CEO_Hyperlink,超?级链,Style 58,超????,하이퍼링크2,超链接1"/>
    <w:qFormat/>
    <w:rPr>
      <w:color w:val="0000FF"/>
      <w:u w:val="single"/>
    </w:rPr>
  </w:style>
  <w:style w:type="paragraph" w:styleId="FootnoteText">
    <w:name w:val="footnote text"/>
    <w:basedOn w:val="Normal"/>
    <w:semiHidden/>
    <w:rsid w:val="00C22D6C"/>
    <w:rPr>
      <w:sz w:val="20"/>
      <w:szCs w:val="20"/>
    </w:rPr>
  </w:style>
  <w:style w:type="character" w:styleId="FootnoteReference">
    <w:name w:val="footnote reference"/>
    <w:semiHidden/>
    <w:rsid w:val="00C22D6C"/>
    <w:rPr>
      <w:position w:val="6"/>
      <w:sz w:val="16"/>
    </w:rPr>
  </w:style>
  <w:style w:type="paragraph" w:customStyle="1" w:styleId="LetterStart">
    <w:name w:val="Letter_Start"/>
    <w:basedOn w:val="Normal"/>
    <w:rsid w:val="00514426"/>
    <w:pPr>
      <w:tabs>
        <w:tab w:val="clear" w:pos="794"/>
        <w:tab w:val="clear" w:pos="1191"/>
        <w:tab w:val="clear" w:pos="1588"/>
        <w:tab w:val="clear" w:pos="1985"/>
        <w:tab w:val="left" w:pos="1361"/>
        <w:tab w:val="left" w:pos="1758"/>
        <w:tab w:val="left" w:pos="2155"/>
        <w:tab w:val="left" w:pos="2552"/>
      </w:tabs>
      <w:spacing w:before="284"/>
      <w:ind w:left="567"/>
    </w:pPr>
    <w:rPr>
      <w:szCs w:val="20"/>
      <w:lang w:val="en-GB"/>
    </w:rPr>
  </w:style>
  <w:style w:type="paragraph" w:customStyle="1" w:styleId="AnnexNo">
    <w:name w:val="Annex_No"/>
    <w:basedOn w:val="Normal"/>
    <w:next w:val="Normal"/>
    <w:rsid w:val="00514426"/>
    <w:pPr>
      <w:keepNext/>
      <w:keepLines/>
      <w:overflowPunct w:val="0"/>
      <w:autoSpaceDE w:val="0"/>
      <w:autoSpaceDN w:val="0"/>
      <w:adjustRightInd w:val="0"/>
      <w:spacing w:before="480" w:after="80"/>
      <w:jc w:val="center"/>
      <w:textAlignment w:val="baseline"/>
    </w:pPr>
    <w:rPr>
      <w:caps/>
      <w:sz w:val="28"/>
      <w:szCs w:val="20"/>
      <w:lang w:val="en-GB"/>
    </w:rPr>
  </w:style>
  <w:style w:type="character" w:customStyle="1" w:styleId="FooterChar">
    <w:name w:val="Footer Char"/>
    <w:basedOn w:val="DefaultParagraphFont"/>
    <w:link w:val="Footer"/>
    <w:rsid w:val="00B54B88"/>
    <w:rPr>
      <w:sz w:val="16"/>
      <w:szCs w:val="24"/>
      <w:lang w:eastAsia="en-US"/>
    </w:rPr>
  </w:style>
  <w:style w:type="character" w:customStyle="1" w:styleId="HeaderChar">
    <w:name w:val="Header Char"/>
    <w:basedOn w:val="DefaultParagraphFont"/>
    <w:link w:val="Header"/>
    <w:uiPriority w:val="99"/>
    <w:rsid w:val="004650C7"/>
    <w:rPr>
      <w:sz w:val="18"/>
      <w:szCs w:val="24"/>
      <w:lang w:eastAsia="en-US"/>
    </w:rPr>
  </w:style>
  <w:style w:type="paragraph" w:customStyle="1" w:styleId="TableText">
    <w:name w:val="Table_Text"/>
    <w:basedOn w:val="Normal"/>
    <w:rsid w:val="00444B7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Cs w:val="20"/>
      <w:lang w:val="en-GB"/>
    </w:rPr>
  </w:style>
  <w:style w:type="paragraph" w:styleId="TOC8">
    <w:name w:val="toc 8"/>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7">
    <w:name w:val="toc 7"/>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3">
    <w:name w:val="toc 3"/>
    <w:basedOn w:val="Normal"/>
    <w:next w:val="Normal"/>
    <w:autoRedefine/>
    <w:rsid w:val="004F48F0"/>
    <w:pPr>
      <w:tabs>
        <w:tab w:val="clear" w:pos="794"/>
        <w:tab w:val="clear" w:pos="1191"/>
        <w:tab w:val="clear" w:pos="1588"/>
        <w:tab w:val="clear" w:pos="1985"/>
      </w:tabs>
      <w:spacing w:after="100"/>
      <w:ind w:left="440"/>
    </w:pPr>
  </w:style>
  <w:style w:type="character" w:customStyle="1" w:styleId="BodyTextChar">
    <w:name w:val="Body Text Char"/>
    <w:basedOn w:val="DefaultParagraphFont"/>
    <w:link w:val="BodyText"/>
    <w:rsid w:val="004F48F0"/>
    <w:rPr>
      <w:b/>
      <w:bCs/>
      <w:sz w:val="24"/>
      <w:szCs w:val="24"/>
      <w:lang w:eastAsia="en-US"/>
    </w:rPr>
  </w:style>
  <w:style w:type="character" w:customStyle="1" w:styleId="BodyTextIndentChar">
    <w:name w:val="Body Text Indent Char"/>
    <w:basedOn w:val="DefaultParagraphFont"/>
    <w:link w:val="BodyTextIndent"/>
    <w:rsid w:val="004F48F0"/>
    <w:rPr>
      <w:sz w:val="24"/>
      <w:szCs w:val="24"/>
      <w:lang w:eastAsia="en-US"/>
    </w:rPr>
  </w:style>
  <w:style w:type="paragraph" w:customStyle="1" w:styleId="Normalaftertitle">
    <w:name w:val="Normal after title"/>
    <w:basedOn w:val="Normal"/>
    <w:next w:val="Normal"/>
    <w:link w:val="NormalaftertitleChar"/>
    <w:rsid w:val="00B54B88"/>
    <w:pPr>
      <w:tabs>
        <w:tab w:val="clear" w:pos="794"/>
        <w:tab w:val="clear" w:pos="1191"/>
        <w:tab w:val="clear" w:pos="1588"/>
        <w:tab w:val="clear" w:pos="1985"/>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FirstFooter">
    <w:name w:val="FirstFooter"/>
    <w:basedOn w:val="Normal"/>
    <w:rsid w:val="006E5691"/>
    <w:pPr>
      <w:tabs>
        <w:tab w:val="clear" w:pos="794"/>
        <w:tab w:val="clear" w:pos="1191"/>
        <w:tab w:val="clear" w:pos="1588"/>
        <w:tab w:val="clear" w:pos="1985"/>
      </w:tabs>
      <w:spacing w:before="40" w:line="280" w:lineRule="exact"/>
    </w:pPr>
    <w:rPr>
      <w:rFonts w:ascii="Calibri" w:hAnsi="Calibri" w:cs="Calibri"/>
      <w:sz w:val="16"/>
      <w:szCs w:val="22"/>
    </w:rPr>
  </w:style>
  <w:style w:type="character" w:customStyle="1" w:styleId="NormalaftertitleChar">
    <w:name w:val="Normal after title Char"/>
    <w:basedOn w:val="DefaultParagraphFont"/>
    <w:link w:val="Normalaftertitle"/>
    <w:locked/>
    <w:rsid w:val="00DD68CA"/>
    <w:rPr>
      <w:rFonts w:asciiTheme="minorHAnsi" w:hAnsiTheme="minorHAnsi"/>
      <w:sz w:val="22"/>
      <w:lang w:val="en-GB" w:eastAsia="en-US"/>
    </w:rPr>
  </w:style>
  <w:style w:type="character" w:styleId="FollowedHyperlink">
    <w:name w:val="FollowedHyperlink"/>
    <w:basedOn w:val="DefaultParagraphFont"/>
    <w:semiHidden/>
    <w:unhideWhenUsed/>
    <w:rsid w:val="00C636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364898">
      <w:bodyDiv w:val="1"/>
      <w:marLeft w:val="0"/>
      <w:marRight w:val="0"/>
      <w:marTop w:val="0"/>
      <w:marBottom w:val="0"/>
      <w:divBdr>
        <w:top w:val="none" w:sz="0" w:space="0" w:color="auto"/>
        <w:left w:val="none" w:sz="0" w:space="0" w:color="auto"/>
        <w:bottom w:val="none" w:sz="0" w:space="0" w:color="auto"/>
        <w:right w:val="none" w:sz="0" w:space="0" w:color="auto"/>
      </w:divBdr>
    </w:div>
    <w:div w:id="1630211314">
      <w:bodyDiv w:val="1"/>
      <w:marLeft w:val="0"/>
      <w:marRight w:val="0"/>
      <w:marTop w:val="0"/>
      <w:marBottom w:val="0"/>
      <w:divBdr>
        <w:top w:val="none" w:sz="0" w:space="0" w:color="auto"/>
        <w:left w:val="none" w:sz="0" w:space="0" w:color="auto"/>
        <w:bottom w:val="none" w:sz="0" w:space="0" w:color="auto"/>
        <w:right w:val="none" w:sz="0" w:space="0" w:color="auto"/>
      </w:divBdr>
    </w:div>
    <w:div w:id="183294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iforgood.itu.int/event/ai-in-disaster-resilience-bridging-science-standards-and-innovation/" TargetMode="External"/><Relationship Id="rId18" Type="http://schemas.openxmlformats.org/officeDocument/2006/relationships/hyperlink" Target="https://aiforgood.itu.int/summit26/" TargetMode="External"/><Relationship Id="rId26" Type="http://schemas.openxmlformats.org/officeDocument/2006/relationships/hyperlink" Target="https://www.itu.int/en/ITU-T/focusgroups/ai4ndm/Pages/default.aspx" TargetMode="External"/><Relationship Id="rId39" Type="http://schemas.openxmlformats.org/officeDocument/2006/relationships/fontTable" Target="fontTable.xml"/><Relationship Id="rId21" Type="http://schemas.openxmlformats.org/officeDocument/2006/relationships/hyperlink" Target="https://www.itu.int/en/ITU-T/extcoop/ai4resilience/Pages/default.aspx" TargetMode="External"/><Relationship Id="rId34" Type="http://schemas.openxmlformats.org/officeDocument/2006/relationships/hyperlink" Target="https://aiforgood.itu.int/summit26/" TargetMode="External"/><Relationship Id="rId7" Type="http://schemas.openxmlformats.org/officeDocument/2006/relationships/endnotes" Target="endnotes.xml"/><Relationship Id="rId12" Type="http://schemas.openxmlformats.org/officeDocument/2006/relationships/hyperlink" Target="https://aiforgood.itu.int/summit26/" TargetMode="External"/><Relationship Id="rId17" Type="http://schemas.openxmlformats.org/officeDocument/2006/relationships/hyperlink" Target="https://aiforgood.itu.int/summit26/" TargetMode="External"/><Relationship Id="rId25" Type="http://schemas.openxmlformats.org/officeDocument/2006/relationships/hyperlink" Target="https://www.itu.int/hub/2024/08/new-un-initiative-to-reduce-disaster-risk-with-ai/" TargetMode="External"/><Relationship Id="rId33" Type="http://schemas.openxmlformats.org/officeDocument/2006/relationships/hyperlink" Target="https://aiforgood.itu.int/summit26/"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iforgood.itu.int/summit26/" TargetMode="External"/><Relationship Id="rId20" Type="http://schemas.openxmlformats.org/officeDocument/2006/relationships/hyperlink" Target="https://aiforgood.itu.int/summit26/" TargetMode="External"/><Relationship Id="rId29" Type="http://schemas.openxmlformats.org/officeDocument/2006/relationships/hyperlink" Target="mailto:resiliencestandards@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extcoop/ai4resilience/Pages/default.aspx" TargetMode="External"/><Relationship Id="rId24" Type="http://schemas.openxmlformats.org/officeDocument/2006/relationships/hyperlink" Target="https://www.itu.int/en/ITU-T/focusgroups/ai4ndm/Pages/default.aspx" TargetMode="External"/><Relationship Id="rId32" Type="http://schemas.openxmlformats.org/officeDocument/2006/relationships/hyperlink" Target="https://www.itu.int/en/ITU-T/extcoop/ai4resilience/Pages/default.asp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iforgood.itu.int/event/ai-in-disaster-resilience-bridging-science-standards-and-innovation/" TargetMode="External"/><Relationship Id="rId23" Type="http://schemas.openxmlformats.org/officeDocument/2006/relationships/hyperlink" Target="https://www.itu.int/hub/2024/08/new-un-initiative-to-reduce-disaster-risk-with-ai/" TargetMode="External"/><Relationship Id="rId28" Type="http://schemas.openxmlformats.org/officeDocument/2006/relationships/hyperlink" Target="https://www.itu.int/en/ITU-T/extcoop/ai4resilience/Pages/default.aspx" TargetMode="External"/><Relationship Id="rId36" Type="http://schemas.openxmlformats.org/officeDocument/2006/relationships/header" Target="header1.xml"/><Relationship Id="rId10" Type="http://schemas.openxmlformats.org/officeDocument/2006/relationships/hyperlink" Target="mailto:resiliencestandards@itu.int" TargetMode="External"/><Relationship Id="rId19" Type="http://schemas.openxmlformats.org/officeDocument/2006/relationships/hyperlink" Target="https://aiforgood.itu.int/summit26/" TargetMode="External"/><Relationship Id="rId31" Type="http://schemas.openxmlformats.org/officeDocument/2006/relationships/hyperlink" Target="mailto:resiliencestandards@itu.int" TargetMode="External"/><Relationship Id="rId4" Type="http://schemas.openxmlformats.org/officeDocument/2006/relationships/settings" Target="settings.xml"/><Relationship Id="rId9" Type="http://schemas.openxmlformats.org/officeDocument/2006/relationships/hyperlink" Target="mailto:resiliencestandards@itu.int" TargetMode="External"/><Relationship Id="rId14" Type="http://schemas.openxmlformats.org/officeDocument/2006/relationships/hyperlink" Target="https://www.itu.int/en/ITU-T/extcoop/ai4resilience/Pages/default.aspx" TargetMode="External"/><Relationship Id="rId22" Type="http://schemas.openxmlformats.org/officeDocument/2006/relationships/hyperlink" Target="https://www.itu.int/en/ITU-T/extcoop/ai4resilience/Pages/default.aspx" TargetMode="External"/><Relationship Id="rId27" Type="http://schemas.openxmlformats.org/officeDocument/2006/relationships/hyperlink" Target="https://www.itu.int/en/ITU-T/extcoop/ai4resilience/Pages/default.aspx" TargetMode="External"/><Relationship Id="rId30" Type="http://schemas.openxmlformats.org/officeDocument/2006/relationships/hyperlink" Target="https://www.itu.int/en/ITU-T/extcoop/ai4resilience/Pages/default.aspx" TargetMode="External"/><Relationship Id="rId35"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kachev\AppData\Roaming\Microsoft\Templates\POOL%20R%20-%20ITU\TSB\PR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9694D-5A4A-4CE3-A190-2CC96F61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PR_TSB_Circular.dotx</Template>
  <TotalTime>21</TotalTime>
  <Pages>2</Pages>
  <Words>583</Words>
  <Characters>5892</Characters>
  <Application>Microsoft Office Word</Application>
  <DocSecurity>0</DocSecurity>
  <Lines>130</Lines>
  <Paragraphs>59</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6416</CharactersWithSpaces>
  <SharedDoc>false</SharedDoc>
  <HLinks>
    <vt:vector size="24" baseType="variant">
      <vt:variant>
        <vt:i4>5832781</vt:i4>
      </vt:variant>
      <vt:variant>
        <vt:i4>6</vt:i4>
      </vt:variant>
      <vt:variant>
        <vt:i4>0</vt:i4>
      </vt:variant>
      <vt:variant>
        <vt:i4>5</vt:i4>
      </vt:variant>
      <vt:variant>
        <vt:lpwstr>http://www.itu.int/itu-t/ipr/</vt:lpwstr>
      </vt:variant>
      <vt:variant>
        <vt:lpwstr/>
      </vt:variant>
      <vt:variant>
        <vt:i4>2424847</vt:i4>
      </vt:variant>
      <vt:variant>
        <vt:i4>3</vt:i4>
      </vt:variant>
      <vt:variant>
        <vt:i4>0</vt:i4>
      </vt:variant>
      <vt:variant>
        <vt:i4>5</vt:i4>
      </vt:variant>
      <vt:variant>
        <vt:lpwstr>mailto:tsbsg17@itu.int</vt:lpwstr>
      </vt:variant>
      <vt:variant>
        <vt:lpwstr/>
      </vt:variant>
      <vt:variant>
        <vt:i4>3932176</vt:i4>
      </vt:variant>
      <vt:variant>
        <vt:i4>0</vt:i4>
      </vt:variant>
      <vt:variant>
        <vt:i4>0</vt:i4>
      </vt:variant>
      <vt:variant>
        <vt:i4>5</vt:i4>
      </vt:variant>
      <vt:variant>
        <vt:lpwstr>mailto:tsbsg..@itu.int</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SV</dc:creator>
  <cp:lastModifiedBy>Braud, Olivia</cp:lastModifiedBy>
  <cp:revision>6</cp:revision>
  <cp:lastPrinted>2026-05-12T14:32:00Z</cp:lastPrinted>
  <dcterms:created xsi:type="dcterms:W3CDTF">2026-05-12T08:39:00Z</dcterms:created>
  <dcterms:modified xsi:type="dcterms:W3CDTF">2026-05-12T14:33:00Z</dcterms:modified>
</cp:coreProperties>
</file>