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116F4D61" w14:textId="77777777" w:rsidTr="00D517B2">
        <w:trPr>
          <w:cantSplit/>
          <w:trHeight w:val="1134"/>
        </w:trPr>
        <w:tc>
          <w:tcPr>
            <w:tcW w:w="798" w:type="pct"/>
          </w:tcPr>
          <w:p w14:paraId="08566AA0" w14:textId="77777777" w:rsidR="00D517B2" w:rsidRPr="00D517B2" w:rsidRDefault="00D517B2" w:rsidP="00D517B2">
            <w:pPr>
              <w:spacing w:before="0" w:line="240" w:lineRule="auto"/>
              <w:rPr>
                <w:b/>
                <w:bCs/>
                <w:rtl/>
                <w:lang w:bidi="ar-EG"/>
              </w:rPr>
            </w:pPr>
            <w:r w:rsidRPr="00D517B2">
              <w:rPr>
                <w:noProof/>
              </w:rPr>
              <w:drawing>
                <wp:inline distT="0" distB="0" distL="0" distR="0" wp14:anchorId="0B596E17" wp14:editId="00E12055">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64522D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55574E9A"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D517B2" w14:paraId="267F13E6" w14:textId="77777777" w:rsidTr="001E2788">
        <w:trPr>
          <w:cantSplit/>
          <w:jc w:val="center"/>
        </w:trPr>
        <w:tc>
          <w:tcPr>
            <w:tcW w:w="810" w:type="pct"/>
          </w:tcPr>
          <w:p w14:paraId="75F83722" w14:textId="77777777" w:rsidR="00D517B2" w:rsidRPr="00D517B2" w:rsidRDefault="00D517B2" w:rsidP="00BB0F08">
            <w:pPr>
              <w:spacing w:line="300" w:lineRule="exact"/>
              <w:jc w:val="left"/>
              <w:rPr>
                <w:position w:val="2"/>
              </w:rPr>
            </w:pPr>
          </w:p>
        </w:tc>
        <w:tc>
          <w:tcPr>
            <w:tcW w:w="1984" w:type="pct"/>
          </w:tcPr>
          <w:p w14:paraId="4E681CB2" w14:textId="77777777" w:rsidR="00D517B2" w:rsidRPr="00D517B2" w:rsidRDefault="00D517B2" w:rsidP="00BB0F08">
            <w:pPr>
              <w:spacing w:line="300" w:lineRule="exact"/>
              <w:jc w:val="left"/>
              <w:rPr>
                <w:position w:val="2"/>
              </w:rPr>
            </w:pPr>
          </w:p>
        </w:tc>
        <w:tc>
          <w:tcPr>
            <w:tcW w:w="2206" w:type="pct"/>
          </w:tcPr>
          <w:p w14:paraId="0B21B08F" w14:textId="77777777" w:rsidR="00D517B2" w:rsidRPr="00873469" w:rsidRDefault="00D517B2" w:rsidP="00BB0F08">
            <w:pPr>
              <w:spacing w:line="300" w:lineRule="exact"/>
              <w:jc w:val="left"/>
              <w:rPr>
                <w:position w:val="2"/>
                <w:lang w:bidi="ar-EG"/>
              </w:rPr>
            </w:pPr>
          </w:p>
        </w:tc>
      </w:tr>
      <w:tr w:rsidR="00D517B2" w:rsidRPr="00D517B2" w14:paraId="24F5E69B" w14:textId="77777777" w:rsidTr="001E2788">
        <w:trPr>
          <w:cantSplit/>
          <w:jc w:val="center"/>
        </w:trPr>
        <w:tc>
          <w:tcPr>
            <w:tcW w:w="810" w:type="pct"/>
          </w:tcPr>
          <w:p w14:paraId="742B3000" w14:textId="77777777" w:rsidR="00D517B2" w:rsidRPr="00D517B2" w:rsidRDefault="00D517B2" w:rsidP="006019C6">
            <w:pPr>
              <w:spacing w:before="80" w:line="300" w:lineRule="exact"/>
              <w:jc w:val="left"/>
              <w:rPr>
                <w:position w:val="2"/>
              </w:rPr>
            </w:pPr>
          </w:p>
        </w:tc>
        <w:tc>
          <w:tcPr>
            <w:tcW w:w="1984" w:type="pct"/>
          </w:tcPr>
          <w:p w14:paraId="37DD5AD9" w14:textId="77777777" w:rsidR="00D517B2" w:rsidRPr="00D517B2" w:rsidRDefault="00D517B2" w:rsidP="006019C6">
            <w:pPr>
              <w:spacing w:before="80" w:line="300" w:lineRule="exact"/>
              <w:jc w:val="left"/>
              <w:rPr>
                <w:position w:val="2"/>
                <w:lang w:bidi="ar-EG"/>
              </w:rPr>
            </w:pPr>
          </w:p>
        </w:tc>
        <w:tc>
          <w:tcPr>
            <w:tcW w:w="2206" w:type="pct"/>
          </w:tcPr>
          <w:p w14:paraId="41F31192" w14:textId="10CD9883" w:rsidR="00D517B2" w:rsidRPr="00D517B2" w:rsidRDefault="00873469" w:rsidP="006019C6">
            <w:pPr>
              <w:spacing w:before="80" w:line="300" w:lineRule="exact"/>
              <w:jc w:val="left"/>
              <w:rPr>
                <w:position w:val="2"/>
                <w:rtl/>
                <w:lang w:bidi="ar-EG"/>
              </w:rPr>
            </w:pPr>
            <w:r w:rsidRPr="00D517B2">
              <w:rPr>
                <w:rFonts w:hint="cs"/>
                <w:position w:val="2"/>
                <w:rtl/>
              </w:rPr>
              <w:t xml:space="preserve">جنيف، </w:t>
            </w:r>
            <w:r w:rsidR="0019052B">
              <w:rPr>
                <w:rFonts w:hint="cs"/>
                <w:position w:val="2"/>
                <w:rtl/>
              </w:rPr>
              <w:t>5 مايو 2026</w:t>
            </w:r>
          </w:p>
        </w:tc>
      </w:tr>
      <w:tr w:rsidR="00372F67" w:rsidRPr="00D517B2" w14:paraId="0E110391" w14:textId="77777777" w:rsidTr="001E2788">
        <w:trPr>
          <w:cantSplit/>
          <w:jc w:val="center"/>
        </w:trPr>
        <w:tc>
          <w:tcPr>
            <w:tcW w:w="810" w:type="pct"/>
          </w:tcPr>
          <w:p w14:paraId="089C969D" w14:textId="77777777" w:rsidR="00372F67" w:rsidRPr="00A9156F" w:rsidRDefault="00372F67" w:rsidP="00D517B2">
            <w:pPr>
              <w:spacing w:before="80" w:after="60" w:line="300" w:lineRule="exact"/>
              <w:jc w:val="left"/>
              <w:rPr>
                <w:b/>
                <w:bCs/>
                <w:position w:val="2"/>
              </w:rPr>
            </w:pPr>
            <w:r w:rsidRPr="00A9156F">
              <w:rPr>
                <w:rFonts w:hint="cs"/>
                <w:b/>
                <w:bCs/>
                <w:position w:val="2"/>
                <w:rtl/>
              </w:rPr>
              <w:t>المرجع:</w:t>
            </w:r>
          </w:p>
        </w:tc>
        <w:tc>
          <w:tcPr>
            <w:tcW w:w="1984" w:type="pct"/>
          </w:tcPr>
          <w:p w14:paraId="7A4AB164" w14:textId="6B94A62D" w:rsidR="00372F67" w:rsidRPr="00D517B2" w:rsidRDefault="00372F67" w:rsidP="00D517B2">
            <w:pPr>
              <w:spacing w:before="80" w:after="60" w:line="300" w:lineRule="exact"/>
              <w:jc w:val="left"/>
              <w:rPr>
                <w:b/>
                <w:position w:val="2"/>
              </w:rPr>
            </w:pPr>
            <w:r w:rsidRPr="00D517B2">
              <w:rPr>
                <w:b/>
                <w:position w:val="2"/>
              </w:rPr>
              <w:t>TSB </w:t>
            </w:r>
            <w:r>
              <w:rPr>
                <w:b/>
                <w:position w:val="2"/>
              </w:rPr>
              <w:t>Circular</w:t>
            </w:r>
            <w:r w:rsidRPr="00D517B2">
              <w:rPr>
                <w:b/>
                <w:position w:val="2"/>
              </w:rPr>
              <w:t xml:space="preserve"> </w:t>
            </w:r>
            <w:r w:rsidR="0019052B">
              <w:rPr>
                <w:b/>
                <w:position w:val="2"/>
              </w:rPr>
              <w:t>135</w:t>
            </w:r>
            <w:r>
              <w:rPr>
                <w:b/>
                <w:position w:val="2"/>
              </w:rPr>
              <w:br/>
            </w:r>
            <w:r w:rsidR="0019052B" w:rsidRPr="0019052B">
              <w:rPr>
                <w:b/>
                <w:position w:val="2"/>
              </w:rPr>
              <w:t>TSB Events/MM</w:t>
            </w:r>
          </w:p>
        </w:tc>
        <w:tc>
          <w:tcPr>
            <w:tcW w:w="2206" w:type="pct"/>
            <w:vMerge w:val="restart"/>
          </w:tcPr>
          <w:p w14:paraId="1E84378D" w14:textId="77777777" w:rsidR="00372F67" w:rsidRPr="0019052B" w:rsidRDefault="00372F67" w:rsidP="001F4353">
            <w:pPr>
              <w:tabs>
                <w:tab w:val="clear" w:pos="794"/>
                <w:tab w:val="left" w:pos="284"/>
              </w:tabs>
              <w:spacing w:before="80" w:after="60" w:line="300" w:lineRule="exact"/>
              <w:jc w:val="left"/>
              <w:rPr>
                <w:b/>
                <w:bCs/>
                <w:position w:val="2"/>
                <w:rtl/>
                <w:lang w:bidi="ar-EG"/>
              </w:rPr>
            </w:pPr>
            <w:r w:rsidRPr="0019052B">
              <w:rPr>
                <w:rFonts w:hint="cs"/>
                <w:b/>
                <w:bCs/>
                <w:position w:val="2"/>
                <w:rtl/>
              </w:rPr>
              <w:t>إلى:</w:t>
            </w:r>
          </w:p>
          <w:p w14:paraId="5153D731" w14:textId="74712637" w:rsidR="00372F67" w:rsidRPr="0019052B" w:rsidRDefault="00372F67" w:rsidP="001F4353">
            <w:pPr>
              <w:tabs>
                <w:tab w:val="clear" w:pos="794"/>
                <w:tab w:val="left" w:pos="284"/>
              </w:tabs>
              <w:spacing w:before="80" w:after="60" w:line="300" w:lineRule="exact"/>
              <w:ind w:left="284" w:hanging="284"/>
              <w:jc w:val="left"/>
              <w:rPr>
                <w:position w:val="2"/>
                <w:rtl/>
              </w:rPr>
            </w:pPr>
            <w:r w:rsidRPr="0019052B">
              <w:rPr>
                <w:rFonts w:hint="cs"/>
                <w:position w:val="2"/>
                <w:rtl/>
              </w:rPr>
              <w:t>-</w:t>
            </w:r>
            <w:r w:rsidRPr="0019052B">
              <w:rPr>
                <w:position w:val="2"/>
                <w:rtl/>
              </w:rPr>
              <w:tab/>
            </w:r>
            <w:r w:rsidRPr="0019052B">
              <w:rPr>
                <w:rFonts w:hint="cs"/>
                <w:position w:val="2"/>
                <w:rtl/>
              </w:rPr>
              <w:t>إدارات الدول الأعضاء في الاتحاد؛</w:t>
            </w:r>
          </w:p>
          <w:p w14:paraId="33D409C9" w14:textId="46F4CF0F" w:rsidR="0019052B" w:rsidRPr="0019052B" w:rsidRDefault="0019052B" w:rsidP="0019052B">
            <w:pPr>
              <w:tabs>
                <w:tab w:val="clear" w:pos="794"/>
                <w:tab w:val="left" w:pos="284"/>
              </w:tabs>
              <w:spacing w:before="80" w:after="60" w:line="300" w:lineRule="exact"/>
              <w:ind w:left="284" w:hanging="284"/>
              <w:jc w:val="left"/>
              <w:rPr>
                <w:position w:val="2"/>
                <w:rtl/>
              </w:rPr>
            </w:pPr>
            <w:r w:rsidRPr="0019052B">
              <w:rPr>
                <w:rFonts w:hint="cs"/>
                <w:position w:val="2"/>
                <w:rtl/>
              </w:rPr>
              <w:t>-</w:t>
            </w:r>
            <w:r w:rsidRPr="0019052B">
              <w:rPr>
                <w:position w:val="2"/>
                <w:rtl/>
              </w:rPr>
              <w:tab/>
              <w:t>دولة فلسطين (القرار 99 (المراجَع في دبي، 2018)</w:t>
            </w:r>
            <w:r w:rsidR="0069744E">
              <w:rPr>
                <w:rFonts w:hint="cs"/>
                <w:position w:val="2"/>
                <w:rtl/>
              </w:rPr>
              <w:t>)</w:t>
            </w:r>
            <w:r>
              <w:rPr>
                <w:rFonts w:hint="cs"/>
                <w:position w:val="2"/>
                <w:rtl/>
              </w:rPr>
              <w:t>؛</w:t>
            </w:r>
          </w:p>
          <w:p w14:paraId="18734AC5" w14:textId="77777777" w:rsidR="00372F67" w:rsidRPr="0019052B" w:rsidRDefault="00372F67" w:rsidP="001F4353">
            <w:pPr>
              <w:tabs>
                <w:tab w:val="left" w:pos="284"/>
                <w:tab w:val="left" w:pos="4111"/>
              </w:tabs>
              <w:spacing w:before="80" w:after="60" w:line="300" w:lineRule="exact"/>
              <w:ind w:left="284" w:hanging="284"/>
              <w:rPr>
                <w:position w:val="2"/>
                <w:rtl/>
                <w:lang w:bidi="ar-EG"/>
              </w:rPr>
            </w:pPr>
            <w:r w:rsidRPr="0019052B">
              <w:rPr>
                <w:rFonts w:hint="cs"/>
                <w:position w:val="2"/>
                <w:rtl/>
              </w:rPr>
              <w:t>-</w:t>
            </w:r>
            <w:r w:rsidRPr="0019052B">
              <w:rPr>
                <w:position w:val="2"/>
                <w:rtl/>
              </w:rPr>
              <w:tab/>
            </w:r>
            <w:r w:rsidRPr="0019052B">
              <w:rPr>
                <w:rFonts w:hint="cs"/>
                <w:position w:val="2"/>
                <w:rtl/>
                <w:lang w:bidi="ar-EG"/>
              </w:rPr>
              <w:t>أعضاء قطاع تقييس الاتصالات بالاتحاد؛</w:t>
            </w:r>
          </w:p>
          <w:p w14:paraId="1A08247C" w14:textId="77777777" w:rsidR="00372F67" w:rsidRPr="0019052B" w:rsidRDefault="00372F67" w:rsidP="001F4353">
            <w:pPr>
              <w:tabs>
                <w:tab w:val="left" w:pos="284"/>
                <w:tab w:val="left" w:pos="4111"/>
              </w:tabs>
              <w:spacing w:before="80" w:after="60" w:line="300" w:lineRule="exact"/>
              <w:ind w:left="284" w:hanging="284"/>
              <w:rPr>
                <w:position w:val="2"/>
                <w:rtl/>
                <w:lang w:bidi="ar-EG"/>
              </w:rPr>
            </w:pPr>
            <w:r w:rsidRPr="0019052B">
              <w:rPr>
                <w:rFonts w:hint="cs"/>
                <w:position w:val="2"/>
                <w:rtl/>
              </w:rPr>
              <w:t>-</w:t>
            </w:r>
            <w:r w:rsidRPr="0019052B">
              <w:rPr>
                <w:position w:val="2"/>
                <w:rtl/>
              </w:rPr>
              <w:tab/>
            </w:r>
            <w:r w:rsidRPr="0019052B">
              <w:rPr>
                <w:rFonts w:hint="cs"/>
                <w:position w:val="2"/>
                <w:rtl/>
              </w:rPr>
              <w:t>المنتسبين إلى قطاع تقييس الاتصالات؛</w:t>
            </w:r>
          </w:p>
          <w:p w14:paraId="456C765F" w14:textId="77777777" w:rsidR="00372F67" w:rsidRPr="0019052B" w:rsidRDefault="00372F67" w:rsidP="001F4353">
            <w:pPr>
              <w:tabs>
                <w:tab w:val="clear" w:pos="794"/>
                <w:tab w:val="left" w:pos="284"/>
              </w:tabs>
              <w:spacing w:before="80" w:after="60" w:line="300" w:lineRule="exact"/>
              <w:ind w:left="284" w:hanging="284"/>
              <w:jc w:val="left"/>
              <w:rPr>
                <w:position w:val="2"/>
                <w:rtl/>
              </w:rPr>
            </w:pPr>
            <w:r w:rsidRPr="0019052B">
              <w:rPr>
                <w:rFonts w:hint="cs"/>
                <w:position w:val="2"/>
                <w:rtl/>
              </w:rPr>
              <w:t>-</w:t>
            </w:r>
            <w:r w:rsidRPr="0019052B">
              <w:rPr>
                <w:position w:val="2"/>
                <w:rtl/>
              </w:rPr>
              <w:tab/>
            </w:r>
            <w:r w:rsidRPr="0019052B">
              <w:rPr>
                <w:rFonts w:hint="cs"/>
                <w:position w:val="2"/>
                <w:rtl/>
              </w:rPr>
              <w:t>الهيئات الأكاديمية المنضمة إلى</w:t>
            </w:r>
            <w:r w:rsidRPr="0019052B">
              <w:rPr>
                <w:rFonts w:hint="cs"/>
                <w:position w:val="2"/>
                <w:rtl/>
                <w:lang w:bidi="ar-EG"/>
              </w:rPr>
              <w:t xml:space="preserve"> الاتحاد</w:t>
            </w:r>
          </w:p>
          <w:p w14:paraId="6D0605BB" w14:textId="77777777" w:rsidR="00372F67" w:rsidRPr="0019052B" w:rsidRDefault="00372F67" w:rsidP="001F4353">
            <w:pPr>
              <w:tabs>
                <w:tab w:val="clear" w:pos="794"/>
                <w:tab w:val="left" w:pos="284"/>
              </w:tabs>
              <w:spacing w:before="80" w:after="60" w:line="300" w:lineRule="exact"/>
              <w:ind w:left="284" w:hanging="284"/>
              <w:jc w:val="left"/>
              <w:rPr>
                <w:b/>
                <w:bCs/>
                <w:position w:val="2"/>
                <w:rtl/>
              </w:rPr>
            </w:pPr>
            <w:r w:rsidRPr="0019052B">
              <w:rPr>
                <w:rFonts w:hint="cs"/>
                <w:b/>
                <w:bCs/>
                <w:position w:val="2"/>
                <w:rtl/>
              </w:rPr>
              <w:t>نسخة إلى:</w:t>
            </w:r>
          </w:p>
          <w:p w14:paraId="1B16D45E" w14:textId="77777777" w:rsidR="00372F67" w:rsidRPr="0019052B"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9052B">
              <w:rPr>
                <w:rFonts w:hint="cs"/>
                <w:position w:val="2"/>
                <w:rtl/>
              </w:rPr>
              <w:t>-</w:t>
            </w:r>
            <w:r w:rsidRPr="0019052B">
              <w:rPr>
                <w:position w:val="2"/>
                <w:rtl/>
              </w:rPr>
              <w:tab/>
            </w:r>
            <w:r w:rsidRPr="0019052B">
              <w:rPr>
                <w:rFonts w:eastAsia="Times New Roman" w:hint="cs"/>
                <w:position w:val="2"/>
                <w:rtl/>
                <w:lang w:eastAsia="en-US"/>
              </w:rPr>
              <w:t>رؤساء لجان الدراسات</w:t>
            </w:r>
            <w:r w:rsidRPr="0019052B">
              <w:rPr>
                <w:rFonts w:eastAsia="Times New Roman" w:hint="cs"/>
                <w:position w:val="2"/>
                <w:rtl/>
                <w:lang w:eastAsia="en-US" w:bidi="ar-EG"/>
              </w:rPr>
              <w:t xml:space="preserve"> ونوابهم</w:t>
            </w:r>
            <w:r w:rsidRPr="0019052B">
              <w:rPr>
                <w:rFonts w:eastAsia="Times New Roman" w:hint="cs"/>
                <w:position w:val="2"/>
                <w:rtl/>
                <w:lang w:eastAsia="en-US"/>
              </w:rPr>
              <w:t>؛</w:t>
            </w:r>
          </w:p>
          <w:p w14:paraId="55DDD052" w14:textId="77777777" w:rsidR="00372F67" w:rsidRPr="0019052B" w:rsidRDefault="00372F67" w:rsidP="001F4353">
            <w:pPr>
              <w:tabs>
                <w:tab w:val="left" w:pos="284"/>
                <w:tab w:val="left" w:pos="4111"/>
              </w:tabs>
              <w:spacing w:before="80" w:after="60" w:line="300" w:lineRule="exact"/>
              <w:ind w:left="284" w:hanging="284"/>
              <w:rPr>
                <w:rFonts w:eastAsia="Times New Roman"/>
                <w:position w:val="2"/>
                <w:rtl/>
                <w:lang w:eastAsia="en-US"/>
              </w:rPr>
            </w:pPr>
            <w:r w:rsidRPr="0019052B">
              <w:rPr>
                <w:rFonts w:eastAsia="Times New Roman" w:hint="cs"/>
                <w:position w:val="2"/>
                <w:rtl/>
                <w:lang w:eastAsia="en-US"/>
              </w:rPr>
              <w:t>-</w:t>
            </w:r>
            <w:r w:rsidRPr="0019052B">
              <w:rPr>
                <w:rFonts w:eastAsia="Times New Roman"/>
                <w:position w:val="2"/>
                <w:rtl/>
                <w:lang w:eastAsia="en-US"/>
              </w:rPr>
              <w:tab/>
              <w:t>مدير مكتب تنمية الاتصالات</w:t>
            </w:r>
            <w:r w:rsidRPr="0019052B">
              <w:rPr>
                <w:rFonts w:eastAsia="Times New Roman" w:hint="cs"/>
                <w:position w:val="2"/>
                <w:rtl/>
                <w:lang w:eastAsia="en-US"/>
              </w:rPr>
              <w:t>؛</w:t>
            </w:r>
          </w:p>
          <w:p w14:paraId="398DC024" w14:textId="77777777" w:rsidR="00372F67" w:rsidRPr="00D517B2" w:rsidRDefault="00372F67" w:rsidP="00E02440">
            <w:pPr>
              <w:tabs>
                <w:tab w:val="left" w:pos="284"/>
                <w:tab w:val="left" w:pos="4111"/>
              </w:tabs>
              <w:spacing w:before="80" w:after="60" w:line="300" w:lineRule="exact"/>
              <w:ind w:left="284" w:hanging="284"/>
              <w:rPr>
                <w:position w:val="2"/>
                <w:rtl/>
              </w:rPr>
            </w:pPr>
            <w:r w:rsidRPr="0019052B">
              <w:rPr>
                <w:rFonts w:eastAsia="Times New Roman" w:hint="cs"/>
                <w:position w:val="2"/>
                <w:rtl/>
                <w:lang w:eastAsia="en-US"/>
              </w:rPr>
              <w:t>-</w:t>
            </w:r>
            <w:r w:rsidRPr="0019052B">
              <w:rPr>
                <w:rFonts w:eastAsia="Times New Roman"/>
                <w:position w:val="2"/>
                <w:rtl/>
                <w:lang w:eastAsia="en-US"/>
              </w:rPr>
              <w:tab/>
              <w:t>مدير مكتب الاتصالات الراديوية</w:t>
            </w:r>
          </w:p>
        </w:tc>
      </w:tr>
      <w:tr w:rsidR="0019052B" w:rsidRPr="00D517B2" w14:paraId="6899226E" w14:textId="77777777" w:rsidTr="0019052B">
        <w:trPr>
          <w:cantSplit/>
          <w:trHeight w:val="483"/>
          <w:jc w:val="center"/>
        </w:trPr>
        <w:tc>
          <w:tcPr>
            <w:tcW w:w="810" w:type="pct"/>
          </w:tcPr>
          <w:p w14:paraId="3DC28706" w14:textId="65B4D564" w:rsidR="0019052B" w:rsidRPr="00A9156F" w:rsidRDefault="0019052B" w:rsidP="00FC0682">
            <w:pPr>
              <w:spacing w:before="80" w:after="60" w:line="300" w:lineRule="exact"/>
              <w:jc w:val="left"/>
              <w:rPr>
                <w:b/>
                <w:bCs/>
                <w:position w:val="2"/>
                <w:lang w:bidi="ar-EG"/>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984" w:type="pct"/>
          </w:tcPr>
          <w:p w14:paraId="6AC2D79B" w14:textId="5F47B3D3" w:rsidR="0019052B" w:rsidRPr="00D517B2" w:rsidRDefault="0019052B" w:rsidP="001300CF">
            <w:pPr>
              <w:spacing w:before="80" w:after="60" w:line="300" w:lineRule="exact"/>
              <w:jc w:val="left"/>
              <w:rPr>
                <w:b/>
                <w:position w:val="2"/>
              </w:rPr>
            </w:pPr>
            <w:r w:rsidRPr="0019052B">
              <w:rPr>
                <w:position w:val="2"/>
                <w:lang w:val="en-GB"/>
              </w:rPr>
              <w:t>+41 22 730 5697</w:t>
            </w:r>
          </w:p>
        </w:tc>
        <w:tc>
          <w:tcPr>
            <w:tcW w:w="2206" w:type="pct"/>
            <w:vMerge/>
          </w:tcPr>
          <w:p w14:paraId="4FD63AC3" w14:textId="77777777" w:rsidR="0019052B" w:rsidRPr="00D517B2" w:rsidRDefault="0019052B" w:rsidP="00E02440">
            <w:pPr>
              <w:tabs>
                <w:tab w:val="left" w:pos="284"/>
                <w:tab w:val="left" w:pos="4111"/>
              </w:tabs>
              <w:spacing w:before="80" w:after="60" w:line="300" w:lineRule="exact"/>
              <w:ind w:left="284" w:hanging="284"/>
              <w:rPr>
                <w:position w:val="2"/>
                <w:rtl/>
              </w:rPr>
            </w:pPr>
          </w:p>
        </w:tc>
      </w:tr>
      <w:tr w:rsidR="00372F67" w:rsidRPr="00D517B2" w14:paraId="64E8B7EB" w14:textId="77777777" w:rsidTr="001E2788">
        <w:trPr>
          <w:cantSplit/>
          <w:jc w:val="center"/>
        </w:trPr>
        <w:tc>
          <w:tcPr>
            <w:tcW w:w="810" w:type="pct"/>
          </w:tcPr>
          <w:p w14:paraId="4A5ADAE6" w14:textId="77777777" w:rsidR="00372F67" w:rsidRPr="00A9156F" w:rsidRDefault="00372F67" w:rsidP="001E2788">
            <w:pPr>
              <w:spacing w:before="80" w:after="60" w:line="300" w:lineRule="exact"/>
              <w:jc w:val="left"/>
              <w:rPr>
                <w:b/>
                <w:bCs/>
                <w:position w:val="2"/>
                <w:rtl/>
              </w:rPr>
            </w:pPr>
            <w:r w:rsidRPr="00A9156F">
              <w:rPr>
                <w:rFonts w:hint="cs"/>
                <w:b/>
                <w:bCs/>
                <w:position w:val="2"/>
                <w:rtl/>
              </w:rPr>
              <w:t>الفاكس:</w:t>
            </w:r>
          </w:p>
        </w:tc>
        <w:tc>
          <w:tcPr>
            <w:tcW w:w="1984" w:type="pct"/>
          </w:tcPr>
          <w:p w14:paraId="1A8C789B" w14:textId="61D0D0E5" w:rsidR="00372F67" w:rsidRPr="00D517B2" w:rsidRDefault="0019052B" w:rsidP="0019052B">
            <w:pPr>
              <w:spacing w:before="80" w:after="60" w:line="300" w:lineRule="exact"/>
              <w:jc w:val="left"/>
              <w:rPr>
                <w:position w:val="2"/>
              </w:rPr>
            </w:pPr>
            <w:r w:rsidRPr="0019052B">
              <w:rPr>
                <w:position w:val="2"/>
                <w:lang w:val="en-GB"/>
              </w:rPr>
              <w:t>+41 22 730 5853</w:t>
            </w:r>
          </w:p>
        </w:tc>
        <w:tc>
          <w:tcPr>
            <w:tcW w:w="2206" w:type="pct"/>
            <w:vMerge/>
          </w:tcPr>
          <w:p w14:paraId="19FB9DFD" w14:textId="77777777" w:rsidR="00372F67" w:rsidRPr="00D517B2" w:rsidRDefault="00372F67" w:rsidP="00E02440">
            <w:pPr>
              <w:tabs>
                <w:tab w:val="left" w:pos="284"/>
                <w:tab w:val="left" w:pos="4111"/>
              </w:tabs>
              <w:spacing w:before="80" w:after="60" w:line="300" w:lineRule="exact"/>
              <w:ind w:left="284" w:hanging="284"/>
              <w:rPr>
                <w:position w:val="2"/>
                <w:rtl/>
              </w:rPr>
            </w:pPr>
          </w:p>
        </w:tc>
      </w:tr>
      <w:tr w:rsidR="00372F67" w:rsidRPr="00D517B2" w14:paraId="721AD6DD" w14:textId="77777777" w:rsidTr="001E2788">
        <w:trPr>
          <w:cantSplit/>
          <w:jc w:val="center"/>
        </w:trPr>
        <w:tc>
          <w:tcPr>
            <w:tcW w:w="810" w:type="pct"/>
          </w:tcPr>
          <w:p w14:paraId="4EE49760" w14:textId="77777777" w:rsidR="00372F67" w:rsidRPr="00A9156F" w:rsidRDefault="00372F67" w:rsidP="00CE1C08">
            <w:pPr>
              <w:spacing w:before="80" w:after="60" w:line="300" w:lineRule="exact"/>
              <w:jc w:val="left"/>
              <w:rPr>
                <w:b/>
                <w:bCs/>
                <w:position w:val="2"/>
                <w:rtl/>
              </w:rPr>
            </w:pPr>
            <w:r w:rsidRPr="00A9156F">
              <w:rPr>
                <w:rFonts w:hint="cs"/>
                <w:b/>
                <w:bCs/>
                <w:position w:val="2"/>
                <w:rtl/>
              </w:rPr>
              <w:t>البريد الإلكتروني:</w:t>
            </w:r>
          </w:p>
        </w:tc>
        <w:tc>
          <w:tcPr>
            <w:tcW w:w="1984" w:type="pct"/>
          </w:tcPr>
          <w:p w14:paraId="32901205" w14:textId="18660F23" w:rsidR="00372F67" w:rsidRPr="006E1BAD" w:rsidRDefault="0019052B" w:rsidP="0019052B">
            <w:pPr>
              <w:spacing w:before="80" w:after="60" w:line="300" w:lineRule="exact"/>
              <w:jc w:val="left"/>
              <w:rPr>
                <w:position w:val="2"/>
                <w:highlight w:val="magenta"/>
                <w:rtl/>
                <w:lang w:bidi="ar-EG"/>
              </w:rPr>
            </w:pPr>
            <w:hyperlink r:id="rId9" w:history="1">
              <w:r w:rsidRPr="0019052B">
                <w:rPr>
                  <w:rStyle w:val="Hyperlink"/>
                  <w:position w:val="2"/>
                  <w:lang w:val="en-GB"/>
                </w:rPr>
                <w:t>resiliencestandards@itu.int</w:t>
              </w:r>
            </w:hyperlink>
          </w:p>
        </w:tc>
        <w:tc>
          <w:tcPr>
            <w:tcW w:w="2206" w:type="pct"/>
            <w:vMerge/>
          </w:tcPr>
          <w:p w14:paraId="5C1022FB" w14:textId="77777777" w:rsidR="00372F67" w:rsidRPr="00D517B2" w:rsidRDefault="00372F67" w:rsidP="001F4353">
            <w:pPr>
              <w:tabs>
                <w:tab w:val="left" w:pos="284"/>
                <w:tab w:val="left" w:pos="4111"/>
              </w:tabs>
              <w:spacing w:before="80" w:after="60" w:line="300" w:lineRule="exact"/>
              <w:ind w:left="284" w:hanging="284"/>
              <w:rPr>
                <w:position w:val="2"/>
                <w:rtl/>
              </w:rPr>
            </w:pPr>
          </w:p>
        </w:tc>
      </w:tr>
      <w:tr w:rsidR="00CE1C08" w:rsidRPr="00D517B2" w14:paraId="546ADCE6" w14:textId="77777777" w:rsidTr="001E2788">
        <w:trPr>
          <w:cantSplit/>
          <w:jc w:val="center"/>
        </w:trPr>
        <w:tc>
          <w:tcPr>
            <w:tcW w:w="810" w:type="pct"/>
          </w:tcPr>
          <w:p w14:paraId="58EC4243" w14:textId="77777777" w:rsidR="00CE1C08" w:rsidRPr="00A9156F" w:rsidRDefault="00CE1C08" w:rsidP="00CE1C08">
            <w:pPr>
              <w:spacing w:before="80" w:after="60" w:line="300" w:lineRule="exact"/>
              <w:jc w:val="left"/>
              <w:rPr>
                <w:b/>
                <w:bCs/>
                <w:position w:val="2"/>
                <w:rtl/>
                <w:lang w:bidi="ar-SY"/>
              </w:rPr>
            </w:pPr>
            <w:r w:rsidRPr="00A9156F">
              <w:rPr>
                <w:rFonts w:hint="cs"/>
                <w:b/>
                <w:bCs/>
                <w:position w:val="2"/>
                <w:rtl/>
              </w:rPr>
              <w:t>الموضوع:</w:t>
            </w:r>
          </w:p>
        </w:tc>
        <w:tc>
          <w:tcPr>
            <w:tcW w:w="4190" w:type="pct"/>
            <w:gridSpan w:val="2"/>
          </w:tcPr>
          <w:p w14:paraId="7AB6DDE0" w14:textId="1CAD24F6" w:rsidR="00CE1C08" w:rsidRPr="00D517B2" w:rsidRDefault="0019052B" w:rsidP="0019052B">
            <w:pPr>
              <w:spacing w:before="80" w:after="60" w:line="300" w:lineRule="exact"/>
              <w:jc w:val="left"/>
              <w:rPr>
                <w:position w:val="2"/>
                <w:rtl/>
              </w:rPr>
            </w:pPr>
            <w:r w:rsidRPr="0019052B">
              <w:rPr>
                <w:b/>
                <w:bCs/>
                <w:position w:val="2"/>
                <w:rtl/>
              </w:rPr>
              <w:t>الاجتماع الرابع للمبادرة العالمية بشأن القدرة على الصمود في مواجهة الأخطار الطبيعية من خلال حلول الذكاء الاصطناعي (جنيف، سويسرا، 7 يوليو 2026</w:t>
            </w:r>
            <w:r>
              <w:rPr>
                <w:rFonts w:hint="cs"/>
                <w:b/>
                <w:bCs/>
                <w:position w:val="2"/>
                <w:rtl/>
              </w:rPr>
              <w:t>)</w:t>
            </w:r>
          </w:p>
        </w:tc>
      </w:tr>
    </w:tbl>
    <w:p w14:paraId="22A94D95" w14:textId="77777777" w:rsidR="00D517B2" w:rsidRPr="00D517B2" w:rsidRDefault="00D517B2" w:rsidP="006F67DB">
      <w:pPr>
        <w:spacing w:before="360"/>
        <w:rPr>
          <w:lang w:bidi="ar-SY"/>
        </w:rPr>
      </w:pPr>
      <w:r w:rsidRPr="00D517B2">
        <w:rPr>
          <w:rFonts w:hint="cs"/>
          <w:rtl/>
          <w:lang w:bidi="ar-SY"/>
        </w:rPr>
        <w:t>حضرات السادة والسيدات،</w:t>
      </w:r>
    </w:p>
    <w:p w14:paraId="5412016E" w14:textId="77777777" w:rsidR="00D517B2" w:rsidRPr="00D517B2" w:rsidRDefault="00D517B2" w:rsidP="00D517B2">
      <w:pPr>
        <w:rPr>
          <w:rtl/>
          <w:lang w:bidi="ar-EG"/>
        </w:rPr>
      </w:pPr>
      <w:r w:rsidRPr="00D517B2">
        <w:rPr>
          <w:rFonts w:hint="cs"/>
          <w:rtl/>
        </w:rPr>
        <w:t>تحية طيبة وبعد،</w:t>
      </w:r>
    </w:p>
    <w:p w14:paraId="16A78739" w14:textId="5EF8C805" w:rsidR="0019052B" w:rsidRPr="0019052B" w:rsidRDefault="0019052B" w:rsidP="0019052B">
      <w:pPr>
        <w:rPr>
          <w:lang w:val="ar-SA" w:bidi="ar-SY"/>
        </w:rPr>
      </w:pPr>
      <w:r w:rsidRPr="0019052B">
        <w:rPr>
          <w:rtl/>
        </w:rPr>
        <w:t>1</w:t>
      </w:r>
      <w:r w:rsidRPr="0019052B">
        <w:rPr>
          <w:rtl/>
        </w:rPr>
        <w:tab/>
        <w:t xml:space="preserve">ينظّم الاتحاد الدولي للاتصالات </w:t>
      </w:r>
      <w:r w:rsidRPr="0019052B">
        <w:rPr>
          <w:lang w:bidi="ar-SY"/>
        </w:rPr>
        <w:t>(ITU)</w:t>
      </w:r>
      <w:r w:rsidRPr="0019052B">
        <w:rPr>
          <w:rtl/>
        </w:rPr>
        <w:t xml:space="preserve"> </w:t>
      </w:r>
      <w:r w:rsidRPr="0019052B">
        <w:rPr>
          <w:b/>
          <w:bCs/>
          <w:rtl/>
        </w:rPr>
        <w:t xml:space="preserve">الاجتماع الرابع </w:t>
      </w:r>
      <w:r>
        <w:fldChar w:fldCharType="begin"/>
      </w:r>
      <w:r>
        <w:instrText>HYPERLINK "https://www.itu.int/en/ITU-T/extcoop/ai4resilience/Pages/default.aspx" \l "/ar"</w:instrText>
      </w:r>
      <w:r>
        <w:fldChar w:fldCharType="separate"/>
      </w:r>
      <w:r w:rsidRPr="0019052B">
        <w:rPr>
          <w:rStyle w:val="Hyperlink"/>
          <w:b/>
          <w:bCs/>
          <w:rtl/>
        </w:rPr>
        <w:t xml:space="preserve">للمبادرة العالمية بشأن القدرة على الصمود في مواجهة الأخطار الطبيعية من </w:t>
      </w:r>
      <w:r w:rsidRPr="0019052B">
        <w:rPr>
          <w:rStyle w:val="Hyperlink"/>
          <w:b/>
          <w:bCs/>
          <w:rtl/>
        </w:rPr>
        <w:t>خ</w:t>
      </w:r>
      <w:r w:rsidRPr="0019052B">
        <w:rPr>
          <w:rStyle w:val="Hyperlink"/>
          <w:b/>
          <w:bCs/>
          <w:rtl/>
        </w:rPr>
        <w:t>لال حلول الذكاء الاصطناعي</w:t>
      </w:r>
      <w:r>
        <w:fldChar w:fldCharType="end"/>
      </w:r>
      <w:r w:rsidRPr="0019052B">
        <w:rPr>
          <w:rtl/>
        </w:rPr>
        <w:t xml:space="preserve"> بعد ظهر يوم </w:t>
      </w:r>
      <w:r w:rsidRPr="0019052B">
        <w:rPr>
          <w:b/>
          <w:bCs/>
          <w:rtl/>
        </w:rPr>
        <w:t>7 يوليو 2026</w:t>
      </w:r>
      <w:r w:rsidRPr="0019052B">
        <w:rPr>
          <w:rtl/>
        </w:rPr>
        <w:t xml:space="preserve"> في مركز </w:t>
      </w:r>
      <w:proofErr w:type="spellStart"/>
      <w:r>
        <w:t>Palexpo</w:t>
      </w:r>
      <w:proofErr w:type="spellEnd"/>
      <w:r w:rsidRPr="0019052B">
        <w:rPr>
          <w:rtl/>
        </w:rPr>
        <w:t xml:space="preserve"> الدولي للمعارض والمؤتمرات في جنيف، سويسرا. وستعقد </w:t>
      </w:r>
      <w:r w:rsidRPr="0019052B">
        <w:rPr>
          <w:b/>
          <w:bCs/>
          <w:rtl/>
        </w:rPr>
        <w:t>ورشة عمل</w:t>
      </w:r>
      <w:r w:rsidRPr="0019052B">
        <w:rPr>
          <w:rtl/>
        </w:rPr>
        <w:t xml:space="preserve"> بشأن "</w:t>
      </w:r>
      <w:hyperlink r:id="rId10" w:anchor="/ar" w:history="1">
        <w:r w:rsidRPr="0019052B">
          <w:rPr>
            <w:rStyle w:val="Hyperlink"/>
            <w:b/>
            <w:bCs/>
            <w:rtl/>
          </w:rPr>
          <w:t>الذكاء الاصط</w:t>
        </w:r>
        <w:r w:rsidRPr="0019052B">
          <w:rPr>
            <w:rStyle w:val="Hyperlink"/>
            <w:b/>
            <w:bCs/>
            <w:rtl/>
          </w:rPr>
          <w:t>ن</w:t>
        </w:r>
        <w:r w:rsidRPr="0019052B">
          <w:rPr>
            <w:rStyle w:val="Hyperlink"/>
            <w:b/>
            <w:bCs/>
            <w:rtl/>
          </w:rPr>
          <w:t>اعي في مجال القدرة على الصمود أمام الكوارث: سد الفجوة بين العلم والمعايير والابتكار</w:t>
        </w:r>
      </w:hyperlink>
      <w:r w:rsidRPr="0019052B">
        <w:rPr>
          <w:rtl/>
        </w:rPr>
        <w:t xml:space="preserve">" في نفس المكان في إطار </w:t>
      </w:r>
      <w:hyperlink r:id="rId11" w:anchor="/ar" w:history="1">
        <w:r w:rsidRPr="0019052B">
          <w:rPr>
            <w:rStyle w:val="Hyperlink"/>
            <w:b/>
            <w:bCs/>
            <w:rtl/>
          </w:rPr>
          <w:t>القمة العالمية للذكاء الاصطناعي من أجل المصلحة العامة لعام 2026</w:t>
        </w:r>
      </w:hyperlink>
      <w:r w:rsidRPr="0019052B">
        <w:rPr>
          <w:rtl/>
        </w:rPr>
        <w:t xml:space="preserve"> صباح اليوم نفسه.</w:t>
      </w:r>
      <w:hyperlink r:id="rId12" w:history="1"/>
      <w:hyperlink r:id="rId13" w:history="1"/>
      <w:hyperlink r:id="rId14" w:history="1"/>
    </w:p>
    <w:p w14:paraId="33FB4A9C" w14:textId="1851FF23" w:rsidR="0019052B" w:rsidRPr="0019052B" w:rsidDel="00A93B65" w:rsidRDefault="0019052B" w:rsidP="0019052B">
      <w:pPr>
        <w:rPr>
          <w:lang w:val="ar-SA" w:bidi="ar-SY"/>
        </w:rPr>
      </w:pPr>
      <w:r w:rsidRPr="0019052B">
        <w:rPr>
          <w:rtl/>
        </w:rPr>
        <w:t>2</w:t>
      </w:r>
      <w:r w:rsidRPr="0019052B">
        <w:rPr>
          <w:rtl/>
        </w:rPr>
        <w:tab/>
        <w:t xml:space="preserve">وسيُعقد اجتماع المبادرة العالمية خلال </w:t>
      </w:r>
      <w:hyperlink r:id="rId15" w:anchor="/ar" w:history="1">
        <w:r w:rsidRPr="0019052B">
          <w:rPr>
            <w:rStyle w:val="Hyperlink"/>
            <w:b/>
            <w:bCs/>
            <w:rtl/>
          </w:rPr>
          <w:t>القمة العالمية للذكاء الاصطناعي من أجل المصلحة العامة لعام 2026</w:t>
        </w:r>
      </w:hyperlink>
      <w:r w:rsidRPr="0019052B">
        <w:rPr>
          <w:rtl/>
        </w:rPr>
        <w:t xml:space="preserve"> في نفس المكان. </w:t>
      </w:r>
      <w:r w:rsidRPr="0019052B">
        <w:rPr>
          <w:b/>
          <w:bCs/>
          <w:rtl/>
        </w:rPr>
        <w:t xml:space="preserve">ويرجى العلم بأن التسجيل للمشاركة في </w:t>
      </w:r>
      <w:hyperlink r:id="rId16" w:anchor="/ar" w:history="1">
        <w:r w:rsidRPr="0019052B">
          <w:rPr>
            <w:rStyle w:val="Hyperlink"/>
            <w:b/>
            <w:bCs/>
            <w:rtl/>
          </w:rPr>
          <w:t>القمة العالمية</w:t>
        </w:r>
        <w:r w:rsidRPr="0019052B">
          <w:rPr>
            <w:rStyle w:val="Hyperlink"/>
            <w:b/>
            <w:bCs/>
            <w:rtl/>
          </w:rPr>
          <w:t xml:space="preserve"> </w:t>
        </w:r>
        <w:r w:rsidRPr="0019052B">
          <w:rPr>
            <w:rStyle w:val="Hyperlink"/>
            <w:b/>
            <w:bCs/>
            <w:rtl/>
          </w:rPr>
          <w:t>للذكاء الاصطناعي من أجل المصلحة العامة</w:t>
        </w:r>
      </w:hyperlink>
      <w:r w:rsidRPr="0019052B">
        <w:rPr>
          <w:b/>
          <w:bCs/>
          <w:rtl/>
        </w:rPr>
        <w:t> إلزامي لحضور اجتماع المبادرة العالمية</w:t>
      </w:r>
      <w:r w:rsidRPr="0019052B">
        <w:rPr>
          <w:rtl/>
        </w:rPr>
        <w:t xml:space="preserve"> وكذلك </w:t>
      </w:r>
      <w:r w:rsidRPr="0019052B">
        <w:rPr>
          <w:b/>
          <w:bCs/>
          <w:rtl/>
        </w:rPr>
        <w:t>ورشة العمل</w:t>
      </w:r>
      <w:r w:rsidRPr="0019052B">
        <w:rPr>
          <w:rtl/>
        </w:rPr>
        <w:t>. وسيُحدَّث الموقع الإلكتروني باستمرار بأحدث المعلومات وبأي تغييرات. ويُشجَّع المشاركون على زيارته بانتظام للاطلاع على أحدث المعلومات.</w:t>
      </w:r>
      <w:hyperlink r:id="rId17" w:history="1"/>
      <w:hyperlink r:id="rId18" w:history="1"/>
    </w:p>
    <w:p w14:paraId="4A69FF4A" w14:textId="6CB1EEB2" w:rsidR="0019052B" w:rsidRPr="0019052B" w:rsidRDefault="0019052B" w:rsidP="0019052B">
      <w:pPr>
        <w:rPr>
          <w:lang w:val="ar-SA" w:bidi="ar-SY"/>
        </w:rPr>
      </w:pPr>
      <w:r w:rsidRPr="0019052B">
        <w:rPr>
          <w:rtl/>
        </w:rPr>
        <w:t>3</w:t>
      </w:r>
      <w:r w:rsidRPr="0019052B">
        <w:rPr>
          <w:rtl/>
        </w:rPr>
        <w:tab/>
        <w:t>و</w:t>
      </w:r>
      <w:hyperlink r:id="rId19" w:anchor="/ar" w:history="1">
        <w:r w:rsidRPr="0019052B">
          <w:rPr>
            <w:rStyle w:val="Hyperlink"/>
            <w:rtl/>
          </w:rPr>
          <w:t>المبادرة العالمية بشأن القدرة على الصمود في مواجهة الأخطار الطبيعية من خلال حلول الذكاء الاصطناعي</w:t>
        </w:r>
      </w:hyperlink>
      <w:r w:rsidRPr="0019052B">
        <w:rPr>
          <w:rtl/>
        </w:rPr>
        <w:t xml:space="preserve"> هي جهد تعاوني يقوده الاتحاد الدولي للاتصالات، جنباً إلى جنب مع برنامج الأمم المتحدة للبيئة </w:t>
      </w:r>
      <w:r w:rsidRPr="0019052B">
        <w:rPr>
          <w:lang w:bidi="ar-SY"/>
        </w:rPr>
        <w:t>(UNEP)</w:t>
      </w:r>
      <w:r w:rsidRPr="0019052B">
        <w:rPr>
          <w:rtl/>
        </w:rPr>
        <w:t xml:space="preserve">، واتفاقية الأمم المتحدة الإطارية بشأن تغير المناخ </w:t>
      </w:r>
      <w:r w:rsidRPr="0019052B">
        <w:rPr>
          <w:lang w:bidi="ar-SY"/>
        </w:rPr>
        <w:t>(UNFCCC)</w:t>
      </w:r>
      <w:r w:rsidRPr="0019052B">
        <w:rPr>
          <w:rtl/>
        </w:rPr>
        <w:t xml:space="preserve">، والاتحاد البريدي العالمي </w:t>
      </w:r>
      <w:r w:rsidRPr="0019052B">
        <w:rPr>
          <w:lang w:bidi="ar-SY"/>
        </w:rPr>
        <w:t>(UPU)</w:t>
      </w:r>
      <w:r w:rsidRPr="0019052B">
        <w:rPr>
          <w:rtl/>
        </w:rPr>
        <w:t xml:space="preserve">، والمنظمة العالمية للأرصاد الجوية </w:t>
      </w:r>
      <w:r w:rsidRPr="0019052B">
        <w:rPr>
          <w:lang w:bidi="ar-SY"/>
        </w:rPr>
        <w:t>(WMO)</w:t>
      </w:r>
      <w:r w:rsidRPr="0019052B">
        <w:rPr>
          <w:rtl/>
        </w:rPr>
        <w:t xml:space="preserve">،  ومنظمة الأمم المتحدة للتربية والعلم والثقافة (اليونسكو). </w:t>
      </w:r>
      <w:hyperlink r:id="rId20" w:history="1"/>
    </w:p>
    <w:p w14:paraId="5F7391B2" w14:textId="7BECA126" w:rsidR="0019052B" w:rsidRPr="0019052B" w:rsidRDefault="0019052B" w:rsidP="0019052B">
      <w:pPr>
        <w:rPr>
          <w:lang w:val="ar-SA" w:bidi="ar-SY"/>
        </w:rPr>
      </w:pPr>
      <w:r w:rsidRPr="0019052B">
        <w:rPr>
          <w:rtl/>
        </w:rPr>
        <w:t xml:space="preserve">وتستكشف هذه المبادرة كيفية الاستفادة الفعالة من الذكاء الاصطناعي لإدارة الكوارث، وتقديم إرشادات الخبراء والدعم للبحث والابتكار وتسهيل وضع المعايير. ويمكن الاطلاع على مزيد من المعلومات عن إطلاق هذه المبادرة </w:t>
      </w:r>
      <w:hyperlink r:id="rId21" w:anchor="/ar" w:history="1">
        <w:r w:rsidRPr="0019052B">
          <w:rPr>
            <w:rStyle w:val="Hyperlink"/>
            <w:rtl/>
          </w:rPr>
          <w:t>هنا</w:t>
        </w:r>
      </w:hyperlink>
      <w:r w:rsidRPr="0019052B">
        <w:rPr>
          <w:rtl/>
        </w:rPr>
        <w:t xml:space="preserve">. وتستند هذه المبادرة إلى أنشطة </w:t>
      </w:r>
      <w:hyperlink r:id="rId22" w:anchor="/ar" w:history="1">
        <w:r w:rsidRPr="0019052B">
          <w:rPr>
            <w:rStyle w:val="Hyperlink"/>
            <w:rtl/>
          </w:rPr>
          <w:t>الفريق المتخصص التابع للاتحاد الدولي</w:t>
        </w:r>
        <w:r w:rsidRPr="0019052B">
          <w:rPr>
            <w:rStyle w:val="Hyperlink"/>
            <w:rtl/>
          </w:rPr>
          <w:t xml:space="preserve"> </w:t>
        </w:r>
        <w:r w:rsidRPr="0019052B">
          <w:rPr>
            <w:rStyle w:val="Hyperlink"/>
            <w:rtl/>
          </w:rPr>
          <w:t xml:space="preserve">للاتصالات والمنظمة العالمية للأرصاد الجوية وبرنامج الأمم المتحدة للبيئة والمعني بالذكاء الاصطناعي في إدارة الكوارث الطبيعية </w:t>
        </w:r>
        <w:r w:rsidRPr="0019052B">
          <w:rPr>
            <w:rStyle w:val="Hyperlink"/>
            <w:lang w:bidi="ar-SY"/>
          </w:rPr>
          <w:t>)</w:t>
        </w:r>
        <w:r w:rsidRPr="0019052B">
          <w:rPr>
            <w:rStyle w:val="Hyperlink"/>
            <w:rtl/>
          </w:rPr>
          <w:t>FG-AI4NDM</w:t>
        </w:r>
        <w:r w:rsidRPr="0019052B">
          <w:rPr>
            <w:rStyle w:val="Hyperlink"/>
            <w:lang w:bidi="ar-SY"/>
          </w:rPr>
          <w:t>(</w:t>
        </w:r>
      </w:hyperlink>
      <w:r w:rsidRPr="0019052B">
        <w:rPr>
          <w:rtl/>
        </w:rPr>
        <w:t>.</w:t>
      </w:r>
      <w:hyperlink r:id="rId23" w:history="1"/>
      <w:hyperlink r:id="rId24" w:history="1"/>
    </w:p>
    <w:p w14:paraId="6FA9555E" w14:textId="79DAB10B" w:rsidR="0019052B" w:rsidRPr="0019052B" w:rsidRDefault="0019052B" w:rsidP="0019052B">
      <w:pPr>
        <w:rPr>
          <w:lang w:val="ar-SA" w:bidi="ar-SY"/>
        </w:rPr>
      </w:pPr>
      <w:r w:rsidRPr="0019052B">
        <w:rPr>
          <w:rtl/>
        </w:rPr>
        <w:lastRenderedPageBreak/>
        <w:t>4</w:t>
      </w:r>
      <w:r w:rsidRPr="0019052B">
        <w:rPr>
          <w:rtl/>
        </w:rPr>
        <w:tab/>
        <w:t xml:space="preserve">وسيركز الاجتماع الرابع للمبادرة العالمية على استعراض المساهمات الخطية والمضي قدماً في تطوير المواد التعليمية. وسيُتاح مشروع جدول الأعمال ووثائق الاجتماع ومعلومات إضافية في </w:t>
      </w:r>
      <w:hyperlink r:id="rId25" w:anchor="/ar" w:history="1">
        <w:r w:rsidRPr="0019052B">
          <w:rPr>
            <w:rStyle w:val="Hyperlink"/>
            <w:rtl/>
          </w:rPr>
          <w:t>الصفحة الرئي</w:t>
        </w:r>
        <w:r w:rsidRPr="0019052B">
          <w:rPr>
            <w:rStyle w:val="Hyperlink"/>
            <w:rtl/>
          </w:rPr>
          <w:t>س</w:t>
        </w:r>
        <w:r w:rsidRPr="0019052B">
          <w:rPr>
            <w:rStyle w:val="Hyperlink"/>
            <w:rtl/>
          </w:rPr>
          <w:t>ية</w:t>
        </w:r>
      </w:hyperlink>
      <w:r w:rsidRPr="0019052B">
        <w:rPr>
          <w:rtl/>
        </w:rPr>
        <w:t xml:space="preserve"> للحدث.</w:t>
      </w:r>
      <w:hyperlink r:id="rId26" w:history="1"/>
    </w:p>
    <w:p w14:paraId="4E3CF314" w14:textId="759197A3" w:rsidR="0019052B" w:rsidRPr="0019052B" w:rsidRDefault="0019052B" w:rsidP="0019052B">
      <w:pPr>
        <w:rPr>
          <w:lang w:val="ar-SA" w:bidi="ar-SY"/>
        </w:rPr>
      </w:pPr>
      <w:r w:rsidRPr="0019052B">
        <w:rPr>
          <w:rtl/>
        </w:rPr>
        <w:t xml:space="preserve">والمساهمات الخطية ضرورية لنجاح الفريق ويشجع بقوة على تقديمها لتعزيز العمل. وينبغي تقديم المساهمات إلى الأمانة </w:t>
      </w:r>
      <w:r>
        <w:rPr>
          <w:lang w:bidi="ar-SY"/>
        </w:rPr>
        <w:t>(</w:t>
      </w:r>
      <w:hyperlink r:id="rId27" w:history="1">
        <w:r w:rsidRPr="0019052B">
          <w:rPr>
            <w:rStyle w:val="Hyperlink"/>
            <w:lang w:val="en-GB" w:bidi="ar-SY"/>
          </w:rPr>
          <w:t>resiliencestandards@itu.int</w:t>
        </w:r>
      </w:hyperlink>
      <w:r>
        <w:rPr>
          <w:lang w:bidi="ar-SY"/>
        </w:rPr>
        <w:t>)</w:t>
      </w:r>
      <w:r w:rsidRPr="0019052B">
        <w:rPr>
          <w:rtl/>
        </w:rPr>
        <w:t xml:space="preserve"> في نسق إلكتروني باستعمال النماذج المتاحة من </w:t>
      </w:r>
      <w:hyperlink r:id="rId28" w:anchor="/ar" w:history="1">
        <w:r w:rsidRPr="0019052B">
          <w:rPr>
            <w:rStyle w:val="Hyperlink"/>
            <w:rtl/>
          </w:rPr>
          <w:t>الصفحة الرئيسية للمبادرة GI-AI4R</w:t>
        </w:r>
      </w:hyperlink>
      <w:r w:rsidRPr="0019052B">
        <w:rPr>
          <w:rtl/>
        </w:rPr>
        <w:t xml:space="preserve">. </w:t>
      </w:r>
      <w:hyperlink r:id="rId29" w:history="1"/>
      <w:hyperlink r:id="rId30" w:history="1"/>
    </w:p>
    <w:p w14:paraId="134630E4" w14:textId="77777777" w:rsidR="0019052B" w:rsidRPr="0019052B" w:rsidRDefault="0019052B" w:rsidP="0019052B">
      <w:pPr>
        <w:rPr>
          <w:lang w:val="ar-SA" w:bidi="ar-SY"/>
        </w:rPr>
      </w:pPr>
      <w:r w:rsidRPr="0019052B">
        <w:rPr>
          <w:rtl/>
        </w:rPr>
        <w:t xml:space="preserve">والموعد النهائي لتقديم المساهمات هو </w:t>
      </w:r>
      <w:r w:rsidRPr="0019052B">
        <w:rPr>
          <w:b/>
          <w:bCs/>
          <w:rtl/>
        </w:rPr>
        <w:t>29 يونيو 2026</w:t>
      </w:r>
      <w:r w:rsidRPr="0019052B">
        <w:rPr>
          <w:rtl/>
        </w:rPr>
        <w:t>.</w:t>
      </w:r>
    </w:p>
    <w:p w14:paraId="06CE6084" w14:textId="77777777" w:rsidR="0019052B" w:rsidRPr="0019052B" w:rsidRDefault="0019052B" w:rsidP="0019052B">
      <w:pPr>
        <w:rPr>
          <w:lang w:val="ar-SA" w:bidi="ar-SY"/>
        </w:rPr>
      </w:pPr>
      <w:r w:rsidRPr="0019052B">
        <w:rPr>
          <w:rtl/>
        </w:rPr>
        <w:t>5</w:t>
      </w:r>
      <w:r w:rsidRPr="0019052B">
        <w:rPr>
          <w:rtl/>
        </w:rPr>
        <w:tab/>
        <w:t xml:space="preserve">وستُفتتح ورشة العمل في الساعة 0900 من يوم </w:t>
      </w:r>
      <w:r w:rsidRPr="0019052B">
        <w:rPr>
          <w:b/>
          <w:bCs/>
          <w:rtl/>
        </w:rPr>
        <w:t>7 يوليو 2026</w:t>
      </w:r>
      <w:r w:rsidRPr="0019052B">
        <w:rPr>
          <w:rtl/>
        </w:rPr>
        <w:t>. وسيدور النقاش باللغة الإنكليزية فقط. وسيُتاح مزيد من التفاصيل في الصفحة الإلكترونية للحدث.</w:t>
      </w:r>
    </w:p>
    <w:p w14:paraId="36595895" w14:textId="05B27500" w:rsidR="0019052B" w:rsidRPr="0019052B" w:rsidDel="004608DB" w:rsidRDefault="0019052B" w:rsidP="0019052B">
      <w:pPr>
        <w:rPr>
          <w:lang w:val="ar-SA" w:bidi="ar-SY"/>
        </w:rPr>
      </w:pPr>
      <w:r w:rsidRPr="0019052B">
        <w:rPr>
          <w:rtl/>
        </w:rPr>
        <w:t>6</w:t>
      </w:r>
      <w:r w:rsidRPr="0019052B">
        <w:rPr>
          <w:rtl/>
        </w:rPr>
        <w:tab/>
        <w:t>وستتاح جميع المعلومات ذات الصلة المتعلقة باجتماع المبادرة العالمية (مثل مشروع البرنامج وقائمة المتحدثين ورابط التسجيل) في الصفحة الإلكترونية الرئيسية للحدث في العنوان التالي</w:t>
      </w:r>
      <w:r>
        <w:rPr>
          <w:rFonts w:hint="cs"/>
          <w:rtl/>
          <w:lang w:bidi="ar-SY"/>
        </w:rPr>
        <w:t xml:space="preserve">: </w:t>
      </w:r>
      <w:hyperlink r:id="rId31" w:history="1">
        <w:r w:rsidRPr="0019052B">
          <w:rPr>
            <w:rStyle w:val="Hyperlink"/>
            <w:lang w:val="en-GB" w:bidi="ar-SY"/>
          </w:rPr>
          <w:t>https://aiforgood.itu.int/summit</w:t>
        </w:r>
        <w:r w:rsidRPr="0019052B">
          <w:rPr>
            <w:rStyle w:val="Hyperlink"/>
            <w:lang w:val="en-GB" w:bidi="ar-SY"/>
          </w:rPr>
          <w:t>2</w:t>
        </w:r>
        <w:r w:rsidRPr="0019052B">
          <w:rPr>
            <w:rStyle w:val="Hyperlink"/>
            <w:lang w:val="en-GB" w:bidi="ar-SY"/>
          </w:rPr>
          <w:t>6/</w:t>
        </w:r>
      </w:hyperlink>
      <w:r w:rsidRPr="0019052B">
        <w:rPr>
          <w:rtl/>
        </w:rPr>
        <w:t>. وسيُحدَّث الموقع الإلكتروني بانتظام كلما توفّرت معلومات جديدة أو معدّلة، ويشجَّع المشاركون على الاطلاع عليه دورياً للحصول على أحدث المعلومات.</w:t>
      </w:r>
      <w:hyperlink r:id="rId32" w:history="1"/>
    </w:p>
    <w:p w14:paraId="51CDAA8F" w14:textId="1CA8218D" w:rsidR="00D517B2" w:rsidRDefault="0019052B" w:rsidP="0019052B">
      <w:pPr>
        <w:rPr>
          <w:rtl/>
          <w:lang w:bidi="ar-SY"/>
        </w:rPr>
      </w:pPr>
      <w:r w:rsidRPr="0019052B">
        <w:rPr>
          <w:rtl/>
        </w:rPr>
        <w:t>7</w:t>
      </w:r>
      <w:r w:rsidRPr="0019052B">
        <w:rPr>
          <w:rtl/>
        </w:rPr>
        <w:tab/>
        <w:t>وأود أن أذكّركم بأن على مواطني بعض البلدان الحصول على تأشيرة للدخول إلى سويسرا وقضاء بعض الوقت فيها. ويجب الحصول على التأشيرة من المكتب (السفارة أو القنصلية) الذي يمثل سويسرا في بلدكم أو من أقرب مكتب إلى بلد المغادرة في حالة عدم وجود مثل هذا المكتب في بلدكم. وقد تستغرق معالجة التأشيرة والموافقة عليها بعض الوقت، لذلك يُقترح التأكد من الممثلية المناسبة مباشرةً وتقديم الطلب في وقت مبكر</w:t>
      </w:r>
      <w:r w:rsidRPr="0019052B">
        <w:rPr>
          <w:lang w:bidi="ar-SY"/>
        </w:rPr>
        <w:t>.</w:t>
      </w:r>
    </w:p>
    <w:p w14:paraId="5A15025E" w14:textId="3B0B8BCA" w:rsidR="00E84438" w:rsidRPr="00D517B2" w:rsidRDefault="00B73008" w:rsidP="00891703">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1C71CB3D" wp14:editId="138D7D62">
            <wp:simplePos x="0" y="0"/>
            <wp:positionH relativeFrom="margin">
              <wp:align>right</wp:align>
            </wp:positionH>
            <wp:positionV relativeFrom="paragraph">
              <wp:posOffset>311150</wp:posOffset>
            </wp:positionV>
            <wp:extent cx="768389" cy="368319"/>
            <wp:effectExtent l="0" t="0" r="0" b="0"/>
            <wp:wrapNone/>
            <wp:docPr id="767549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49453" name="Picture 767549453"/>
                    <pic:cNvPicPr/>
                  </pic:nvPicPr>
                  <pic:blipFill>
                    <a:blip r:embed="rId33">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E84438" w:rsidRPr="00D517B2">
        <w:rPr>
          <w:rFonts w:hint="cs"/>
          <w:rtl/>
          <w:lang w:bidi="ar-EG"/>
        </w:rPr>
        <w:t>وتفضلوا بقبول فائق التقدير والاحترام.</w:t>
      </w:r>
    </w:p>
    <w:p w14:paraId="330E6B4D" w14:textId="22A55070" w:rsidR="00E84438" w:rsidRPr="00D517B2" w:rsidRDefault="00807031" w:rsidP="006F67DB">
      <w:pPr>
        <w:spacing w:before="720"/>
        <w:jc w:val="left"/>
        <w:rPr>
          <w:rtl/>
        </w:rPr>
      </w:pPr>
      <w:r>
        <w:rPr>
          <w:rFonts w:hint="cs"/>
          <w:rtl/>
          <w:lang w:bidi="ar-SY"/>
        </w:rPr>
        <w:t>سيزو أونوي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sectPr w:rsidR="00E84438" w:rsidRPr="00D517B2" w:rsidSect="006C3242">
      <w:headerReference w:type="default" r:id="rId34"/>
      <w:footerReference w:type="first" r:id="rId3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8FCB9" w14:textId="77777777" w:rsidR="0019052B" w:rsidRDefault="0019052B" w:rsidP="006C3242">
      <w:pPr>
        <w:spacing w:before="0" w:line="240" w:lineRule="auto"/>
      </w:pPr>
      <w:r>
        <w:separator/>
      </w:r>
    </w:p>
  </w:endnote>
  <w:endnote w:type="continuationSeparator" w:id="0">
    <w:p w14:paraId="7C97BFEC" w14:textId="77777777" w:rsidR="0019052B" w:rsidRDefault="0019052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D50F"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044A" w14:textId="77777777" w:rsidR="0019052B" w:rsidRDefault="0019052B" w:rsidP="006C3242">
      <w:pPr>
        <w:spacing w:before="0" w:line="240" w:lineRule="auto"/>
      </w:pPr>
      <w:r>
        <w:separator/>
      </w:r>
    </w:p>
  </w:footnote>
  <w:footnote w:type="continuationSeparator" w:id="0">
    <w:p w14:paraId="6AC30663" w14:textId="77777777" w:rsidR="0019052B" w:rsidRDefault="0019052B"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AD2" w14:textId="216B54AF"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0233B5">
      <w:rPr>
        <w:sz w:val="20"/>
        <w:szCs w:val="20"/>
        <w:lang w:bidi="ar-EG"/>
      </w:rPr>
      <w:t>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2B"/>
    <w:rsid w:val="00002A63"/>
    <w:rsid w:val="000233B5"/>
    <w:rsid w:val="0006468A"/>
    <w:rsid w:val="00090574"/>
    <w:rsid w:val="000C1C0E"/>
    <w:rsid w:val="000C548A"/>
    <w:rsid w:val="000E327F"/>
    <w:rsid w:val="00146FE2"/>
    <w:rsid w:val="0019052B"/>
    <w:rsid w:val="001C0169"/>
    <w:rsid w:val="001D1D50"/>
    <w:rsid w:val="001D6745"/>
    <w:rsid w:val="001E2788"/>
    <w:rsid w:val="001E446E"/>
    <w:rsid w:val="001F4353"/>
    <w:rsid w:val="002154EE"/>
    <w:rsid w:val="002276D2"/>
    <w:rsid w:val="0023283D"/>
    <w:rsid w:val="0026373E"/>
    <w:rsid w:val="00271C43"/>
    <w:rsid w:val="00290728"/>
    <w:rsid w:val="002978F4"/>
    <w:rsid w:val="002B028D"/>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4F32DD"/>
    <w:rsid w:val="00525DDD"/>
    <w:rsid w:val="005409AC"/>
    <w:rsid w:val="0055516A"/>
    <w:rsid w:val="005731DD"/>
    <w:rsid w:val="0058491B"/>
    <w:rsid w:val="00592EA5"/>
    <w:rsid w:val="00595B52"/>
    <w:rsid w:val="00596808"/>
    <w:rsid w:val="005A3170"/>
    <w:rsid w:val="006019C6"/>
    <w:rsid w:val="006635B2"/>
    <w:rsid w:val="00677396"/>
    <w:rsid w:val="0069200F"/>
    <w:rsid w:val="0069744E"/>
    <w:rsid w:val="006A65CB"/>
    <w:rsid w:val="006C1530"/>
    <w:rsid w:val="006C3242"/>
    <w:rsid w:val="006C7CC0"/>
    <w:rsid w:val="006E1BAD"/>
    <w:rsid w:val="006E6264"/>
    <w:rsid w:val="006F63F7"/>
    <w:rsid w:val="006F67DB"/>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9778F"/>
    <w:rsid w:val="009D313F"/>
    <w:rsid w:val="009F17C2"/>
    <w:rsid w:val="00A47A5A"/>
    <w:rsid w:val="00A6683B"/>
    <w:rsid w:val="00A77C90"/>
    <w:rsid w:val="00A9156F"/>
    <w:rsid w:val="00A97F94"/>
    <w:rsid w:val="00AA7EA2"/>
    <w:rsid w:val="00AB0BC9"/>
    <w:rsid w:val="00AF6B5C"/>
    <w:rsid w:val="00B03099"/>
    <w:rsid w:val="00B05BC8"/>
    <w:rsid w:val="00B64B47"/>
    <w:rsid w:val="00B73008"/>
    <w:rsid w:val="00B916A7"/>
    <w:rsid w:val="00BB0F08"/>
    <w:rsid w:val="00C002DE"/>
    <w:rsid w:val="00C53BF8"/>
    <w:rsid w:val="00C66157"/>
    <w:rsid w:val="00C674FE"/>
    <w:rsid w:val="00C67501"/>
    <w:rsid w:val="00C75633"/>
    <w:rsid w:val="00CE1C08"/>
    <w:rsid w:val="00CE2EE1"/>
    <w:rsid w:val="00CE3349"/>
    <w:rsid w:val="00CE36E5"/>
    <w:rsid w:val="00CF27F5"/>
    <w:rsid w:val="00CF3FFD"/>
    <w:rsid w:val="00D10CCF"/>
    <w:rsid w:val="00D22846"/>
    <w:rsid w:val="00D44BF6"/>
    <w:rsid w:val="00D517B2"/>
    <w:rsid w:val="00D76170"/>
    <w:rsid w:val="00D77D0F"/>
    <w:rsid w:val="00DA1CF0"/>
    <w:rsid w:val="00DC1E02"/>
    <w:rsid w:val="00DC24B4"/>
    <w:rsid w:val="00DC5FB0"/>
    <w:rsid w:val="00DD1EBB"/>
    <w:rsid w:val="00DD6915"/>
    <w:rsid w:val="00DF16DC"/>
    <w:rsid w:val="00E45211"/>
    <w:rsid w:val="00E473C5"/>
    <w:rsid w:val="00E84438"/>
    <w:rsid w:val="00E92863"/>
    <w:rsid w:val="00EB796D"/>
    <w:rsid w:val="00F058DC"/>
    <w:rsid w:val="00F24FC4"/>
    <w:rsid w:val="00F2676C"/>
    <w:rsid w:val="00F33765"/>
    <w:rsid w:val="00F52941"/>
    <w:rsid w:val="00F84366"/>
    <w:rsid w:val="00F85089"/>
    <w:rsid w:val="00F974C5"/>
    <w:rsid w:val="00FA6F46"/>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A05B8"/>
  <w15:chartTrackingRefBased/>
  <w15:docId w15:val="{5E471650-CF99-4307-AF32-DAEED83F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B730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forgood.itu.int/event/ai-in-disaster-resilience-bridging-science-standards-and-innovation/" TargetMode="External"/><Relationship Id="rId18" Type="http://schemas.openxmlformats.org/officeDocument/2006/relationships/hyperlink" Target="https://aiforgood.itu.int/summit26/" TargetMode="External"/><Relationship Id="rId26" Type="http://schemas.openxmlformats.org/officeDocument/2006/relationships/hyperlink" Target="https://www.itu.int/en/ITU-T/extcoop/ai4resilience/Pages/default.aspx" TargetMode="External"/><Relationship Id="rId21" Type="http://schemas.openxmlformats.org/officeDocument/2006/relationships/hyperlink" Target="https://www.itu.int/hub/2024/08/new-un-initiative-to-reduce-disaster-risk-with-a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en/ITU-T/extcoop/ai4resilience/Pages/default.aspx" TargetMode="External"/><Relationship Id="rId17" Type="http://schemas.openxmlformats.org/officeDocument/2006/relationships/hyperlink" Target="https://aiforgood.itu.int/summit26/" TargetMode="External"/><Relationship Id="rId25" Type="http://schemas.openxmlformats.org/officeDocument/2006/relationships/hyperlink" Target="https://www.itu.int/en/ITU-T/extcoop/ai4resilience/Pages/default.aspx" TargetMode="External"/><Relationship Id="rId33"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iforgood.itu.int/summit26/" TargetMode="External"/><Relationship Id="rId20" Type="http://schemas.openxmlformats.org/officeDocument/2006/relationships/hyperlink" Target="https://www.itu.int/en/ITU-T/extcoop/ai4resilience/Pages/default.aspx" TargetMode="External"/><Relationship Id="rId29" Type="http://schemas.openxmlformats.org/officeDocument/2006/relationships/hyperlink" Target="mailto:resiliencestandards@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iforgood.itu.int/summit26/" TargetMode="External"/><Relationship Id="rId24" Type="http://schemas.openxmlformats.org/officeDocument/2006/relationships/hyperlink" Target="https://www.itu.int/en/ITU-T/focusgroups/ai4ndm/Pages/default.aspx" TargetMode="External"/><Relationship Id="rId32" Type="http://schemas.openxmlformats.org/officeDocument/2006/relationships/hyperlink" Target="https://aiforgood.itu.int/summit26/"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iforgood.itu.int/summit26/" TargetMode="External"/><Relationship Id="rId23" Type="http://schemas.openxmlformats.org/officeDocument/2006/relationships/hyperlink" Target="https://www.itu.int/hub/2024/08/new-un-initiative-to-reduce-disaster-risk-with-ai/" TargetMode="External"/><Relationship Id="rId28" Type="http://schemas.openxmlformats.org/officeDocument/2006/relationships/hyperlink" Target="https://www.itu.int/en/ITU-T/extcoop/ai4resilience/Pages/default.aspx" TargetMode="External"/><Relationship Id="rId36" Type="http://schemas.openxmlformats.org/officeDocument/2006/relationships/fontTable" Target="fontTable.xml"/><Relationship Id="rId10" Type="http://schemas.openxmlformats.org/officeDocument/2006/relationships/hyperlink" Target="https://aiforgood.itu.int/event/ai-in-disaster-resilience-bridging-science-standards-and-innovation/" TargetMode="External"/><Relationship Id="rId19" Type="http://schemas.openxmlformats.org/officeDocument/2006/relationships/hyperlink" Target="https://www.itu.int/en/ITU-T/extcoop/ai4resilience/Pages/default.aspx" TargetMode="External"/><Relationship Id="rId31" Type="http://schemas.openxmlformats.org/officeDocument/2006/relationships/hyperlink" Target="https://aiforgood.itu.int/summit26/" TargetMode="External"/><Relationship Id="rId4" Type="http://schemas.openxmlformats.org/officeDocument/2006/relationships/settings" Target="settings.xml"/><Relationship Id="rId9" Type="http://schemas.openxmlformats.org/officeDocument/2006/relationships/hyperlink" Target="mailto:resiliencestandards@itu.int" TargetMode="External"/><Relationship Id="rId14" Type="http://schemas.openxmlformats.org/officeDocument/2006/relationships/hyperlink" Target="https://aiforgood.itu.int/summit26/" TargetMode="External"/><Relationship Id="rId22" Type="http://schemas.openxmlformats.org/officeDocument/2006/relationships/hyperlink" Target="https://www.itu.int/en/ITU-T/focusgroups/ai4ndm/Pages/default.aspx" TargetMode="External"/><Relationship Id="rId27" Type="http://schemas.openxmlformats.org/officeDocument/2006/relationships/hyperlink" Target="mailto:resiliencestandards@itu.int" TargetMode="External"/><Relationship Id="rId30" Type="http://schemas.openxmlformats.org/officeDocument/2006/relationships/hyperlink" Target="https://www.itu.int/en/ITU-T/extcoop/ai4resilience/Pages/default.aspx"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16</TotalTime>
  <Pages>2</Pages>
  <Words>835</Words>
  <Characters>4906</Characters>
  <Application>Microsoft Office Word</Application>
  <DocSecurity>0</DocSecurity>
  <Lines>102</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Braud, Olivia</cp:lastModifiedBy>
  <cp:revision>6</cp:revision>
  <cp:lastPrinted>2026-05-12T14:27:00Z</cp:lastPrinted>
  <dcterms:created xsi:type="dcterms:W3CDTF">2026-05-11T08:29:00Z</dcterms:created>
  <dcterms:modified xsi:type="dcterms:W3CDTF">2026-05-12T14:28:00Z</dcterms:modified>
</cp:coreProperties>
</file>