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60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4668"/>
      </w:tblGrid>
      <w:tr w:rsidR="00DD68CA" w:rsidRPr="0068675C" w14:paraId="41733E8A" w14:textId="77777777" w:rsidTr="0068675C">
        <w:trPr>
          <w:cantSplit/>
        </w:trPr>
        <w:tc>
          <w:tcPr>
            <w:tcW w:w="1418" w:type="dxa"/>
          </w:tcPr>
          <w:p w14:paraId="579C6650" w14:textId="77777777" w:rsidR="00DD68CA" w:rsidRPr="00F9463A" w:rsidRDefault="00DD68CA" w:rsidP="0068675C">
            <w:pPr>
              <w:spacing w:before="0"/>
              <w:rPr>
                <w:b/>
                <w:bCs/>
                <w:lang w:val="ru-RU"/>
              </w:rPr>
            </w:pPr>
            <w:r w:rsidRPr="00F9463A">
              <w:rPr>
                <w:noProof/>
                <w:lang w:val="ru-RU" w:eastAsia="zh-CN"/>
              </w:rPr>
              <w:drawing>
                <wp:inline distT="0" distB="0" distL="0" distR="0" wp14:anchorId="4C4FE59A" wp14:editId="3028281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14:paraId="260DFF6E" w14:textId="77777777" w:rsidR="00DD68CA" w:rsidRPr="00F9463A" w:rsidRDefault="00DD68CA" w:rsidP="0068675C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F9463A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20CD5D0" w14:textId="77777777" w:rsidR="00DD68CA" w:rsidRPr="00F9463A" w:rsidRDefault="00DD68CA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9463A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F9463A" w14:paraId="1E4FC5EB" w14:textId="77777777" w:rsidTr="0068675C">
        <w:trPr>
          <w:cantSplit/>
        </w:trPr>
        <w:tc>
          <w:tcPr>
            <w:tcW w:w="1418" w:type="dxa"/>
          </w:tcPr>
          <w:p w14:paraId="7D3313E4" w14:textId="77777777" w:rsidR="00DD68CA" w:rsidRPr="00F9463A" w:rsidRDefault="00DD68CA" w:rsidP="0068675C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827" w:type="dxa"/>
          </w:tcPr>
          <w:p w14:paraId="2B8F07EB" w14:textId="77777777" w:rsidR="00DD68CA" w:rsidRPr="00F9463A" w:rsidRDefault="00DD68CA" w:rsidP="0068675C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68" w:type="dxa"/>
          </w:tcPr>
          <w:p w14:paraId="292F800A" w14:textId="3B41C301" w:rsidR="00DD68CA" w:rsidRPr="00F9463A" w:rsidRDefault="00DD68CA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rPr>
                <w:lang w:val="ru-RU"/>
              </w:rPr>
            </w:pPr>
            <w:r w:rsidRPr="00F9463A">
              <w:rPr>
                <w:lang w:val="ru-RU"/>
              </w:rPr>
              <w:t xml:space="preserve">Женева, </w:t>
            </w:r>
            <w:r w:rsidR="00172391" w:rsidRPr="00F9463A">
              <w:rPr>
                <w:lang w:val="ru-RU"/>
              </w:rPr>
              <w:t>27 апреля 2026 года</w:t>
            </w:r>
          </w:p>
        </w:tc>
      </w:tr>
      <w:tr w:rsidR="00A815B6" w:rsidRPr="0068675C" w14:paraId="04EF3C7E" w14:textId="77777777" w:rsidTr="0068675C">
        <w:trPr>
          <w:cantSplit/>
        </w:trPr>
        <w:tc>
          <w:tcPr>
            <w:tcW w:w="1418" w:type="dxa"/>
          </w:tcPr>
          <w:p w14:paraId="75688A61" w14:textId="77777777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68675C">
              <w:rPr>
                <w:b/>
                <w:bCs/>
                <w:lang w:val="ru-RU"/>
              </w:rPr>
              <w:t>Осн</w:t>
            </w:r>
            <w:r w:rsidRPr="00F9463A">
              <w:rPr>
                <w:lang w:val="ru-RU"/>
              </w:rPr>
              <w:t>.:</w:t>
            </w:r>
          </w:p>
        </w:tc>
        <w:tc>
          <w:tcPr>
            <w:tcW w:w="3827" w:type="dxa"/>
          </w:tcPr>
          <w:p w14:paraId="4691AC6A" w14:textId="16CF68CE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F9463A">
              <w:rPr>
                <w:b/>
                <w:bCs/>
                <w:lang w:val="ru-RU"/>
              </w:rPr>
              <w:t xml:space="preserve">Циркуляр </w:t>
            </w:r>
            <w:r w:rsidR="00172391" w:rsidRPr="00F9463A">
              <w:rPr>
                <w:b/>
                <w:bCs/>
                <w:szCs w:val="22"/>
                <w:lang w:val="ru-RU"/>
              </w:rPr>
              <w:t xml:space="preserve">133 </w:t>
            </w:r>
            <w:r w:rsidRPr="00F9463A">
              <w:rPr>
                <w:b/>
                <w:bCs/>
                <w:lang w:val="ru-RU"/>
              </w:rPr>
              <w:t>БСЭ</w:t>
            </w:r>
            <w:r w:rsidRPr="00F9463A">
              <w:rPr>
                <w:b/>
                <w:bCs/>
                <w:lang w:val="ru-RU"/>
              </w:rPr>
              <w:br/>
            </w:r>
            <w:r w:rsidR="00172391" w:rsidRPr="00F9463A">
              <w:rPr>
                <w:rFonts w:cstheme="minorHAnsi"/>
                <w:szCs w:val="22"/>
                <w:lang w:val="ru-RU"/>
              </w:rPr>
              <w:t>SG17/XY</w:t>
            </w:r>
          </w:p>
          <w:p w14:paraId="5D903E0A" w14:textId="77777777" w:rsidR="00A815B6" w:rsidRPr="00F9463A" w:rsidRDefault="00A815B6" w:rsidP="0068675C">
            <w:pPr>
              <w:spacing w:before="0"/>
              <w:rPr>
                <w:lang w:val="ru-RU"/>
              </w:rPr>
            </w:pPr>
          </w:p>
        </w:tc>
        <w:tc>
          <w:tcPr>
            <w:tcW w:w="4668" w:type="dxa"/>
            <w:vMerge w:val="restart"/>
          </w:tcPr>
          <w:p w14:paraId="431C7FAE" w14:textId="375B0E41" w:rsidR="00172391" w:rsidRPr="00F9463A" w:rsidRDefault="00172391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b/>
                <w:bCs/>
                <w:szCs w:val="22"/>
                <w:lang w:val="ru-RU"/>
              </w:rPr>
              <w:t>Кому</w:t>
            </w:r>
            <w:r w:rsidRPr="00F9463A">
              <w:rPr>
                <w:szCs w:val="22"/>
                <w:lang w:val="ru-RU"/>
              </w:rPr>
              <w:t>:</w:t>
            </w:r>
          </w:p>
          <w:p w14:paraId="01A8F62E" w14:textId="7D08511B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  <w:t>Администрациям Государств – Членов Союза</w:t>
            </w:r>
          </w:p>
          <w:p w14:paraId="32074C25" w14:textId="08AA9B5B" w:rsidR="00172391" w:rsidRPr="00F9463A" w:rsidRDefault="00172391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</w:r>
            <w:r w:rsidRPr="00F9463A">
              <w:rPr>
                <w:szCs w:val="22"/>
                <w:lang w:val="ru-RU"/>
              </w:rPr>
              <w:t>Государству Палестина (Резолюция 99 (Пересм. Дубай, 2018 г.)</w:t>
            </w:r>
          </w:p>
          <w:p w14:paraId="441E4756" w14:textId="101FC368" w:rsidR="00172391" w:rsidRPr="00F9463A" w:rsidRDefault="00172391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b/>
                <w:bCs/>
                <w:szCs w:val="22"/>
                <w:lang w:val="ru-RU"/>
              </w:rPr>
              <w:t>Копии</w:t>
            </w:r>
            <w:r w:rsidRPr="00F9463A">
              <w:rPr>
                <w:szCs w:val="22"/>
                <w:lang w:val="ru-RU"/>
              </w:rPr>
              <w:t>:</w:t>
            </w:r>
          </w:p>
          <w:p w14:paraId="49F8EF71" w14:textId="77777777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  <w:t>Членам Сектора МСЭ-Т</w:t>
            </w:r>
          </w:p>
          <w:p w14:paraId="6E06ACBF" w14:textId="032B6B50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</w:r>
            <w:r w:rsidR="00172391" w:rsidRPr="00F9463A">
              <w:rPr>
                <w:szCs w:val="22"/>
                <w:lang w:val="ru-RU"/>
              </w:rPr>
              <w:t xml:space="preserve">Ассоциированным членам, </w:t>
            </w:r>
            <w:r w:rsidR="00172391" w:rsidRPr="00F9463A">
              <w:rPr>
                <w:lang w:val="ru-RU"/>
              </w:rPr>
              <w:t>участвующим в работе 17</w:t>
            </w:r>
            <w:r w:rsidR="00172391" w:rsidRPr="00F9463A">
              <w:rPr>
                <w:lang w:val="ru-RU"/>
              </w:rPr>
              <w:noBreakHyphen/>
              <w:t>й Исследовательской комиссии</w:t>
            </w:r>
            <w:r w:rsidR="00172391" w:rsidRPr="00F9463A">
              <w:rPr>
                <w:szCs w:val="22"/>
                <w:lang w:val="ru-RU"/>
              </w:rPr>
              <w:t xml:space="preserve"> МСЭ-Т</w:t>
            </w:r>
          </w:p>
          <w:p w14:paraId="111E19DE" w14:textId="77777777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  <w:t>Академическим организациям − Членам МСЭ</w:t>
            </w:r>
            <w:r w:rsidRPr="00F9463A">
              <w:rPr>
                <w:lang w:val="ru-RU"/>
              </w:rPr>
              <w:noBreakHyphen/>
              <w:t>Т</w:t>
            </w:r>
          </w:p>
          <w:p w14:paraId="4AD32480" w14:textId="0E16F3B7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</w:r>
            <w:r w:rsidR="00172391" w:rsidRPr="00F9463A">
              <w:rPr>
                <w:lang w:val="ru-RU"/>
              </w:rPr>
              <w:t>Председателю и заместителям Председателя 17</w:t>
            </w:r>
            <w:r w:rsidR="00172391" w:rsidRPr="00F9463A">
              <w:rPr>
                <w:lang w:val="ru-RU"/>
              </w:rPr>
              <w:noBreakHyphen/>
              <w:t>й Исследовательской комиссии МСЭ-Т</w:t>
            </w:r>
          </w:p>
          <w:p w14:paraId="212C2DF3" w14:textId="77777777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  <w:t>Директору Бюро развития электросвязи</w:t>
            </w:r>
          </w:p>
          <w:p w14:paraId="36EB88E3" w14:textId="77777777" w:rsidR="00A815B6" w:rsidRPr="00F9463A" w:rsidRDefault="00A815B6" w:rsidP="0068675C">
            <w:pPr>
              <w:tabs>
                <w:tab w:val="left" w:pos="284"/>
              </w:tabs>
              <w:spacing w:before="0"/>
              <w:ind w:left="288" w:hanging="288"/>
              <w:rPr>
                <w:lang w:val="ru-RU"/>
              </w:rPr>
            </w:pPr>
            <w:r w:rsidRPr="00F9463A">
              <w:rPr>
                <w:lang w:val="ru-RU"/>
              </w:rPr>
              <w:t>–</w:t>
            </w:r>
            <w:r w:rsidRPr="00F9463A">
              <w:rPr>
                <w:lang w:val="ru-RU"/>
              </w:rPr>
              <w:tab/>
              <w:t>Директору Бюро радиосвязи</w:t>
            </w:r>
          </w:p>
        </w:tc>
      </w:tr>
      <w:tr w:rsidR="00A815B6" w:rsidRPr="00F9463A" w14:paraId="4967E10A" w14:textId="77777777" w:rsidTr="0068675C">
        <w:trPr>
          <w:cantSplit/>
        </w:trPr>
        <w:tc>
          <w:tcPr>
            <w:tcW w:w="1418" w:type="dxa"/>
          </w:tcPr>
          <w:p w14:paraId="68F060F3" w14:textId="77777777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F9463A">
              <w:rPr>
                <w:lang w:val="ru-RU"/>
              </w:rPr>
              <w:t>Тел.:</w:t>
            </w:r>
          </w:p>
        </w:tc>
        <w:tc>
          <w:tcPr>
            <w:tcW w:w="3827" w:type="dxa"/>
          </w:tcPr>
          <w:p w14:paraId="68C42670" w14:textId="577EA63C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F9463A">
              <w:rPr>
                <w:lang w:val="ru-RU"/>
              </w:rPr>
              <w:t>+</w:t>
            </w:r>
            <w:r w:rsidR="00172391" w:rsidRPr="00F9463A">
              <w:rPr>
                <w:szCs w:val="22"/>
                <w:lang w:val="ru-RU"/>
              </w:rPr>
              <w:t>41 22 730 6206</w:t>
            </w:r>
          </w:p>
        </w:tc>
        <w:tc>
          <w:tcPr>
            <w:tcW w:w="4668" w:type="dxa"/>
            <w:vMerge/>
          </w:tcPr>
          <w:p w14:paraId="48038090" w14:textId="77777777" w:rsidR="00A815B6" w:rsidRPr="00F9463A" w:rsidRDefault="00A815B6" w:rsidP="0068675C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F9463A" w14:paraId="576C33F6" w14:textId="77777777" w:rsidTr="0068675C">
        <w:trPr>
          <w:cantSplit/>
        </w:trPr>
        <w:tc>
          <w:tcPr>
            <w:tcW w:w="1418" w:type="dxa"/>
          </w:tcPr>
          <w:p w14:paraId="31311679" w14:textId="77777777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F9463A">
              <w:rPr>
                <w:lang w:val="ru-RU"/>
              </w:rPr>
              <w:t>Факс:</w:t>
            </w:r>
          </w:p>
        </w:tc>
        <w:tc>
          <w:tcPr>
            <w:tcW w:w="3827" w:type="dxa"/>
          </w:tcPr>
          <w:p w14:paraId="4337F1A1" w14:textId="77777777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F9463A">
              <w:rPr>
                <w:lang w:val="ru-RU"/>
              </w:rPr>
              <w:t>+41 22 730 5853</w:t>
            </w:r>
          </w:p>
        </w:tc>
        <w:tc>
          <w:tcPr>
            <w:tcW w:w="4668" w:type="dxa"/>
            <w:vMerge/>
          </w:tcPr>
          <w:p w14:paraId="543D86E0" w14:textId="77777777" w:rsidR="00A815B6" w:rsidRPr="00F9463A" w:rsidRDefault="00A815B6" w:rsidP="0068675C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F9463A" w14:paraId="266C1C26" w14:textId="77777777" w:rsidTr="0068675C">
        <w:trPr>
          <w:cantSplit/>
          <w:trHeight w:val="2892"/>
        </w:trPr>
        <w:tc>
          <w:tcPr>
            <w:tcW w:w="1418" w:type="dxa"/>
          </w:tcPr>
          <w:p w14:paraId="6D12567B" w14:textId="77777777" w:rsidR="00A815B6" w:rsidRPr="00F9463A" w:rsidRDefault="00A815B6" w:rsidP="0068675C">
            <w:pPr>
              <w:spacing w:before="0"/>
              <w:rPr>
                <w:lang w:val="ru-RU"/>
              </w:rPr>
            </w:pPr>
            <w:r w:rsidRPr="00F9463A">
              <w:rPr>
                <w:lang w:val="ru-RU"/>
              </w:rPr>
              <w:t>Эл. почта:</w:t>
            </w:r>
          </w:p>
        </w:tc>
        <w:tc>
          <w:tcPr>
            <w:tcW w:w="3827" w:type="dxa"/>
          </w:tcPr>
          <w:p w14:paraId="738C9F05" w14:textId="1F660317" w:rsidR="00A815B6" w:rsidRPr="00F9463A" w:rsidRDefault="00172391" w:rsidP="0068675C">
            <w:pPr>
              <w:spacing w:before="0"/>
              <w:rPr>
                <w:lang w:val="ru-RU"/>
              </w:rPr>
            </w:pPr>
            <w:hyperlink r:id="rId8" w:history="1">
              <w:r w:rsidRPr="00F9463A">
                <w:rPr>
                  <w:rStyle w:val="Hyperlink"/>
                  <w:rFonts w:cstheme="minorHAnsi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4668" w:type="dxa"/>
            <w:vMerge/>
          </w:tcPr>
          <w:p w14:paraId="74BD8A35" w14:textId="77777777" w:rsidR="00A815B6" w:rsidRPr="00F9463A" w:rsidRDefault="00A815B6" w:rsidP="006867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68675C" w14:paraId="21C6537F" w14:textId="77777777" w:rsidTr="0068675C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418" w:type="dxa"/>
          </w:tcPr>
          <w:p w14:paraId="1FB22B3A" w14:textId="77777777" w:rsidR="001629DC" w:rsidRPr="00F9463A" w:rsidRDefault="001629DC" w:rsidP="0068675C">
            <w:pPr>
              <w:spacing w:before="0"/>
              <w:rPr>
                <w:b/>
                <w:bCs/>
                <w:lang w:val="ru-RU"/>
              </w:rPr>
            </w:pPr>
            <w:r w:rsidRPr="00F9463A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495" w:type="dxa"/>
            <w:gridSpan w:val="2"/>
          </w:tcPr>
          <w:p w14:paraId="11310CD7" w14:textId="1F96CD18" w:rsidR="001629DC" w:rsidRPr="00F9463A" w:rsidRDefault="00172391" w:rsidP="0068675C">
            <w:pPr>
              <w:spacing w:before="0"/>
              <w:rPr>
                <w:b/>
                <w:bCs/>
                <w:lang w:val="ru-RU"/>
              </w:rPr>
            </w:pPr>
            <w:bookmarkStart w:id="0" w:name="_Hlk221008914"/>
            <w:r w:rsidRPr="00F9463A">
              <w:rPr>
                <w:b/>
                <w:bCs/>
                <w:lang w:val="ru-RU"/>
              </w:rPr>
              <w:t>Статус новых и пересмотренных Вопросов 17-й Исследовательской комиссии МСЭ­Т, одобренных Консультативной группой по стандартизации электросвязи (КГСЭ) (Женева, 26–30 января 2026 г.)</w:t>
            </w:r>
            <w:bookmarkEnd w:id="0"/>
          </w:p>
        </w:tc>
      </w:tr>
    </w:tbl>
    <w:p w14:paraId="653231AA" w14:textId="77777777" w:rsidR="00172391" w:rsidRPr="00F9463A" w:rsidRDefault="00172391" w:rsidP="0068675C">
      <w:pPr>
        <w:spacing w:before="240"/>
        <w:rPr>
          <w:lang w:val="ru-RU"/>
        </w:rPr>
      </w:pPr>
      <w:r w:rsidRPr="00F9463A">
        <w:rPr>
          <w:lang w:val="ru-RU"/>
        </w:rPr>
        <w:t>Уважаемая госпожа,</w:t>
      </w:r>
      <w:r w:rsidRPr="00F9463A">
        <w:rPr>
          <w:lang w:val="ru-RU"/>
        </w:rPr>
        <w:br/>
        <w:t>уважаемый господин,</w:t>
      </w:r>
    </w:p>
    <w:p w14:paraId="51A823D1" w14:textId="61DFCA31" w:rsidR="00172391" w:rsidRPr="00F9463A" w:rsidRDefault="00172391" w:rsidP="00172391">
      <w:pPr>
        <w:spacing w:after="120"/>
        <w:rPr>
          <w:spacing w:val="-2"/>
          <w:szCs w:val="22"/>
          <w:lang w:val="ru-RU"/>
        </w:rPr>
      </w:pPr>
      <w:r w:rsidRPr="00F9463A">
        <w:rPr>
          <w:lang w:val="ru-RU"/>
        </w:rPr>
        <w:t>1</w:t>
      </w:r>
      <w:r w:rsidRPr="00F9463A">
        <w:rPr>
          <w:lang w:val="ru-RU"/>
        </w:rPr>
        <w:tab/>
        <w:t xml:space="preserve">По просьбе Председателя 17-й Исследовательской комиссии МСЭ-Т (Безопасность) имею честь сообщить вам, что по результатам консультаций с Государствами-Членами, о которых говорится в </w:t>
      </w:r>
      <w:hyperlink r:id="rId9" w:history="1">
        <w:r w:rsidRPr="00F9463A">
          <w:rPr>
            <w:rStyle w:val="Hyperlink"/>
            <w:lang w:val="ru-RU"/>
          </w:rPr>
          <w:t>Цирку</w:t>
        </w:r>
        <w:r w:rsidRPr="00F9463A">
          <w:rPr>
            <w:rStyle w:val="Hyperlink"/>
            <w:lang w:val="ru-RU"/>
          </w:rPr>
          <w:t>л</w:t>
        </w:r>
        <w:r w:rsidRPr="00F9463A">
          <w:rPr>
            <w:rStyle w:val="Hyperlink"/>
            <w:lang w:val="ru-RU"/>
          </w:rPr>
          <w:t>яре 101 БСЭ</w:t>
        </w:r>
      </w:hyperlink>
      <w:r w:rsidRPr="00F9463A">
        <w:rPr>
          <w:lang w:val="ru-RU"/>
        </w:rPr>
        <w:t xml:space="preserve"> от 3 февраля 2026 года, в соответствии с положениями п.</w:t>
      </w:r>
      <w:r w:rsidR="006E2BD8" w:rsidRPr="00F9463A">
        <w:rPr>
          <w:lang w:val="ru-RU"/>
        </w:rPr>
        <w:t> </w:t>
      </w:r>
      <w:r w:rsidRPr="00F9463A">
        <w:rPr>
          <w:lang w:val="ru-RU"/>
        </w:rPr>
        <w:t>7.3.2.3 Резолюции</w:t>
      </w:r>
      <w:r w:rsidR="006E2BD8" w:rsidRPr="00F9463A">
        <w:rPr>
          <w:lang w:val="ru-RU"/>
        </w:rPr>
        <w:t> </w:t>
      </w:r>
      <w:r w:rsidRPr="00F9463A">
        <w:rPr>
          <w:lang w:val="ru-RU"/>
        </w:rPr>
        <w:t>1 (Пересм. Женева, 2022 г.) ВАСЭ во всех ответах, полученных в период консультаций, содержатся высказывания в пользу утверждения следующих новых и пересмотренных Вопросов:</w:t>
      </w:r>
      <w:hyperlink r:id="rId10" w:history="1"/>
      <w:bookmarkStart w:id="1" w:name="date_of_signature"/>
      <w:bookmarkEnd w:id="1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6"/>
        <w:gridCol w:w="3977"/>
        <w:gridCol w:w="4246"/>
      </w:tblGrid>
      <w:tr w:rsidR="00172391" w:rsidRPr="00F9463A" w14:paraId="4458A77A" w14:textId="77777777" w:rsidTr="00842327">
        <w:trPr>
          <w:tblHeader/>
          <w:jc w:val="center"/>
        </w:trPr>
        <w:tc>
          <w:tcPr>
            <w:tcW w:w="730" w:type="pct"/>
          </w:tcPr>
          <w:p w14:paraId="3A72F9B2" w14:textId="77777777" w:rsidR="00172391" w:rsidRPr="00F9463A" w:rsidRDefault="00172391" w:rsidP="00172391">
            <w:pPr>
              <w:pStyle w:val="Tablehead"/>
              <w:rPr>
                <w:lang w:val="ru-RU"/>
              </w:rPr>
            </w:pPr>
            <w:r w:rsidRPr="00F9463A">
              <w:rPr>
                <w:lang w:val="ru-RU"/>
              </w:rPr>
              <w:t>Вопрос</w:t>
            </w:r>
          </w:p>
        </w:tc>
        <w:tc>
          <w:tcPr>
            <w:tcW w:w="2065" w:type="pct"/>
          </w:tcPr>
          <w:p w14:paraId="67E1E34D" w14:textId="77777777" w:rsidR="00172391" w:rsidRPr="00F9463A" w:rsidRDefault="00172391" w:rsidP="00172391">
            <w:pPr>
              <w:pStyle w:val="Tablehead"/>
              <w:rPr>
                <w:lang w:val="ru-RU"/>
              </w:rPr>
            </w:pPr>
            <w:r w:rsidRPr="00F9463A">
              <w:rPr>
                <w:lang w:val="ru-RU"/>
              </w:rPr>
              <w:t>Название</w:t>
            </w:r>
          </w:p>
        </w:tc>
        <w:tc>
          <w:tcPr>
            <w:tcW w:w="2205" w:type="pct"/>
          </w:tcPr>
          <w:p w14:paraId="5FD9DF4E" w14:textId="77777777" w:rsidR="00172391" w:rsidRPr="00F9463A" w:rsidRDefault="00172391" w:rsidP="00172391">
            <w:pPr>
              <w:pStyle w:val="Tablehead"/>
              <w:rPr>
                <w:lang w:val="ru-RU"/>
              </w:rPr>
            </w:pPr>
            <w:r w:rsidRPr="00F9463A">
              <w:rPr>
                <w:lang w:val="ru-RU"/>
              </w:rPr>
              <w:t>Хронологическая справка</w:t>
            </w:r>
          </w:p>
        </w:tc>
      </w:tr>
      <w:tr w:rsidR="00172391" w:rsidRPr="00F9463A" w14:paraId="1813F5F5" w14:textId="77777777" w:rsidTr="00842327">
        <w:trPr>
          <w:jc w:val="center"/>
        </w:trPr>
        <w:tc>
          <w:tcPr>
            <w:tcW w:w="730" w:type="pct"/>
          </w:tcPr>
          <w:p w14:paraId="181DBBA1" w14:textId="77777777" w:rsidR="00172391" w:rsidRPr="00F9463A" w:rsidRDefault="00172391" w:rsidP="006E2BD8">
            <w:pPr>
              <w:pStyle w:val="Tabletext0"/>
              <w:jc w:val="center"/>
              <w:rPr>
                <w:lang w:val="ru-RU"/>
              </w:rPr>
            </w:pPr>
            <w:r w:rsidRPr="00F9463A">
              <w:rPr>
                <w:lang w:val="ru-RU"/>
              </w:rPr>
              <w:t>7/17</w:t>
            </w:r>
          </w:p>
        </w:tc>
        <w:tc>
          <w:tcPr>
            <w:tcW w:w="2065" w:type="pct"/>
          </w:tcPr>
          <w:p w14:paraId="47B3CDD4" w14:textId="77777777" w:rsidR="00172391" w:rsidRPr="00F9463A" w:rsidRDefault="00172391" w:rsidP="00172391">
            <w:pPr>
              <w:pStyle w:val="Tabletext0"/>
              <w:rPr>
                <w:lang w:val="ru-RU"/>
              </w:rPr>
            </w:pPr>
            <w:r w:rsidRPr="00F9463A">
              <w:rPr>
                <w:lang w:val="ru-RU"/>
              </w:rPr>
              <w:t>Безопасные прикладные услуги</w:t>
            </w:r>
          </w:p>
        </w:tc>
        <w:tc>
          <w:tcPr>
            <w:tcW w:w="2205" w:type="pct"/>
          </w:tcPr>
          <w:p w14:paraId="57EC1CA6" w14:textId="77777777" w:rsidR="00172391" w:rsidRPr="00F9463A" w:rsidRDefault="00172391" w:rsidP="00172391">
            <w:pPr>
              <w:pStyle w:val="Tabletext0"/>
              <w:rPr>
                <w:lang w:val="ru-RU"/>
              </w:rPr>
            </w:pPr>
            <w:r w:rsidRPr="00F9463A">
              <w:rPr>
                <w:lang w:val="ru-RU"/>
              </w:rPr>
              <w:t>Пересмотренный (Продолжение Вопроса 7/17)</w:t>
            </w:r>
          </w:p>
        </w:tc>
      </w:tr>
      <w:tr w:rsidR="00172391" w:rsidRPr="0068675C" w14:paraId="0FDD98C4" w14:textId="77777777" w:rsidTr="00842327">
        <w:trPr>
          <w:jc w:val="center"/>
        </w:trPr>
        <w:tc>
          <w:tcPr>
            <w:tcW w:w="730" w:type="pct"/>
          </w:tcPr>
          <w:p w14:paraId="50CF6FD3" w14:textId="77777777" w:rsidR="00172391" w:rsidRPr="00F9463A" w:rsidRDefault="00172391" w:rsidP="006E2BD8">
            <w:pPr>
              <w:pStyle w:val="Tabletext0"/>
              <w:jc w:val="center"/>
              <w:rPr>
                <w:lang w:val="ru-RU"/>
              </w:rPr>
            </w:pPr>
            <w:r w:rsidRPr="00F9463A">
              <w:rPr>
                <w:lang w:val="ru-RU"/>
              </w:rPr>
              <w:t>10/17</w:t>
            </w:r>
          </w:p>
        </w:tc>
        <w:tc>
          <w:tcPr>
            <w:tcW w:w="2065" w:type="pct"/>
          </w:tcPr>
          <w:p w14:paraId="4101D7DB" w14:textId="77777777" w:rsidR="00172391" w:rsidRPr="00F9463A" w:rsidRDefault="00172391" w:rsidP="00172391">
            <w:pPr>
              <w:pStyle w:val="Tabletext0"/>
              <w:rPr>
                <w:lang w:val="ru-RU"/>
              </w:rPr>
            </w:pPr>
            <w:r w:rsidRPr="00F9463A">
              <w:rPr>
                <w:lang w:val="ru-RU"/>
              </w:rPr>
              <w:t>Управление определением цифровой идентичности, безопасностью и услугами</w:t>
            </w:r>
          </w:p>
        </w:tc>
        <w:tc>
          <w:tcPr>
            <w:tcW w:w="2205" w:type="pct"/>
          </w:tcPr>
          <w:p w14:paraId="7EC2BD1A" w14:textId="4E2AA810" w:rsidR="00172391" w:rsidRPr="00F9463A" w:rsidRDefault="00172391" w:rsidP="00172391">
            <w:pPr>
              <w:pStyle w:val="Tabletext0"/>
              <w:rPr>
                <w:lang w:val="ru-RU"/>
              </w:rPr>
            </w:pPr>
            <w:r w:rsidRPr="00F9463A">
              <w:rPr>
                <w:lang w:val="ru-RU"/>
              </w:rPr>
              <w:t>Пересмотренный (Продолжение Вопроса 10/17 (2025</w:t>
            </w:r>
            <w:r w:rsidR="006E2BD8" w:rsidRPr="00F9463A">
              <w:rPr>
                <w:lang w:val="ru-RU"/>
              </w:rPr>
              <w:t> </w:t>
            </w:r>
            <w:r w:rsidRPr="00F9463A">
              <w:rPr>
                <w:lang w:val="ru-RU"/>
              </w:rPr>
              <w:t>г.) после объединения с Вопросом 3/17 (2025</w:t>
            </w:r>
            <w:r w:rsidR="006E2BD8" w:rsidRPr="00F9463A">
              <w:rPr>
                <w:lang w:val="ru-RU"/>
              </w:rPr>
              <w:t> </w:t>
            </w:r>
            <w:r w:rsidRPr="00F9463A">
              <w:rPr>
                <w:lang w:val="ru-RU"/>
              </w:rPr>
              <w:t>г.))</w:t>
            </w:r>
          </w:p>
        </w:tc>
      </w:tr>
      <w:tr w:rsidR="00172391" w:rsidRPr="00F9463A" w14:paraId="75C4C170" w14:textId="77777777" w:rsidTr="00842327">
        <w:trPr>
          <w:jc w:val="center"/>
        </w:trPr>
        <w:tc>
          <w:tcPr>
            <w:tcW w:w="730" w:type="pct"/>
          </w:tcPr>
          <w:p w14:paraId="433A56AB" w14:textId="77777777" w:rsidR="00172391" w:rsidRPr="00F9463A" w:rsidRDefault="00172391" w:rsidP="006E2BD8">
            <w:pPr>
              <w:pStyle w:val="Tabletext0"/>
              <w:jc w:val="center"/>
              <w:rPr>
                <w:lang w:val="ru-RU"/>
              </w:rPr>
            </w:pPr>
            <w:r w:rsidRPr="00F9463A">
              <w:rPr>
                <w:lang w:val="ru-RU"/>
              </w:rPr>
              <w:t>16/17</w:t>
            </w:r>
          </w:p>
        </w:tc>
        <w:tc>
          <w:tcPr>
            <w:tcW w:w="2065" w:type="pct"/>
          </w:tcPr>
          <w:p w14:paraId="301BB231" w14:textId="1C51AF5A" w:rsidR="00172391" w:rsidRPr="00F9463A" w:rsidRDefault="00172391" w:rsidP="00172391">
            <w:pPr>
              <w:pStyle w:val="Tabletext0"/>
              <w:rPr>
                <w:lang w:val="ru-RU"/>
              </w:rPr>
            </w:pPr>
            <w:r w:rsidRPr="00F9463A">
              <w:rPr>
                <w:lang w:val="ru-RU"/>
              </w:rPr>
              <w:t>Безопасность искусственного интеллекта (ИИ)</w:t>
            </w:r>
          </w:p>
        </w:tc>
        <w:tc>
          <w:tcPr>
            <w:tcW w:w="2205" w:type="pct"/>
          </w:tcPr>
          <w:p w14:paraId="318FD400" w14:textId="77777777" w:rsidR="00172391" w:rsidRPr="00F9463A" w:rsidRDefault="00172391" w:rsidP="00172391">
            <w:pPr>
              <w:pStyle w:val="Tabletext0"/>
              <w:rPr>
                <w:lang w:val="ru-RU"/>
              </w:rPr>
            </w:pPr>
            <w:r w:rsidRPr="00F9463A">
              <w:rPr>
                <w:lang w:val="ru-RU"/>
              </w:rPr>
              <w:t>Новый</w:t>
            </w:r>
          </w:p>
        </w:tc>
      </w:tr>
    </w:tbl>
    <w:p w14:paraId="183DE3CB" w14:textId="138C2683" w:rsidR="00172391" w:rsidRPr="00F9463A" w:rsidRDefault="00172391" w:rsidP="00172391">
      <w:pPr>
        <w:rPr>
          <w:lang w:val="ru-RU"/>
        </w:rPr>
      </w:pPr>
      <w:r w:rsidRPr="00F9463A">
        <w:rPr>
          <w:lang w:val="ru-RU"/>
        </w:rPr>
        <w:t>2</w:t>
      </w:r>
      <w:r w:rsidRPr="00F9463A">
        <w:rPr>
          <w:lang w:val="ru-RU"/>
        </w:rPr>
        <w:tab/>
        <w:t xml:space="preserve">Таким образом, перечисленные выше Вопросы можно считать </w:t>
      </w:r>
      <w:r w:rsidRPr="00F9463A">
        <w:rPr>
          <w:b/>
          <w:bCs/>
          <w:lang w:val="ru-RU"/>
        </w:rPr>
        <w:t>утвержденными</w:t>
      </w:r>
      <w:r w:rsidRPr="00F9463A">
        <w:rPr>
          <w:lang w:val="ru-RU"/>
        </w:rPr>
        <w:t xml:space="preserve"> в соответствии с п.</w:t>
      </w:r>
      <w:r w:rsidR="00842327" w:rsidRPr="00F9463A">
        <w:rPr>
          <w:lang w:val="ru-RU"/>
        </w:rPr>
        <w:t> </w:t>
      </w:r>
      <w:r w:rsidRPr="00F9463A">
        <w:rPr>
          <w:lang w:val="ru-RU"/>
        </w:rPr>
        <w:t>7.3.2.3 Резолюции 1 (Пересм. Женева, 2022 г.) ВАСЭ.</w:t>
      </w:r>
    </w:p>
    <w:p w14:paraId="1958B133" w14:textId="77777777" w:rsidR="00172391" w:rsidRPr="00F9463A" w:rsidRDefault="00172391" w:rsidP="00172391">
      <w:pPr>
        <w:rPr>
          <w:lang w:val="ru-RU"/>
        </w:rPr>
      </w:pPr>
      <w:r w:rsidRPr="00F9463A">
        <w:rPr>
          <w:lang w:val="ru-RU"/>
        </w:rPr>
        <w:t>3</w:t>
      </w:r>
      <w:r w:rsidRPr="00F9463A">
        <w:rPr>
          <w:lang w:val="ru-RU"/>
        </w:rPr>
        <w:tab/>
        <w:t>Текст этих Вопросов содержится в Приложении 1 ниже.</w:t>
      </w:r>
    </w:p>
    <w:p w14:paraId="4D077603" w14:textId="7C03B6B1" w:rsidR="00DD68CA" w:rsidRPr="00F9463A" w:rsidRDefault="00DD68CA" w:rsidP="00DD68CA">
      <w:pPr>
        <w:rPr>
          <w:szCs w:val="22"/>
          <w:lang w:val="ru-RU"/>
        </w:rPr>
      </w:pPr>
      <w:r w:rsidRPr="00F9463A">
        <w:rPr>
          <w:lang w:val="ru-RU"/>
        </w:rPr>
        <w:t>С уважением,</w:t>
      </w:r>
    </w:p>
    <w:p w14:paraId="70AB2E18" w14:textId="35849897" w:rsidR="00DD68CA" w:rsidRPr="00F9463A" w:rsidRDefault="00D90FDB" w:rsidP="0068675C">
      <w:pPr>
        <w:pStyle w:val="Normalaftertitle"/>
        <w:spacing w:before="720"/>
        <w:rPr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530C68DE" wp14:editId="3F0C368F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768389" cy="342918"/>
            <wp:effectExtent l="0" t="0" r="0" b="0"/>
            <wp:wrapNone/>
            <wp:docPr id="1228182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2835" name="Picture 12281828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5B6" w:rsidRPr="00F9463A">
        <w:rPr>
          <w:lang w:val="ru-RU"/>
        </w:rPr>
        <w:t>Сейдзо Оноэ</w:t>
      </w:r>
      <w:r w:rsidR="00DD68CA" w:rsidRPr="00F9463A">
        <w:rPr>
          <w:szCs w:val="22"/>
          <w:lang w:val="ru-RU"/>
        </w:rPr>
        <w:br/>
        <w:t>Директор Бюро</w:t>
      </w:r>
      <w:r w:rsidR="00DD68CA" w:rsidRPr="00F9463A">
        <w:rPr>
          <w:szCs w:val="22"/>
          <w:lang w:val="ru-RU"/>
        </w:rPr>
        <w:br/>
        <w:t>стандартизации электросвязи</w:t>
      </w:r>
    </w:p>
    <w:p w14:paraId="35233D69" w14:textId="71FDB7A0" w:rsidR="00172391" w:rsidRPr="00F9463A" w:rsidRDefault="00172391" w:rsidP="0068675C">
      <w:pPr>
        <w:rPr>
          <w:lang w:val="ru-RU"/>
        </w:rPr>
      </w:pPr>
      <w:r w:rsidRPr="00F9463A">
        <w:rPr>
          <w:b/>
          <w:bCs/>
          <w:lang w:val="ru-RU"/>
        </w:rPr>
        <w:t>Приложение</w:t>
      </w:r>
      <w:r w:rsidRPr="00F9463A">
        <w:rPr>
          <w:lang w:val="ru-RU"/>
        </w:rPr>
        <w:t>:</w:t>
      </w:r>
      <w:r w:rsidRPr="00F9463A">
        <w:rPr>
          <w:lang w:val="ru-RU"/>
        </w:rPr>
        <w:tab/>
        <w:t>1</w:t>
      </w:r>
    </w:p>
    <w:p w14:paraId="63F6E1FE" w14:textId="0790411F" w:rsidR="00172391" w:rsidRPr="00F9463A" w:rsidRDefault="00172391" w:rsidP="00172391">
      <w:pPr>
        <w:pStyle w:val="AnnexNo"/>
        <w:rPr>
          <w:lang w:val="ru-RU"/>
        </w:rPr>
      </w:pPr>
      <w:r w:rsidRPr="00F9463A">
        <w:rPr>
          <w:lang w:val="ru-RU"/>
        </w:rPr>
        <w:lastRenderedPageBreak/>
        <w:t>ПРИЛОЖЕНИЕ 1</w:t>
      </w:r>
    </w:p>
    <w:p w14:paraId="1148CA1B" w14:textId="77777777" w:rsidR="00172391" w:rsidRPr="00F9463A" w:rsidRDefault="00172391" w:rsidP="00172391">
      <w:pPr>
        <w:pStyle w:val="Annextitle0"/>
        <w:rPr>
          <w:rFonts w:asciiTheme="minorHAnsi" w:hAnsiTheme="minorHAnsi" w:cstheme="minorHAnsi"/>
          <w:szCs w:val="28"/>
          <w:lang w:val="ru-RU"/>
        </w:rPr>
      </w:pPr>
      <w:r w:rsidRPr="00F9463A">
        <w:rPr>
          <w:lang w:val="ru-RU"/>
        </w:rPr>
        <w:t>Окончательные тексты новых/пересмотренных Вопросов ИК17</w:t>
      </w:r>
    </w:p>
    <w:p w14:paraId="307E38D0" w14:textId="77777777" w:rsidR="00172391" w:rsidRPr="00F9463A" w:rsidRDefault="00172391" w:rsidP="00172391">
      <w:pPr>
        <w:pStyle w:val="Headingb"/>
        <w:rPr>
          <w:lang w:val="ru-RU"/>
        </w:rPr>
      </w:pPr>
      <w:r w:rsidRPr="00F9463A">
        <w:rPr>
          <w:lang w:val="ru-RU"/>
        </w:rPr>
        <w:t>Вопрос 7/17 – Безопасные прикладные услуги</w:t>
      </w:r>
    </w:p>
    <w:p w14:paraId="75565695" w14:textId="33D417AC" w:rsidR="00172391" w:rsidRPr="00F9463A" w:rsidRDefault="00172391" w:rsidP="00445C22">
      <w:pPr>
        <w:tabs>
          <w:tab w:val="left" w:pos="567"/>
        </w:tabs>
        <w:jc w:val="center"/>
        <w:rPr>
          <w:lang w:val="ru-RU"/>
        </w:rPr>
      </w:pPr>
      <w:r w:rsidRPr="00F9463A">
        <w:rPr>
          <w:lang w:val="ru-RU"/>
        </w:rPr>
        <w:t>(Продолжение Вопроса 7/17 (2024 г.))</w:t>
      </w:r>
      <w:r w:rsidR="00F05E8B" w:rsidRPr="00F9463A">
        <w:rPr>
          <w:rStyle w:val="FootnoteReference"/>
          <w:lang w:val="ru-RU"/>
        </w:rPr>
        <w:footnoteReference w:id="1"/>
      </w:r>
    </w:p>
    <w:p w14:paraId="0C4475DD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1</w:t>
      </w:r>
      <w:r w:rsidRPr="00F9463A">
        <w:rPr>
          <w:lang w:val="ru-RU"/>
        </w:rPr>
        <w:tab/>
        <w:t>Обоснование</w:t>
      </w:r>
    </w:p>
    <w:p w14:paraId="396A49C5" w14:textId="0C4759E0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В рамках данного Вопроса был разработан набор Рекомендаций по архитектуре аутентификации/авторизации и безопасности сообщений в сетевых услугах, определены руководящие указания по безопасной аутентификации на основе пароля с обменом ключами и по различным услугам доверенных третьих сторон (TTP), а также определены комплексная структура и механизмы обеспечения безопасности одноранговых (P2P) услуг. Необходимо проводить постоянную работу по поддержанию и ведению, а также совершенствованию этих Рекомендаций по вопросам безопасности, с тем чтобы обеспечивать соответствие потребностям новых технологий и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услуг.</w:t>
      </w:r>
    </w:p>
    <w:p w14:paraId="3D9CE408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В отрасли электросвязи происходит экспоненциальный рост в сфере услуг доверенных третьих сторон (TTP). Безопасность прикладных услуг на базе электросвязи, включая услуги социальных сетей, P2P, и TTP, имеет решающее значение для дальнейшего развития отрасли. Исключительно важную роль в предоставлении безопасных прикладных услуг играют безопасные протоколы прикладных систем. Стандартизация оптимальных комплексных решений по обеспечению безопасности имеет важнейшее значение для отрасли и сетевых операторов, которые работают в международной среде с участием многих поставщиков. Стандартизация требуется также для исследования и разработки других типов безопасных платформ, прикладных услуг, таких как услуги по проставлению меток времени, безопасные нотариальные услуги, безопасные цифровые финансовые услуги, в частности финансовые технологии (открытый банкинг, пиринговое кредитование, перевод денег, мобильный кошелек, страхование), безопасные услуги OTT (Over The Top) и цифровые двойники; использование подтверждений безопасности вместо сертификатов в протоколах и прикладных услугах на базе инфраструктуры открытых ключей (PKI) и т. д. Технологии безопасности, такие как подтверждение безопасности и подтверждение контроля доступа, становятся критическими в сетях связи.</w:t>
      </w:r>
    </w:p>
    <w:p w14:paraId="46E4DC1A" w14:textId="77777777" w:rsidR="00172391" w:rsidRPr="00F9463A" w:rsidRDefault="00172391" w:rsidP="00842327">
      <w:pPr>
        <w:rPr>
          <w:rFonts w:eastAsia="SimSun"/>
          <w:lang w:val="ru-RU"/>
        </w:rPr>
      </w:pPr>
      <w:r w:rsidRPr="00F9463A">
        <w:rPr>
          <w:lang w:val="ru-RU"/>
        </w:rPr>
        <w:t>По мере развития прикладных услуг электросвязи и ИКТ открываются две новые области, которые необходимо исследовать: приложения генерируют и обрабатывают все больше и больше данных, и для поддержки этого теперь может потребоваться искусственный интеллект. Необходимо расширить безопасные прикладные услуги, с тем чтобы охватить обширные исследования и рынок, которые требуются для изучения всего спектра эксплуатационных и технических аспектов защиты данных на основе проводимой работы по услугам анализа данных.</w:t>
      </w:r>
    </w:p>
    <w:p w14:paraId="54DC9913" w14:textId="1560D345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 xml:space="preserve">Данные являются самым главным и важным элементом приложений и услуг ИКТ. Защита данных играет значительную роль в устойчивом и здоровом развитии сферы приложений и услуг ИКТ, позволяя снизить риски нарушения безопасности данных, такие как утечка данных, неправомерное использование данных, фальсификация данных и т. д. Под защитой данных понимается комплекс управленческих и технических мер, принимаемых в целях предотвращения несанкционированного доступа к данным и их использования. Технологии защиты данных – это технологии, призванные обеспечить защиту конфиденциальности отдельных пользователей при предоставлении им возможности пользоваться преимуществами цифровых технологий; к их числу относятся такие технологии, как федеративное обучение, маскирование данных, технологии отслеживания происхождения и перемещения данных, цифровые "водяные знаки", дифференциальная </w:t>
      </w:r>
      <w:r w:rsidRPr="00F9463A">
        <w:rPr>
          <w:lang w:val="ru-RU"/>
        </w:rPr>
        <w:lastRenderedPageBreak/>
        <w:t>конфиденциальность, безопасные многосторонние вычисления, использование криптографических алгоритмов и другие технологии обеспечения безопасности и конфиденциальности данных. Меры по управлению защитой данных могут включать связанные с защитой данных системы управления организацией, институциональные нормы, управление персоналом и его подготовка и т.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д. Обычно организациям ИКТ необходимо разрабатывать системы защиты данных, отвечающие их собственным потребностям, и принимать наиболее подходящие и эффективные меры по защите источников данных и обеспечению безопасного использования данных на основе результатов комплексного анализа сценариев работы приложений и предоставления услуг, общего управления, соблюдения требований, стратегии в области ИТ и терпимости к рискам.</w:t>
      </w:r>
    </w:p>
    <w:p w14:paraId="2DE9609E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 xml:space="preserve">В сферу охвата данного Вопроса по состоянию на 4 декабря 2025 года входят следующие Рекомендации и Добавления: </w:t>
      </w:r>
      <w:r w:rsidRPr="00F9463A">
        <w:rPr>
          <w:rFonts w:eastAsia="SimSun"/>
          <w:lang w:val="ru-RU" w:eastAsia="ja-JP"/>
        </w:rPr>
        <w:t xml:space="preserve">X.1130, </w:t>
      </w:r>
      <w:r w:rsidRPr="00F9463A">
        <w:rPr>
          <w:lang w:val="ru-RU"/>
        </w:rPr>
        <w:t xml:space="preserve">X.1141, X.1142, X.1143, X.1144, X.1145, X.1146, X.1147, X.1148, X.1149, X.1151, X.1152, X.1153, X.1154, X.1155, X.1156, X.1157, X.1158, X.1159, X.1161, X.1162, X.1163, X.1164, X.1282, X.1450, X.1451, X.1452, </w:t>
      </w:r>
      <w:r w:rsidRPr="00F9463A">
        <w:rPr>
          <w:rFonts w:eastAsia="SimSun"/>
          <w:lang w:val="ru-RU" w:eastAsia="ja-JP"/>
        </w:rPr>
        <w:t xml:space="preserve">X.1456, X.1457, </w:t>
      </w:r>
      <w:r w:rsidRPr="00F9463A">
        <w:rPr>
          <w:lang w:val="ru-RU"/>
        </w:rPr>
        <w:t>X.1470, X.1471, X.2012, X.2013, X.2050, а также Добавления 17, 21, 22, 38, 39, 40 и XSTR.sgfdm.</w:t>
      </w:r>
    </w:p>
    <w:p w14:paraId="6D2C6AC2" w14:textId="6E7E6F51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Разрабатываемые по состоянию на 11 декабря 2025</w:t>
      </w:r>
      <w:r w:rsidR="009E7C3D" w:rsidRPr="00F9463A">
        <w:rPr>
          <w:lang w:val="ru-RU"/>
        </w:rPr>
        <w:t> </w:t>
      </w:r>
      <w:r w:rsidRPr="00F9463A">
        <w:rPr>
          <w:lang w:val="ru-RU"/>
        </w:rPr>
        <w:t>года тексты: X.fr-vsasi, X.ias, X.ig-dw, X.sec</w:t>
      </w:r>
      <w:r w:rsidR="009E7C3D" w:rsidRPr="00F9463A">
        <w:rPr>
          <w:lang w:val="ru-RU"/>
        </w:rPr>
        <w:t>­</w:t>
      </w:r>
      <w:r w:rsidRPr="00F9463A">
        <w:rPr>
          <w:lang w:val="ru-RU"/>
        </w:rPr>
        <w:t>grp</w:t>
      </w:r>
      <w:r w:rsidR="009E7C3D" w:rsidRPr="00F9463A">
        <w:rPr>
          <w:lang w:val="ru-RU"/>
        </w:rPr>
        <w:t>­</w:t>
      </w:r>
      <w:r w:rsidRPr="00F9463A">
        <w:rPr>
          <w:lang w:val="ru-RU"/>
        </w:rPr>
        <w:t>mov, X.sgfems, X.sgrtem, X.Supd, X.srgsc, X.srgsdcs, X.tc-ifd, X.vide и Технический отчет XSTR.dpama.</w:t>
      </w:r>
    </w:p>
    <w:p w14:paraId="5C087AC1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2</w:t>
      </w:r>
      <w:r w:rsidRPr="00F9463A">
        <w:rPr>
          <w:lang w:val="ru-RU"/>
        </w:rPr>
        <w:tab/>
        <w:t>Вопрос</w:t>
      </w:r>
    </w:p>
    <w:p w14:paraId="4C5A15B4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К числу подлежащих изучению вопросов, наряду с прочими, относятся следующие:</w:t>
      </w:r>
    </w:p>
    <w:p w14:paraId="36FF8131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Каким образом следует выявлять и устранять угрозы для безопасных прикладных услуг?</w:t>
      </w:r>
    </w:p>
    <w:p w14:paraId="030C16BC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Какие технологии безопасности необходимы для предоставления безопасных прикладных услуг?</w:t>
      </w:r>
    </w:p>
    <w:p w14:paraId="01D0ED49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Каким образом следует сохранять и поддерживать возможность безопасного присоединения применительно к прикладным услугам?</w:t>
      </w:r>
    </w:p>
    <w:p w14:paraId="472BCBD5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Какие методы или протоколы обеспечения безопасности требуются для безопасных прикладных услуг?</w:t>
      </w:r>
    </w:p>
    <w:p w14:paraId="763791B3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Какие методы или протоколы обеспечения безопасности требуются для появляющихся безопасных прикладных услуг, включая платформу услуг, цифровые финансовые услуги и услуги OTT?</w:t>
      </w:r>
    </w:p>
    <w:p w14:paraId="4CDD64BB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Какие меры по защите данных необходимы для снижения рисков нарушения безопасности данных в приложениях и услугах ИКТ?</w:t>
      </w:r>
    </w:p>
    <w:p w14:paraId="646E3891" w14:textId="77777777" w:rsidR="00172391" w:rsidRPr="00F9463A" w:rsidRDefault="00172391" w:rsidP="009E7C3D">
      <w:pPr>
        <w:pStyle w:val="enumlev1"/>
        <w:tabs>
          <w:tab w:val="clear" w:pos="1191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Каковы глобальные решения по обеспечению безопасности для защищенных прикладных услуг и их приложений?</w:t>
      </w:r>
    </w:p>
    <w:p w14:paraId="737CFC52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3</w:t>
      </w:r>
      <w:r w:rsidRPr="00F9463A">
        <w:rPr>
          <w:lang w:val="ru-RU"/>
        </w:rPr>
        <w:tab/>
        <w:t>Задачи</w:t>
      </w:r>
    </w:p>
    <w:p w14:paraId="1CE8DA57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К числу задач, наряду с прочими, относятся:</w:t>
      </w:r>
    </w:p>
    <w:p w14:paraId="2C0CFB85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Составление всеобъемлющего комплекта Рекомендаций для предоставления комплексных решений по обеспечению безопасности для прикладных услуг связи – в сотрудничестве с другими исследовательскими комиссиями МСЭ-Т и организациями по разработке стандартов, в частности ПК27 ОТК1 ИСО/МЭК.</w:t>
      </w:r>
    </w:p>
    <w:p w14:paraId="0919F4D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Пересмотр существующих Рекомендаций/Стандартов МСЭ-Т и ИСО/МЭК в области безопасных прикладных услуг.</w:t>
      </w:r>
    </w:p>
    <w:p w14:paraId="43D26F3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Дальнейшее исследование с целью определения аспектов безопасности применительно к безопасным прикладным услугам и появляющимся новым услугам, таким как цифровые финансовые услуги и услуги ОТТ.</w:t>
      </w:r>
    </w:p>
    <w:p w14:paraId="7B0150AB" w14:textId="462535DC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Исследование и проработка вопросов безопасности и угроз для безопасных прикладных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услуг.</w:t>
      </w:r>
    </w:p>
    <w:p w14:paraId="7C80991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lastRenderedPageBreak/>
        <w:t>–</w:t>
      </w:r>
      <w:r w:rsidRPr="00F9463A">
        <w:rPr>
          <w:lang w:val="ru-RU"/>
        </w:rPr>
        <w:tab/>
        <w:t>Исследование и проработка рисков нарушения безопасности данных в контексте приложений и услуг ИКТ.</w:t>
      </w:r>
    </w:p>
    <w:p w14:paraId="6C7E19F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Исследование и разработка механизмов обеспечения безопасности для безопасных прикладных услуг.</w:t>
      </w:r>
    </w:p>
    <w:p w14:paraId="3CB7EAE2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Исследование и разработка аспектов безопасности агентного ИИ применительно к приложениям и услугам, включая безопасность интеллектуальных агентов, связанных с приложениями и услугами, такими как веб-приложения, услуги операторов, электронная коммерция, цифровые финансы и пр.</w:t>
      </w:r>
    </w:p>
    <w:p w14:paraId="76BAB03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Исследование и разработка архитектуры, структуры, моделей и мер защиты данных для безопасных прикладных услуг, а также защиты данных для агентного ИИ.</w:t>
      </w:r>
    </w:p>
    <w:p w14:paraId="73067508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2" w:history="1">
        <w:r w:rsidRPr="00F9463A">
          <w:rPr>
            <w:rStyle w:val="Hyperlink"/>
            <w:lang w:val="ru-RU"/>
          </w:rPr>
          <w:t>https://www.itu.int/ITU-T/workprog/wp_search.aspx?sp=18&amp;q=7/17</w:t>
        </w:r>
      </w:hyperlink>
      <w:r w:rsidRPr="00F9463A">
        <w:rPr>
          <w:lang w:val="ru-RU"/>
        </w:rPr>
        <w:t>.</w:t>
      </w:r>
      <w:hyperlink r:id="rId13" w:history="1"/>
    </w:p>
    <w:p w14:paraId="59C4B24F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4</w:t>
      </w:r>
      <w:r w:rsidRPr="00F9463A">
        <w:rPr>
          <w:lang w:val="ru-RU"/>
        </w:rPr>
        <w:tab/>
        <w:t>Взаимосвязь</w:t>
      </w:r>
    </w:p>
    <w:p w14:paraId="69F96B05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Рекомендации</w:t>
      </w:r>
    </w:p>
    <w:p w14:paraId="208B955B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Серия X.800 и другие Рекомендации, касающиеся безопасности</w:t>
      </w:r>
    </w:p>
    <w:p w14:paraId="25ED852C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Вопросы</w:t>
      </w:r>
    </w:p>
    <w:p w14:paraId="241ABCE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Все Вопросы ИК17 МСЭ-Т</w:t>
      </w:r>
    </w:p>
    <w:p w14:paraId="30CDD48B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Исследовательские комиссии</w:t>
      </w:r>
    </w:p>
    <w:p w14:paraId="635F9E2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ИК2 МСЭ-T</w:t>
      </w:r>
    </w:p>
    <w:p w14:paraId="664421B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ИК11 МСЭ-T</w:t>
      </w:r>
    </w:p>
    <w:p w14:paraId="5ECDCBC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ИК13 МСЭ-Т</w:t>
      </w:r>
    </w:p>
    <w:p w14:paraId="1810A0B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ИК20 МСЭ-T</w:t>
      </w:r>
    </w:p>
    <w:p w14:paraId="50F332A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ИК21 МСЭ-T</w:t>
      </w:r>
    </w:p>
    <w:p w14:paraId="1CEAE8CB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Органы по стандартизации</w:t>
      </w:r>
    </w:p>
    <w:p w14:paraId="7AF1691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Целевая группа по инженерным проблемам интернета (IETF)</w:t>
      </w:r>
    </w:p>
    <w:p w14:paraId="1A59A42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Европейский институт стандартизации электросвязи (ЕТСИ)</w:t>
      </w:r>
    </w:p>
    <w:p w14:paraId="7BFB04F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Ассоциация GSM (GSMA)</w:t>
      </w:r>
    </w:p>
    <w:p w14:paraId="67FA7CA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ПК27 ОТК1 ИСО/МЭК, ПК42 ОТК1 ИСО/МЭК</w:t>
      </w:r>
    </w:p>
    <w:p w14:paraId="0F8CF580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ТК68 ИСО, ТК307 ИСО</w:t>
      </w:r>
    </w:p>
    <w:p w14:paraId="2DB2F961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Инициатива Kantara</w:t>
      </w:r>
    </w:p>
    <w:p w14:paraId="4615DBD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Организация по развитию стандартов структурированной информации (ОРССИ)</w:t>
      </w:r>
    </w:p>
    <w:p w14:paraId="4F9F027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Открытый альянс подвижной связи (OMA)</w:t>
      </w:r>
    </w:p>
    <w:p w14:paraId="222EA71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Консорциум World Wide Web (W3C)</w:t>
      </w:r>
    </w:p>
    <w:p w14:paraId="4F6650BE" w14:textId="23346629" w:rsidR="00F9463A" w:rsidRPr="00F9463A" w:rsidRDefault="00F9463A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="Calibri" w:hAnsi="Calibri"/>
          <w:szCs w:val="20"/>
          <w:lang w:val="ru-RU"/>
        </w:rPr>
      </w:pPr>
      <w:r w:rsidRPr="00F9463A">
        <w:rPr>
          <w:lang w:val="ru-RU"/>
        </w:rPr>
        <w:br w:type="page"/>
      </w:r>
    </w:p>
    <w:p w14:paraId="72CDBE20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lastRenderedPageBreak/>
        <w:t>Другие органы</w:t>
      </w:r>
    </w:p>
    <w:p w14:paraId="5A03D379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Совет Европы (СЕ)</w:t>
      </w:r>
    </w:p>
    <w:p w14:paraId="5FD4C0E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Европейское агентство по безопасности сетей и информации (ENISA)</w:t>
      </w:r>
    </w:p>
    <w:p w14:paraId="7FF9C9C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Альянс Fast Identity Online (FIDO)</w:t>
      </w:r>
    </w:p>
    <w:p w14:paraId="2CBF4318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Направления деятельности ВВУИО</w:t>
      </w:r>
    </w:p>
    <w:p w14:paraId="407DBB2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C5</w:t>
      </w:r>
    </w:p>
    <w:p w14:paraId="32825D74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Цели в области устойчивого развития</w:t>
      </w:r>
    </w:p>
    <w:p w14:paraId="7DE49339" w14:textId="77777777" w:rsidR="00F9463A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8, 9, 11</w:t>
      </w:r>
    </w:p>
    <w:p w14:paraId="4E47F625" w14:textId="2E0B2DB0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br w:type="page"/>
      </w:r>
    </w:p>
    <w:p w14:paraId="39BABC76" w14:textId="77777777" w:rsidR="00172391" w:rsidRPr="00F9463A" w:rsidRDefault="00172391" w:rsidP="00172391">
      <w:pPr>
        <w:pStyle w:val="Headingb"/>
        <w:rPr>
          <w:lang w:val="ru-RU"/>
        </w:rPr>
      </w:pPr>
      <w:bookmarkStart w:id="2" w:name="_Hlk220922732"/>
      <w:r w:rsidRPr="00F9463A">
        <w:rPr>
          <w:lang w:val="ru-RU"/>
        </w:rPr>
        <w:lastRenderedPageBreak/>
        <w:t>Вопрос 10/17 "Управление определением цифровой идентичности, безопасностью и услугами"</w:t>
      </w:r>
    </w:p>
    <w:p w14:paraId="4BDCDE99" w14:textId="7AF0CC55" w:rsidR="00172391" w:rsidRPr="00F9463A" w:rsidRDefault="00172391" w:rsidP="00172391">
      <w:pPr>
        <w:rPr>
          <w:rFonts w:eastAsia="Calibri"/>
          <w:lang w:val="ru-RU"/>
        </w:rPr>
      </w:pPr>
      <w:r w:rsidRPr="00F9463A">
        <w:rPr>
          <w:lang w:val="ru-RU"/>
        </w:rPr>
        <w:t>(Продолжение Вопроса 10/17 (2025 г.) после объединения с Вопросом 3/17 (2025 г.))</w:t>
      </w:r>
      <w:r w:rsidR="00F05E8B" w:rsidRPr="00F9463A">
        <w:rPr>
          <w:rStyle w:val="FootnoteReference"/>
          <w:lang w:val="ru-RU"/>
        </w:rPr>
        <w:footnoteReference w:id="2"/>
      </w:r>
    </w:p>
    <w:p w14:paraId="7354645A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1</w:t>
      </w:r>
      <w:r w:rsidRPr="00F9463A">
        <w:rPr>
          <w:lang w:val="ru-RU"/>
        </w:rPr>
        <w:tab/>
        <w:t>Обоснование</w:t>
      </w:r>
    </w:p>
    <w:p w14:paraId="079AC98F" w14:textId="4380B097" w:rsidR="00172391" w:rsidRPr="00F9463A" w:rsidRDefault="00172391" w:rsidP="00172391">
      <w:pPr>
        <w:rPr>
          <w:rFonts w:eastAsia="MS Mincho"/>
          <w:lang w:val="ru-RU"/>
        </w:rPr>
      </w:pPr>
      <w:r w:rsidRPr="00F9463A">
        <w:rPr>
          <w:lang w:val="ru-RU"/>
        </w:rPr>
        <w:t>Управление определением идентичности (IdM) − это управление созданием, поддержанием, использованием и удалением регистрационных данных, идентификаторов и атрибутов. Оно необходимо для установления доверия между пользователями, организациями, устройствами и услугами. Один объект может использовать различные идентичности с различными требованиями к безопасности. Подходы к IdM могут быть централизованными, децентрализованными или смешанными, в зависимости от системы.</w:t>
      </w:r>
    </w:p>
    <w:p w14:paraId="583325F9" w14:textId="77777777" w:rsidR="00172391" w:rsidRPr="00F9463A" w:rsidRDefault="00172391" w:rsidP="00172391">
      <w:pPr>
        <w:rPr>
          <w:rFonts w:eastAsia="MS Mincho"/>
          <w:lang w:val="ru-RU"/>
        </w:rPr>
      </w:pPr>
      <w:r w:rsidRPr="00F9463A">
        <w:rPr>
          <w:lang w:val="ru-RU"/>
        </w:rPr>
        <w:t>В соответствии с действием 10 ВАСЭ-24 17-й Исследовательской комиссии поручено продолжить разработку необходимых Рекомендаций, Добавлений и Технических отчетов по управлению определением идентичности и верифицируемым регистрационным данным, при этом признается важность текущей работы по стандартизации цифровой идентичности и регистрационных данных, проводимой некоторыми ОРС. Кроме того, 17-й Исследовательской комиссии настоятельно рекомендуется продолжить исследование новых направлений стандартизации в области управления определением идентичности и верифицируемых регистрационных данных, а также координировать деятельность по стандартизации и содействовать такой деятельности.</w:t>
      </w:r>
    </w:p>
    <w:p w14:paraId="3D44B60C" w14:textId="110D42E2" w:rsidR="00172391" w:rsidRPr="00F9463A" w:rsidRDefault="00172391" w:rsidP="00172391">
      <w:pPr>
        <w:rPr>
          <w:rFonts w:eastAsia="SimSun"/>
          <w:lang w:val="ru-RU"/>
        </w:rPr>
      </w:pPr>
      <w:r w:rsidRPr="00816901">
        <w:rPr>
          <w:lang w:val="ru-RU"/>
        </w:rPr>
        <w:t>Цифровая идентичность определяет, что представляет собой идентичность, а IdM касается вопросов того, как осуществляется управление этой идентичностью</w:t>
      </w:r>
      <w:r w:rsidR="00F05E8B" w:rsidRPr="00F9463A">
        <w:rPr>
          <w:rStyle w:val="FootnoteReference"/>
          <w:lang w:val="ru-RU"/>
        </w:rPr>
        <w:footnoteReference w:id="3"/>
      </w:r>
      <w:r w:rsidRPr="00F9463A">
        <w:rPr>
          <w:lang w:val="ru-RU"/>
        </w:rPr>
        <w:t>. Модели децентрализованной идентичности (DID) помогают пользователям контролировать свою онлайновую идентичность.</w:t>
      </w:r>
    </w:p>
    <w:p w14:paraId="1008B61D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Кошелек цифровой идентичности обеспечивает безопасное хранение данных идентичности и обмен ими, предоставляя пользователям возможность управлять информацией о себе.</w:t>
      </w:r>
    </w:p>
    <w:p w14:paraId="393F4283" w14:textId="17CE3E92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IdM обеспечивает доверенный обмен данными в сетях общего пользования (например, облачных, IMT-2020, IMT-2030) и укрепляет безопасность, ограничивая доступ к конфиденциальным данным. По</w:t>
      </w:r>
      <w:r w:rsidR="00130AD0">
        <w:rPr>
          <w:lang w:val="ru-RU"/>
        </w:rPr>
        <w:t> </w:t>
      </w:r>
      <w:r w:rsidRPr="00F9463A">
        <w:rPr>
          <w:lang w:val="ru-RU"/>
        </w:rPr>
        <w:t>мере расширения использования интернета возникает необходимость в стандартах для обеспечения применения политики доступа для защиты пользователей в онлайновой среде.</w:t>
      </w:r>
    </w:p>
    <w:p w14:paraId="4AE77C79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Для систем ИИ требуются стандарты безопасного управления определением идентичности. Идентичность агента представляет уникальные поддающиеся проверке атрибуты, роли и разрешения ИИ-агента. Важнейшие области стандартизации:</w:t>
      </w:r>
    </w:p>
    <w:p w14:paraId="2D9F027A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структура идентичности агента:</w:t>
      </w:r>
    </w:p>
    <w:p w14:paraId="482ED7F7" w14:textId="77777777" w:rsidR="00172391" w:rsidRPr="00F9463A" w:rsidRDefault="00172391" w:rsidP="00172391">
      <w:pPr>
        <w:pStyle w:val="enumlev3"/>
        <w:rPr>
          <w:rFonts w:eastAsia="SimSun"/>
          <w:lang w:val="ru-RU"/>
        </w:rPr>
      </w:pPr>
      <w:r w:rsidRPr="00F9463A">
        <w:rPr>
          <w:rFonts w:eastAsia="SimSun" w:cs="Calibri"/>
          <w:lang w:val="ru-RU" w:eastAsia="ja-JP"/>
        </w:rPr>
        <w:t>•</w:t>
      </w:r>
      <w:r w:rsidRPr="00F9463A">
        <w:rPr>
          <w:lang w:val="ru-RU"/>
        </w:rPr>
        <w:tab/>
        <w:t>уникальные идентификаторы (ID) для обеспечения прослеживаемости (например, UUID, решения на основе блокчейна);</w:t>
      </w:r>
    </w:p>
    <w:p w14:paraId="481FE9CF" w14:textId="77777777" w:rsidR="00172391" w:rsidRPr="00F9463A" w:rsidRDefault="00172391" w:rsidP="00172391">
      <w:pPr>
        <w:pStyle w:val="enumlev3"/>
        <w:rPr>
          <w:rFonts w:eastAsia="SimSun"/>
          <w:lang w:val="ru-RU"/>
        </w:rPr>
      </w:pPr>
      <w:r w:rsidRPr="00F9463A">
        <w:rPr>
          <w:rFonts w:eastAsia="SimSun" w:cs="Calibri"/>
          <w:lang w:val="ru-RU" w:eastAsia="ja-JP"/>
        </w:rPr>
        <w:t>•</w:t>
      </w:r>
      <w:r w:rsidRPr="00F9463A">
        <w:rPr>
          <w:lang w:val="ru-RU"/>
        </w:rPr>
        <w:tab/>
        <w:t>механизмы безопасной аутентификации (например, криптографические подписи);</w:t>
      </w:r>
    </w:p>
    <w:p w14:paraId="0B598431" w14:textId="77777777" w:rsidR="00172391" w:rsidRPr="00F9463A" w:rsidRDefault="00172391" w:rsidP="00172391">
      <w:pPr>
        <w:pStyle w:val="enumlev3"/>
        <w:rPr>
          <w:rFonts w:eastAsia="SimSun"/>
          <w:lang w:val="ru-RU"/>
        </w:rPr>
      </w:pPr>
      <w:r w:rsidRPr="00F9463A">
        <w:rPr>
          <w:rFonts w:eastAsia="SimSun" w:cs="Calibri"/>
          <w:lang w:val="ru-RU" w:eastAsia="ja-JP"/>
        </w:rPr>
        <w:t>•</w:t>
      </w:r>
      <w:r w:rsidRPr="00F9463A">
        <w:rPr>
          <w:lang w:val="ru-RU"/>
        </w:rPr>
        <w:tab/>
        <w:t>метаданные для атрибутов агента (например, создателя, возможностей),</w:t>
      </w:r>
    </w:p>
    <w:p w14:paraId="0431050D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функциональная совместимость:</w:t>
      </w:r>
    </w:p>
    <w:p w14:paraId="679B6E81" w14:textId="77777777" w:rsidR="00172391" w:rsidRPr="00F9463A" w:rsidRDefault="00172391" w:rsidP="00172391">
      <w:pPr>
        <w:pStyle w:val="enumlev3"/>
        <w:rPr>
          <w:lang w:val="ru-RU"/>
        </w:rPr>
      </w:pPr>
      <w:r w:rsidRPr="00F9463A">
        <w:rPr>
          <w:rFonts w:eastAsia="SimSun" w:cs="Calibri"/>
          <w:lang w:val="ru-RU" w:eastAsia="ja-JP"/>
        </w:rPr>
        <w:t>•</w:t>
      </w:r>
      <w:r w:rsidRPr="00F9463A">
        <w:rPr>
          <w:lang w:val="ru-RU"/>
        </w:rPr>
        <w:tab/>
        <w:t>стандартные протоколы связи агента (например, MCP, A2A);</w:t>
      </w:r>
    </w:p>
    <w:p w14:paraId="50EB4033" w14:textId="77777777" w:rsidR="00172391" w:rsidRPr="00F9463A" w:rsidRDefault="00172391" w:rsidP="00172391">
      <w:pPr>
        <w:pStyle w:val="enumlev3"/>
        <w:rPr>
          <w:rFonts w:eastAsia="SimSun"/>
          <w:lang w:val="ru-RU"/>
        </w:rPr>
      </w:pPr>
      <w:r w:rsidRPr="00F9463A">
        <w:rPr>
          <w:rFonts w:eastAsia="SimSun" w:cs="Calibri"/>
          <w:lang w:val="ru-RU" w:eastAsia="ja-JP"/>
        </w:rPr>
        <w:t>•</w:t>
      </w:r>
      <w:r w:rsidRPr="00F9463A">
        <w:rPr>
          <w:lang w:val="ru-RU"/>
        </w:rPr>
        <w:tab/>
        <w:t>API для интеграции с инструментами и платформами;</w:t>
      </w:r>
    </w:p>
    <w:p w14:paraId="6C0ACF99" w14:textId="77777777" w:rsidR="00172391" w:rsidRPr="00F9463A" w:rsidRDefault="00172391" w:rsidP="00172391">
      <w:pPr>
        <w:pStyle w:val="enumlev3"/>
        <w:rPr>
          <w:rFonts w:eastAsia="MS Mincho"/>
          <w:lang w:val="ru-RU"/>
        </w:rPr>
      </w:pPr>
      <w:r w:rsidRPr="00F9463A">
        <w:rPr>
          <w:rFonts w:eastAsia="SimSun" w:cs="Calibri"/>
          <w:lang w:val="ru-RU" w:eastAsia="ja-JP"/>
        </w:rPr>
        <w:t>•</w:t>
      </w:r>
      <w:r w:rsidRPr="00F9463A">
        <w:rPr>
          <w:lang w:val="ru-RU"/>
        </w:rPr>
        <w:tab/>
        <w:t>кроссплатформенная совместимость.</w:t>
      </w:r>
    </w:p>
    <w:p w14:paraId="75CB1013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lastRenderedPageBreak/>
        <w:t>С развитием агентного ИИ стандартизация приобретает решающее значение для обеспечения доверия, подотчетности и функциональной совместимости.</w:t>
      </w:r>
    </w:p>
    <w:p w14:paraId="0A348D89" w14:textId="0E982BE4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Принцип "знай своего агента" (KYA) повышает прозрачность, по аналогии с KYC для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людей.</w:t>
      </w:r>
    </w:p>
    <w:p w14:paraId="1D26722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Идентичность агента и DID обеспечивают верифицируемое доверие.</w:t>
      </w:r>
    </w:p>
    <w:p w14:paraId="66F5EA2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Федеративные модели поддерживают безопасное взаимодействие между доменами.</w:t>
      </w:r>
    </w:p>
    <w:p w14:paraId="0325C06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Привязка идентичностей агента и человека обеспечивает подотчетность.</w:t>
      </w:r>
    </w:p>
    <w:p w14:paraId="5A52F327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Управление устанавливает ограничения для соответствующего требованиям использования.</w:t>
      </w:r>
    </w:p>
    <w:p w14:paraId="3B4700CD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В отсутствие стандартов агентный ИИ может быть сопряжен с рисками фрагментации, неправильного использования и утраты доверия. Стандарты поддерживают безопасное и ответственное развитие.</w:t>
      </w:r>
    </w:p>
    <w:p w14:paraId="2DF69CF4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В сфере электросвязи и ИКТ IdM управляет доступом, обновляет разрешения и поддерживает делегирование. Это укрепляет безопасность, предотвращает мошенничество и формирует доверие пользователей. Функциональная совместимость имеет решающее значение для связи и обмена данными в глобальном масштабе.</w:t>
      </w:r>
    </w:p>
    <w:p w14:paraId="68F0065E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Биометрия улучшает проверку идентичности в таких приложениях, как электронная коммерция и электронное здравоохранение, но она сопряжена с проблемами в отношении защиты и безопасности данных. Для телебиометрии в мобильных приложениях и услугах интернета требуются безопасные, удобные для пользователя методы аутентификации.</w:t>
      </w:r>
    </w:p>
    <w:p w14:paraId="5B313A29" w14:textId="00D1934C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Для организаций электросвязи важнейшее значение имеют такие активы, как информация, оборудование, сети и средства передачи данных, что делает обеспечение безопасности чрезвычайно важным. В Рекомендации МСЭ-Т Х.1051 представлено руководство по мерам обеспечения безопасности и передовому опыту управления информационной безопасностью, а Рекомендации серии Х.1050 охватывают области управления информационной безопасностью, включая вопросы управления рисками, управления активами, руководства и реагирования на инциденты.</w:t>
      </w:r>
    </w:p>
    <w:p w14:paraId="0A9113F6" w14:textId="76CFABAB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Требуется продолжать уделять внимание услугам в области безопасности появляющихся областей электросвязи и ИКТ, таким как центры по защите от киберугроз/центры кибербезопасности (CDC/CSC), различные группы реагирования на инциденты (IRT) (включая использование CIRT инструментов ИИ), а также управление безопасностью ИИ и управление ИИ. Приоритетными вопросами остаются управление жизненным циклом средств контроля безопасности, защита информации, позволяющей установить личность (PII), и развитие специальных знаний в области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безопасности.</w:t>
      </w:r>
    </w:p>
    <w:p w14:paraId="7AB76868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Сотрудничество с ОТК1 ИСО/МЭК способствует повышению совместимости на глобальном уровне, а национальные стандарты способствуют внедрению на местном уровне. В отличие от управления сетями, эта работа сосредоточена на защите бизнес-активов и процессов путем комплексного управления информационной безопасностью.</w:t>
      </w:r>
    </w:p>
    <w:p w14:paraId="692D45C8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Стандартизация имеет важнейшее значение для безопасного, надежного и заслуживающего доверия управления ИИ.</w:t>
      </w:r>
    </w:p>
    <w:p w14:paraId="08DAE7FF" w14:textId="609882A4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ИИ для обеспечения безопасности – обеспечение последовательного использования ИИ в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киберзащите.</w:t>
      </w:r>
    </w:p>
    <w:p w14:paraId="5102C90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Безопасность для ИИ – определение требований к безопасности жизненного цикла.</w:t>
      </w:r>
    </w:p>
    <w:p w14:paraId="72E7C00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Достоверность – укрепление доверия к моделям и безопасности.</w:t>
      </w:r>
    </w:p>
    <w:p w14:paraId="3FBEB13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Устойчивость – поддержка человеческого надзора и управления.</w:t>
      </w:r>
    </w:p>
    <w:p w14:paraId="11A29C86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Гарантии – возможность сертификации систем ИИ.</w:t>
      </w:r>
    </w:p>
    <w:p w14:paraId="265B83F8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Стандарты снижают риски фрагментации и ненадлежащего использования, и таким образом обеспечивают безопасное внедрение технологий.</w:t>
      </w:r>
    </w:p>
    <w:p w14:paraId="1FE278EB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 xml:space="preserve">В сферу охвата данного Вопроса по состоянию на 11 декабря 2025 года входят следующие Рекомендации и Добавления: X.1080.0, X.1080.1, X.1080.2, X.1081, X.1082, X.1083, X.1084, X.1085, X.1086, X.1087, X.1088, X.1089, X.1090, X.1091, X.1092, X.1093, X.1094, X.1095, X.1250, X.1251, X.1252, X.1253, X.1254, X.1255, X.1256, X.1257, X.1258, X.1261 (совместно с ИК2), X.1275, X.1276, X.1277, </w:t>
      </w:r>
      <w:r w:rsidRPr="00F9463A">
        <w:rPr>
          <w:lang w:val="ru-RU"/>
        </w:rPr>
        <w:lastRenderedPageBreak/>
        <w:t>X.1277.2, X.1278, X.1278.2, X.1279, X.1280, X.1281, X.1282, X.1283, X.1284, X.1285, Добавления 7, 35, 41, 42, E.409 (совместно с ИК2), X.1051, X.1052, X.1053, X.1054, X.1055, X.1056, X.1057, X.1058, X.1059, X.1060, X.1061, X.1062, а также Добавления 13, 27, 32, 34, 36 и 44 к Рекомендациям серии Х.</w:t>
      </w:r>
    </w:p>
    <w:p w14:paraId="4E458F36" w14:textId="77777777" w:rsidR="00172391" w:rsidRPr="00F9463A" w:rsidRDefault="00172391" w:rsidP="00172391">
      <w:pPr>
        <w:rPr>
          <w:rFonts w:eastAsia="MS Mincho"/>
          <w:lang w:val="ru-RU"/>
        </w:rPr>
      </w:pPr>
      <w:r w:rsidRPr="00F9463A">
        <w:rPr>
          <w:lang w:val="ru-RU"/>
        </w:rPr>
        <w:t>Разрабатываемые по состоянию на 11 декабря 2025 года тексты: X.1250rev, X.1254rev, X.1280rev, X.1281.Amd1, X.1901(X.aas), X.accsadlt, X.1096(X.bvm), X.1268(X.oob-pacs), X.2310(X.srdidm), X.1097(X.tas), X.1098(X.tis), X.vctp, X.sfdiw, X.sup-divs, X.STR.SIMRegBio, X.1053rev, X.cdc-csirt, X.gsm-cdc, X.C2M2, X-srm-sup, X.AIssc-sm и TR.AIsmf.</w:t>
      </w:r>
    </w:p>
    <w:p w14:paraId="5D93DB2A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2</w:t>
      </w:r>
      <w:r w:rsidRPr="00F9463A">
        <w:rPr>
          <w:lang w:val="ru-RU"/>
        </w:rPr>
        <w:tab/>
        <w:t>Вопросы</w:t>
      </w:r>
    </w:p>
    <w:p w14:paraId="0C4BBE37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В рамках сферы охвата данного Вопроса к числу подлежащих изучению вопросов, наряду с прочими, относятся следующие:</w:t>
      </w:r>
    </w:p>
    <w:p w14:paraId="50CD034B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</w:t>
      </w:r>
      <w:r w:rsidRPr="00F9463A">
        <w:rPr>
          <w:lang w:val="ru-RU"/>
        </w:rPr>
        <w:tab/>
        <w:t>Каковы основные компоненты, требования и соображения для безопасной, ориентированной на пользователя и совместимой с облаком структуры IdM, поддерживающей цифровые кошельки, DID, верифицируемые регистрационные данные, технологии распределенного реестра, облачные технологии, IMT-2020/IMT-2030, мобильные устройства и интеграцию с технологиями безопасности (например, MFA, ИИ) для предотвращения угроз?</w:t>
      </w:r>
    </w:p>
    <w:p w14:paraId="640440BE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</w:t>
      </w:r>
      <w:r w:rsidRPr="00F9463A">
        <w:rPr>
          <w:lang w:val="ru-RU"/>
        </w:rPr>
        <w:tab/>
        <w:t>Каким образом системы IdM могут обеспечить функциональную совместимость платформ, включая федерацию систем, услуг, устройств, IoT и приложений?</w:t>
      </w:r>
    </w:p>
    <w:p w14:paraId="1234937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3</w:t>
      </w:r>
      <w:r w:rsidRPr="00F9463A">
        <w:rPr>
          <w:lang w:val="ru-RU"/>
        </w:rPr>
        <w:tab/>
        <w:t>Каковы потребности в защите и совместном использовании информации, позволяющей установить личность (PII), включая эффективное осуществление управления?</w:t>
      </w:r>
    </w:p>
    <w:p w14:paraId="0609F8E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4</w:t>
      </w:r>
      <w:r w:rsidRPr="00F9463A">
        <w:rPr>
          <w:lang w:val="ru-RU"/>
        </w:rPr>
        <w:tab/>
        <w:t>Как пользователи могут управлять отношениями на основе идентичности, и как доверие и отношения могут оптимизировать восстановление учетной записи, укрепления безопасности пользователей и улучшение пользовательского восприятия при обращении с полагающимися сторонами?</w:t>
      </w:r>
    </w:p>
    <w:p w14:paraId="479F5485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5</w:t>
      </w:r>
      <w:r w:rsidRPr="00F9463A">
        <w:rPr>
          <w:lang w:val="ru-RU"/>
        </w:rPr>
        <w:tab/>
        <w:t>Как IdM может поддерживать проверку возраста, защищать несовершеннолетних в онлайновой среде и проверять атрибуты идентичности, такие как возраст, место жительства и местоположение, с использованием DID?</w:t>
      </w:r>
    </w:p>
    <w:p w14:paraId="467A438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6</w:t>
      </w:r>
      <w:r w:rsidRPr="00F9463A">
        <w:rPr>
          <w:lang w:val="ru-RU"/>
        </w:rPr>
        <w:tab/>
        <w:t>Каким образом доверенные регистры могут обеспечить безопасное управление определением идентичности и доступом (IAM)?</w:t>
      </w:r>
    </w:p>
    <w:p w14:paraId="5B7DDB1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7</w:t>
      </w:r>
      <w:r w:rsidRPr="00F9463A">
        <w:rPr>
          <w:lang w:val="ru-RU"/>
        </w:rPr>
        <w:tab/>
        <w:t>Как именно возможно осуществлять аутентификацию на основе PKI функционально совместимым и безопасным образом?</w:t>
      </w:r>
    </w:p>
    <w:p w14:paraId="064A4ED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8</w:t>
      </w:r>
      <w:r w:rsidRPr="00F9463A">
        <w:rPr>
          <w:lang w:val="ru-RU"/>
        </w:rPr>
        <w:tab/>
        <w:t>Каким образом беспарольные системы IdM могут улучшить восприятие пользователем услуги и безопасность?</w:t>
      </w:r>
    </w:p>
    <w:p w14:paraId="6BBFF110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9</w:t>
      </w:r>
      <w:r w:rsidRPr="00F9463A">
        <w:rPr>
          <w:lang w:val="ru-RU"/>
        </w:rPr>
        <w:tab/>
        <w:t>Каковы конкретные требования поставщиков услуг в отношении IdM и как IdM может защитить от кибератак?</w:t>
      </w:r>
    </w:p>
    <w:p w14:paraId="3D8FD3EC" w14:textId="55118324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10</w:t>
      </w:r>
      <w:r w:rsidRPr="00F9463A">
        <w:rPr>
          <w:lang w:val="ru-RU"/>
        </w:rPr>
        <w:tab/>
        <w:t>Каковы требования и механизмы для гарантии идентичности в рамках аутентификации и федерации, включая сопоставление и взаимодействие различных методов в различных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сетях?</w:t>
      </w:r>
    </w:p>
    <w:p w14:paraId="51C1C7CB" w14:textId="1DC5CFAA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11</w:t>
      </w:r>
      <w:r w:rsidRPr="00F9463A">
        <w:rPr>
          <w:lang w:val="ru-RU"/>
        </w:rPr>
        <w:tab/>
        <w:t>Каковы требования к объединению IdM и механизмов доверия для обеспечения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безопасности?</w:t>
      </w:r>
    </w:p>
    <w:p w14:paraId="121AA664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12</w:t>
      </w:r>
      <w:r w:rsidRPr="00F9463A">
        <w:rPr>
          <w:lang w:val="ru-RU"/>
        </w:rPr>
        <w:tab/>
        <w:t>Каким образом биометрические данные могут использоваться в составе уровней строгой аутентификации и доверия, чтобы обеспечить доверенное взаимодействие по сетям, включая интеграцию в структуры доверенной идентичности и требования к передовым, высокопроизводительным и безопасным сетям?</w:t>
      </w:r>
    </w:p>
    <w:p w14:paraId="236E168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13</w:t>
      </w:r>
      <w:r w:rsidRPr="00F9463A">
        <w:rPr>
          <w:lang w:val="ru-RU"/>
        </w:rPr>
        <w:tab/>
        <w:t>Каковы требования к оценке безопасности, операционных и технических методов защиты данных в биометрии, включая оценку эффективности противодействия рискам и разработку систем, соответствующих требованиям безопасности (например, для облачных вычислений)?</w:t>
      </w:r>
    </w:p>
    <w:p w14:paraId="51632ED4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lastRenderedPageBreak/>
        <w:t>14</w:t>
      </w:r>
      <w:r w:rsidRPr="00F9463A">
        <w:rPr>
          <w:lang w:val="ru-RU"/>
        </w:rPr>
        <w:tab/>
        <w:t>Каким образом возможно усовершенствовать идентификацию и аутентификацию пользователей в части защищенности и безопасности путем применения функционально совместимых моделей биометрии?</w:t>
      </w:r>
    </w:p>
    <w:p w14:paraId="65086988" w14:textId="7E31EA8D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15</w:t>
      </w:r>
      <w:r w:rsidRPr="00F9463A">
        <w:rPr>
          <w:lang w:val="ru-RU"/>
        </w:rPr>
        <w:tab/>
        <w:t>Каким образом биологические показатели могут передаваться между биологическими системами и машинами и взаимодействовать с существующими межмашинными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протоколами?</w:t>
      </w:r>
    </w:p>
    <w:p w14:paraId="0EC5838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16</w:t>
      </w:r>
      <w:r w:rsidRPr="00F9463A">
        <w:rPr>
          <w:lang w:val="ru-RU"/>
        </w:rPr>
        <w:tab/>
        <w:t>Как могут использоваться биосигналы для телебиометрических приложений, включая возможные виды использования, и каковы требования к безопасной обработке биометрических данных в телебиометрии (например, электронном здравоохранении)?</w:t>
      </w:r>
    </w:p>
    <w:p w14:paraId="4A5405A5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17</w:t>
      </w:r>
      <w:r w:rsidRPr="00F9463A">
        <w:rPr>
          <w:lang w:val="ru-RU"/>
        </w:rPr>
        <w:tab/>
        <w:t>Каково воздействие ИИ на биометрию и управление определением идентичности?</w:t>
      </w:r>
    </w:p>
    <w:p w14:paraId="146973D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18</w:t>
      </w:r>
      <w:r w:rsidRPr="00F9463A">
        <w:rPr>
          <w:lang w:val="ru-RU"/>
        </w:rPr>
        <w:tab/>
        <w:t>Какой тип системы должен поддерживать состояние безопасности организации в современной киберсреде, включая важнейшие функции управления для стратегии безопасности, оперативное управление и требования к IdM и механизмам доверия?</w:t>
      </w:r>
    </w:p>
    <w:p w14:paraId="2C8DE45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19</w:t>
      </w:r>
      <w:r w:rsidRPr="00F9463A">
        <w:rPr>
          <w:lang w:val="ru-RU"/>
        </w:rPr>
        <w:tab/>
        <w:t>Как следует определять конкретные вопросы управления безопасностью для организаций электросвязи, включая измерение, управление для организаций (например, МСП), и проблемы при внедрении стандартов управления безопасностью?</w:t>
      </w:r>
    </w:p>
    <w:p w14:paraId="5A7D79E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20</w:t>
      </w:r>
      <w:r w:rsidRPr="00F9463A">
        <w:rPr>
          <w:lang w:val="ru-RU"/>
        </w:rPr>
        <w:tab/>
        <w:t>Каким образом следует применять концепции, принципы и передовой опыт управления безопасностью (включая ИИ для безопасности) для руководства услугами безопасности в организациях, таких как CDC/CSC и IRT различных типов?</w:t>
      </w:r>
    </w:p>
    <w:p w14:paraId="1ABB6C44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21</w:t>
      </w:r>
      <w:r w:rsidRPr="00F9463A">
        <w:rPr>
          <w:lang w:val="ru-RU"/>
        </w:rPr>
        <w:tab/>
        <w:t>Каким образом следует внедрять надлежащее управление безопасностью информации для организаций электросвязи, используя имеющиеся стандарты (МСЭ-T, ИСО/МЭК и т. д.)?</w:t>
      </w:r>
    </w:p>
    <w:p w14:paraId="2335272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22</w:t>
      </w:r>
      <w:r w:rsidRPr="00F9463A">
        <w:rPr>
          <w:lang w:val="ru-RU"/>
        </w:rPr>
        <w:tab/>
        <w:t>Каким образом организации следует развивать потенциал и навыки персонала в области обеспечения безопасности?</w:t>
      </w:r>
    </w:p>
    <w:p w14:paraId="492BAA5B" w14:textId="0BD1E48E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23</w:t>
      </w:r>
      <w:r w:rsidRPr="00F9463A">
        <w:rPr>
          <w:lang w:val="ru-RU"/>
        </w:rPr>
        <w:tab/>
        <w:t>Как образом организации следует определять порядок взаимодействия между CDC и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CSIRT?</w:t>
      </w:r>
    </w:p>
    <w:p w14:paraId="2B333ED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24</w:t>
      </w:r>
      <w:r w:rsidRPr="00F9463A">
        <w:rPr>
          <w:lang w:val="ru-RU"/>
        </w:rPr>
        <w:tab/>
        <w:t>Как организации следует устанавливать контрольный показатель уровней зрелости в области кибербезопасности, сделать их измеримыми и управлять рисками в цепочке поставок программного обеспечения?</w:t>
      </w:r>
    </w:p>
    <w:p w14:paraId="67FDEF5B" w14:textId="138CC9CE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25</w:t>
      </w:r>
      <w:r w:rsidRPr="00F9463A">
        <w:rPr>
          <w:lang w:val="ru-RU"/>
        </w:rPr>
        <w:tab/>
        <w:t>Какие структуры обеспечивают глобальную функциональную совместимость кошельков цифровой идентичности в децентрализованных экосистемах идентичности, включая требования по обеспечению соблюдения политики доступа на основе предпочтений</w:t>
      </w:r>
      <w:r w:rsidR="006D45F1">
        <w:rPr>
          <w:lang w:val="ru-RU"/>
        </w:rPr>
        <w:t> </w:t>
      </w:r>
      <w:r w:rsidRPr="00F9463A">
        <w:rPr>
          <w:lang w:val="ru-RU"/>
        </w:rPr>
        <w:t>пользователей?</w:t>
      </w:r>
    </w:p>
    <w:p w14:paraId="13D4539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26</w:t>
      </w:r>
      <w:r w:rsidRPr="00F9463A">
        <w:rPr>
          <w:lang w:val="ru-RU"/>
        </w:rPr>
        <w:tab/>
        <w:t>Каковы требования по расширению управления цифровой идентичностью для поддержки управления ИИ-агентами, включая определение идентичности (атрибуты, регистрационные данные, роли), жизненного цикла (создание, привязка, делегирование, аннулирование, завершение), механизмов аутентификации (например, DID, ключи доступа), потоков делегирования, междоменного использования, федеративных протоколов, структур доверия, связи с владельцем/координатором, моделей подотчетности и ответственности, структур надзора, соблюдения требований конфиденциальности/PII; защиты/проверяемости и стандартов для уровней гарантий?</w:t>
      </w:r>
    </w:p>
    <w:p w14:paraId="5396D5E4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27</w:t>
      </w:r>
      <w:r w:rsidRPr="00F9463A">
        <w:rPr>
          <w:lang w:val="ru-RU"/>
        </w:rPr>
        <w:tab/>
        <w:t>Что такое модель данных для верифицируемых регистрационных данных, включая стандартную схему связанных с идентичностью атрибутов (например, имя, роль, организация, привязка агента) и метаданных для уровня выдачи, истечения срока действия, аннулирования и гарантий?</w:t>
      </w:r>
    </w:p>
    <w:p w14:paraId="5C985B1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28</w:t>
      </w:r>
      <w:r w:rsidRPr="00F9463A">
        <w:rPr>
          <w:lang w:val="ru-RU"/>
        </w:rPr>
        <w:tab/>
        <w:t>Каковы форматы и подписи верифицируемых регистрационных данных, включая общие криптографические наборы (например, JSON-LD, JWT, BBS+ для выборочного раскрытия) и поддержку постквантовых алгоритмов в будущем?</w:t>
      </w:r>
    </w:p>
    <w:p w14:paraId="5BEBD50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29</w:t>
      </w:r>
      <w:r w:rsidRPr="00F9463A">
        <w:rPr>
          <w:lang w:val="ru-RU"/>
        </w:rPr>
        <w:tab/>
        <w:t>Каковы методы и идентификаторы DID, включая стандартизованное использование DID (например, DID:web, DID:key) для эмитентов, держателей и агентов, а также правила преобразования для междоменной функциональной совместимости?</w:t>
      </w:r>
    </w:p>
    <w:p w14:paraId="01584C8E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lastRenderedPageBreak/>
        <w:t>30</w:t>
      </w:r>
      <w:r w:rsidRPr="00F9463A">
        <w:rPr>
          <w:lang w:val="ru-RU"/>
        </w:rPr>
        <w:tab/>
        <w:t>Каковы основы привязки и доверия, в том числе способы связывания VC идентичности с человеком, организацией или ИИ-агентом, политика в отношении уровней гарантий (низкий → высокий) и модели ответственности?</w:t>
      </w:r>
    </w:p>
    <w:p w14:paraId="337DA35A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MS Mincho"/>
          <w:lang w:val="ru-RU"/>
        </w:rPr>
      </w:pPr>
      <w:r w:rsidRPr="00F9463A">
        <w:rPr>
          <w:lang w:val="ru-RU"/>
        </w:rPr>
        <w:t>31</w:t>
      </w:r>
      <w:r w:rsidRPr="00F9463A">
        <w:rPr>
          <w:lang w:val="ru-RU"/>
        </w:rPr>
        <w:tab/>
        <w:t>Какими должны быть функционально взаимодействующие протоколы (например, OIDC4VC, DIDComm, CHAPI) для выдачи, представления, проверки и стандартных форматов представления для различных контекстов (мобильные устройства, связь между агентами, федеративная среда)?</w:t>
      </w:r>
    </w:p>
    <w:p w14:paraId="75F07D46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3</w:t>
      </w:r>
      <w:r w:rsidRPr="00F9463A">
        <w:rPr>
          <w:lang w:val="ru-RU"/>
        </w:rPr>
        <w:tab/>
        <w:t>Задачи</w:t>
      </w:r>
    </w:p>
    <w:p w14:paraId="2602DA02" w14:textId="77777777" w:rsidR="00172391" w:rsidRPr="00F9463A" w:rsidRDefault="00172391" w:rsidP="00172391">
      <w:pPr>
        <w:rPr>
          <w:rFonts w:eastAsia="SimSun"/>
          <w:lang w:val="ru-RU"/>
        </w:rPr>
      </w:pPr>
      <w:r w:rsidRPr="00F9463A">
        <w:rPr>
          <w:lang w:val="ru-RU"/>
        </w:rPr>
        <w:t>Задачи на основе Вопросов включают:</w:t>
      </w:r>
    </w:p>
    <w:p w14:paraId="56724C6D" w14:textId="2C90867A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Разработка безопасной, ориентированной на пользователя структуры IdM, включающей блокчейн, цифровые кошельки, DID, верифицируемые регистрационные данные, MFA, ИИ, шифрование, PKI, беспарольную аутентификацию и поддержку облачных технологий, IMT</w:t>
      </w:r>
      <w:r w:rsidR="00F9463A" w:rsidRPr="00F9463A">
        <w:rPr>
          <w:lang w:val="ru-RU"/>
        </w:rPr>
        <w:t>­</w:t>
      </w:r>
      <w:r w:rsidRPr="00F9463A">
        <w:rPr>
          <w:lang w:val="ru-RU"/>
        </w:rPr>
        <w:t xml:space="preserve">2020/IMT-2030, мобильные приложения и IoT, при уделении особого внимания управлению со стороны пользователей, конфиденциальности, функциональной совместимости, федеративности и защите от кибератак.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требований вопросов 1, 2, 7, 8, 9, 10 и 11 раздела 2, выше.</w:t>
      </w:r>
    </w:p>
    <w:p w14:paraId="79EAD94C" w14:textId="312E375A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Определение требований к защите, совместному использованию и управлению PII, включая</w:t>
      </w:r>
      <w:r w:rsidR="006D45F1">
        <w:rPr>
          <w:lang w:val="ru-RU"/>
        </w:rPr>
        <w:t> </w:t>
      </w:r>
      <w:r w:rsidRPr="00F9463A">
        <w:rPr>
          <w:lang w:val="ru-RU"/>
        </w:rPr>
        <w:t>проверку возраста, конфиденциальность для несовершеннолетних, проверку атрибутов (например, возраста, местоположения) и правила доступа на основе предпочтений</w:t>
      </w:r>
      <w:r w:rsidR="006D45F1">
        <w:rPr>
          <w:lang w:val="ru-RU"/>
        </w:rPr>
        <w:t> </w:t>
      </w:r>
      <w:r w:rsidRPr="00F9463A">
        <w:rPr>
          <w:lang w:val="ru-RU"/>
        </w:rPr>
        <w:t xml:space="preserve">пользователей.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требований вопросов 3 и 5 раздела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2,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выше.</w:t>
      </w:r>
    </w:p>
    <w:p w14:paraId="419F216F" w14:textId="3A96F774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Создание доверенных регистров и механизмов для IAM, включая интеграцию доверенных сетей для надежного восстановления учетных записей, безопасности и удобства использования.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требований вопросов 4 и 6 раздела 2, выше.</w:t>
      </w:r>
    </w:p>
    <w:p w14:paraId="10D27DAA" w14:textId="4C9FE765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Определение требований и механизмов для гарантии идентичности при аутентификации и федерации, включая отображение/взаимодействие сетей, схемы идентичности, репутацию и потребности поставщиков услуг.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4 и 5 раздела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2 Вопроса,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выше.</w:t>
      </w:r>
    </w:p>
    <w:p w14:paraId="762B8A2B" w14:textId="2D7CE7C2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Анализ функциональной совместимости, совместимости стандартов (например, МСЭ-Т, ИСО/МЭК) и управления для систем IdM, включая федеративные/децентрализованные модели, сопряжение сетей и сведение к минимуму проблем по различным платформам, устройствам и приложениям.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2 и 10 раздела 2 Вопроса,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выше.</w:t>
      </w:r>
    </w:p>
    <w:p w14:paraId="7F608249" w14:textId="0D7CF1DE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Интеграция биометрических данных в IdM для строгой аутентификации в защищенных высокопроизводительных сетях, включая оценку рисков безопасности, методы защиты операций/данных и функционально совместимые структуры (централизованные/децентрализованные с верифицируемыми регистрационными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 xml:space="preserve">данными).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12, 13 и 14 раздела 2, выше.</w:t>
      </w:r>
    </w:p>
    <w:p w14:paraId="347335AA" w14:textId="0D5792EA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Рассмотрение протоколов безопасной обработки биометрических данных в телебиометрии, включая функциональную совместимость B2M/M2M, биосигналов для приложений (например, аутентификация, идентификация, мониторинг в электронном здравоохранении) и структур для облачной среды/среды хранения данных.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15 и 16 раздела 2, выше.</w:t>
      </w:r>
    </w:p>
    <w:p w14:paraId="42DE7A1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Оценка воздействия ИИ на биометрию и IdM, включая требования по распространению управления цифровой идентичностью на ИИ-агентов (например, атрибутов, регистрационных данных, ролей, жизненного цикла, аутентификации, делегирования, федерации, доверия, подотчетности, соблюдения конфиденциальности и уровней гарантий). Эта задача касается вопросов 17 и 26 раздела 2 Вопроса, выше.</w:t>
      </w:r>
    </w:p>
    <w:p w14:paraId="6BFDF108" w14:textId="73ABD680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lastRenderedPageBreak/>
        <w:t>–</w:t>
      </w:r>
      <w:r w:rsidRPr="00F9463A">
        <w:rPr>
          <w:lang w:val="ru-RU"/>
        </w:rPr>
        <w:tab/>
        <w:t xml:space="preserve">Исследование и разработка структур функциональной совместимости кошельков цифровой идентичности в децентрализованных экосистемах, включая глобальные стандарты, обеспечение соблюдения предпочтений пользователей и интеграцию с IdM как услугой.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соотносится с вопросом 25 в разделе 2, выше.</w:t>
      </w:r>
    </w:p>
    <w:p w14:paraId="0814C0B6" w14:textId="2250CEE2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Определение комплексной модели данных для регистрационных данных, форматов, подписей (например, JSON-LD, JWT, BBS+, постквантовых), методов/идентификаторов DID (например, DID:web, DID:key), структур привязки/доверия (например, уровни гарантий, ответственность) и совместимых протоколов (например, OIDC4VC, DIDComm, CHAPI) для выдачи, представления и проверки в разных контекстах.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27, 28, 29, 30 и 31 раздела 2, выше.</w:t>
      </w:r>
    </w:p>
    <w:p w14:paraId="1F31C2E3" w14:textId="111D7A9D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Определение систем, функций управления и механизмов доверия (например, DID, VC) в целях укрепления системы обеспечения безопасности организации, включая интеграцию с CDC/CSC, аутентификацию/авторизацию/контроль доступа и координацию обмена информацией о кибератаках.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11, 18 и 23 раздела 2, выше.</w:t>
      </w:r>
    </w:p>
    <w:p w14:paraId="530E3DDA" w14:textId="32F5899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Определение того, каким образом организациям электросвязи (включая МСП) следует выявлять, измерять, регулировать и оценивать вопросы безопасности, уровней зрелости, проблем при внедрении стандартов и рисков (например, цепочка поставок программного обеспечения), используя существующие стандарты (МСЭ-Т, ИСО/МЭК).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19, 21 и 24 раздела 2, выше.</w:t>
      </w:r>
    </w:p>
    <w:p w14:paraId="6467C7A8" w14:textId="10AC344F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Применение принципов управления безопасностью (включая ИИ для обеспечения безопасности) и передового опыта для руководства услугами в организациях (например, CDC/CSC, IRT), включая взаимоотношения между CDC и CSIRT.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20 и 23 раздела 2, выше.</w:t>
      </w:r>
    </w:p>
    <w:p w14:paraId="7C6374B5" w14:textId="395F74FF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Осуществление управления информационной безопасностью и наращивание потенциала персонала в организациях электросвязи при уделении особого внимания эффективному управлению PII и развитию навыков.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3, 21 и 22 раздела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2,</w:t>
      </w:r>
      <w:r w:rsidR="001E03A0" w:rsidRPr="00F9463A">
        <w:rPr>
          <w:lang w:val="ru-RU"/>
        </w:rPr>
        <w:t> </w:t>
      </w:r>
      <w:r w:rsidRPr="00F9463A">
        <w:rPr>
          <w:lang w:val="ru-RU"/>
        </w:rPr>
        <w:t>выше.</w:t>
      </w:r>
    </w:p>
    <w:p w14:paraId="0E814D8D" w14:textId="1E181A41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Оценка проектов систем IdM, связанных с CDC/CSC, в отношении устойчивых функциональных возможностей, включая выявление рисков/угроз безопасности, безопасные протоколы, обучение пользователей и соответствие отраслевым стандартам. </w:t>
      </w:r>
      <w:r w:rsidR="00F9463A" w:rsidRPr="00F9463A">
        <w:rPr>
          <w:lang w:val="ru-RU"/>
        </w:rPr>
        <w:br/>
      </w:r>
      <w:r w:rsidRPr="00F9463A">
        <w:rPr>
          <w:lang w:val="ru-RU"/>
        </w:rPr>
        <w:t>Эта задача касается вопросов 18, 19 и 21 раздела 2, выше.</w:t>
      </w:r>
    </w:p>
    <w:p w14:paraId="1188CF33" w14:textId="77777777" w:rsidR="00172391" w:rsidRPr="00F9463A" w:rsidRDefault="00172391" w:rsidP="00172391">
      <w:pPr>
        <w:rPr>
          <w:rFonts w:eastAsia="MS Mincho"/>
          <w:lang w:val="ru-RU"/>
        </w:rPr>
      </w:pPr>
      <w:r w:rsidRPr="00F9463A">
        <w:rPr>
          <w:lang w:val="ru-RU"/>
        </w:rPr>
        <w:t xml:space="preserve">Информация о текущем состоянии работы по этому Вопросу содержится в программе работы ИК 17 по адресу: </w:t>
      </w:r>
      <w:hyperlink r:id="rId14" w:history="1">
        <w:r w:rsidRPr="00F9463A">
          <w:rPr>
            <w:rStyle w:val="Hyperlink"/>
            <w:lang w:val="ru-RU"/>
          </w:rPr>
          <w:t>https://www.itu.int/ITU-T/workprog/wp_search.aspx?sp=18&amp;q=10/17</w:t>
        </w:r>
      </w:hyperlink>
      <w:r w:rsidRPr="00F9463A">
        <w:rPr>
          <w:lang w:val="ru-RU"/>
        </w:rPr>
        <w:t>.</w:t>
      </w:r>
      <w:hyperlink r:id="rId15" w:history="1"/>
    </w:p>
    <w:p w14:paraId="48819B1D" w14:textId="77777777" w:rsidR="00172391" w:rsidRPr="00F9463A" w:rsidRDefault="00172391" w:rsidP="001E03A0">
      <w:pPr>
        <w:pStyle w:val="Heading1"/>
        <w:rPr>
          <w:lang w:val="ru-RU"/>
        </w:rPr>
      </w:pPr>
      <w:r w:rsidRPr="00F9463A">
        <w:rPr>
          <w:lang w:val="ru-RU"/>
        </w:rPr>
        <w:t>4</w:t>
      </w:r>
      <w:r w:rsidRPr="00F9463A">
        <w:rPr>
          <w:lang w:val="ru-RU"/>
        </w:rPr>
        <w:tab/>
        <w:t>Взаимосвязь</w:t>
      </w:r>
    </w:p>
    <w:p w14:paraId="2F287B3B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Рекомендации</w:t>
      </w:r>
    </w:p>
    <w:p w14:paraId="3F0C5C2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Серии X и Y</w:t>
      </w:r>
    </w:p>
    <w:p w14:paraId="58381637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X.200, X.273, X.274, X.509, X.680, X.805 и X.1051</w:t>
      </w:r>
    </w:p>
    <w:p w14:paraId="7AB911D8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Вопросы</w:t>
      </w:r>
    </w:p>
    <w:p w14:paraId="28EE91D1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Все Вопросы ИК17 МСЭ-Т</w:t>
      </w:r>
    </w:p>
    <w:p w14:paraId="635CCCA0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Исследовательские комиссии</w:t>
      </w:r>
    </w:p>
    <w:p w14:paraId="7A22FDD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ИК2 МСЭ-T</w:t>
      </w:r>
    </w:p>
    <w:p w14:paraId="2B70707B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ИК5 МСЭ-T</w:t>
      </w:r>
    </w:p>
    <w:p w14:paraId="1397D6A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ИК11 МСЭ-T</w:t>
      </w:r>
    </w:p>
    <w:p w14:paraId="4312B8C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ИК13 МСЭ-Т</w:t>
      </w:r>
    </w:p>
    <w:p w14:paraId="4048A581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ИК15 МСЭ-T</w:t>
      </w:r>
    </w:p>
    <w:p w14:paraId="3E022A91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ИК20 МСЭ-T</w:t>
      </w:r>
    </w:p>
    <w:p w14:paraId="7427DB4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lastRenderedPageBreak/>
        <w:t>–</w:t>
      </w:r>
      <w:r w:rsidRPr="00F9463A">
        <w:rPr>
          <w:lang w:val="ru-RU"/>
        </w:rPr>
        <w:tab/>
        <w:t>ИК21 МСЭ-T</w:t>
      </w:r>
    </w:p>
    <w:p w14:paraId="38154F59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ИК1 и ИК2 МСЭ-D</w:t>
      </w:r>
    </w:p>
    <w:p w14:paraId="2491E7AB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Органы по стандартизации</w:t>
      </w:r>
    </w:p>
    <w:p w14:paraId="0C7158E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ТК25 МЭК, ОРГ1 ТК25 МЭК</w:t>
      </w:r>
    </w:p>
    <w:p w14:paraId="736C37D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Институт инженеров по электротехнике и радиоэлектронике (IEEE)</w:t>
      </w:r>
    </w:p>
    <w:p w14:paraId="19A7D7A1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Целевая группа по инженерным проблемам интернета (IETF)</w:t>
      </w:r>
    </w:p>
    <w:p w14:paraId="5707F3C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ПК 6, 17, 27, 37, 40 и 42 ОТК1 ИСО/МЭК</w:t>
      </w:r>
    </w:p>
    <w:p w14:paraId="671F4320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ТК 12, 68, 215 и 307 ИСО</w:t>
      </w:r>
    </w:p>
    <w:p w14:paraId="355F00D0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ОРГ20 ТК12 ИСО</w:t>
      </w:r>
    </w:p>
    <w:p w14:paraId="18AEEB6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Европейский институт стандартизации электросвязи</w:t>
      </w:r>
    </w:p>
    <w:p w14:paraId="09899EF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Азиатско-Тихоокеанская программа по стандартизации (ASTAP)</w:t>
      </w:r>
    </w:p>
    <w:p w14:paraId="7FA44DAE" w14:textId="1DB3EB42" w:rsidR="00172391" w:rsidRPr="00F9463A" w:rsidRDefault="00172391" w:rsidP="00F9463A">
      <w:pPr>
        <w:pStyle w:val="enumlev1"/>
        <w:tabs>
          <w:tab w:val="clear" w:pos="794"/>
          <w:tab w:val="left" w:pos="28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Организация по развитию стандартов структурированной информации (ОРССИ)</w:t>
      </w:r>
    </w:p>
    <w:p w14:paraId="5D451840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Инициатива Kantara</w:t>
      </w:r>
    </w:p>
    <w:p w14:paraId="3EC03BD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Проект партнерства третьего поколения (3GPP)</w:t>
      </w:r>
    </w:p>
    <w:p w14:paraId="6FC3C8B1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Проект OpenWallet Foundation</w:t>
      </w:r>
    </w:p>
    <w:p w14:paraId="44F73399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MS Mincho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Комитет по технологиям электросвязи (TTC)</w:t>
      </w:r>
    </w:p>
    <w:p w14:paraId="5A8353D1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Другие органы</w:t>
      </w:r>
    </w:p>
    <w:p w14:paraId="7B334D9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Международное бюро мер и весов (МБМВ)</w:t>
      </w:r>
    </w:p>
    <w:p w14:paraId="7A34A3C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Международная комиссия по радиологическим единицам и измерениям (МКРЕИ)</w:t>
      </w:r>
    </w:p>
    <w:p w14:paraId="507CB26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Альянс Fast Identity Online (FIDO)</w:t>
      </w:r>
    </w:p>
    <w:p w14:paraId="5AD43B6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Фонд OpenID (OID)</w:t>
      </w:r>
    </w:p>
    <w:p w14:paraId="1AF6FA04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Альянс Secure Identity (SIA)</w:t>
      </w:r>
    </w:p>
    <w:p w14:paraId="0FE2360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сообщество SIDI Hub (устойчивая и совместимая цифровая идентичность)</w:t>
      </w:r>
    </w:p>
    <w:p w14:paraId="743EBA4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Международная организация труда (МОТ)</w:t>
      </w:r>
    </w:p>
    <w:p w14:paraId="257DF211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MS Mincho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Форум по реагированию на инциденты и группам безопасности (FIRST)</w:t>
      </w:r>
    </w:p>
    <w:p w14:paraId="6BBC44C6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Направления деятельности ВВУИО</w:t>
      </w:r>
    </w:p>
    <w:p w14:paraId="30A74E86" w14:textId="77777777" w:rsidR="00172391" w:rsidRPr="00F9463A" w:rsidRDefault="00172391" w:rsidP="00172391">
      <w:pPr>
        <w:pStyle w:val="enumlev1"/>
        <w:tabs>
          <w:tab w:val="clear" w:pos="794"/>
        </w:tabs>
        <w:rPr>
          <w:rFonts w:eastAsia="SimSun"/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C5</w:t>
      </w:r>
    </w:p>
    <w:p w14:paraId="1D7C486B" w14:textId="77777777" w:rsidR="00172391" w:rsidRPr="00F9463A" w:rsidRDefault="00172391" w:rsidP="00172391">
      <w:pPr>
        <w:pStyle w:val="Headingb"/>
        <w:rPr>
          <w:rFonts w:eastAsia="SimSun"/>
          <w:lang w:val="ru-RU"/>
        </w:rPr>
      </w:pPr>
      <w:r w:rsidRPr="00F9463A">
        <w:rPr>
          <w:bCs/>
          <w:lang w:val="ru-RU"/>
        </w:rPr>
        <w:t>Цели в области устойчивого развития</w:t>
      </w:r>
    </w:p>
    <w:p w14:paraId="43F2ED4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>8, 9</w:t>
      </w:r>
    </w:p>
    <w:p w14:paraId="520DC804" w14:textId="16F4C89D" w:rsidR="0049010B" w:rsidRPr="00F9463A" w:rsidRDefault="0049010B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="Calibri" w:hAnsi="Calibri"/>
          <w:szCs w:val="20"/>
          <w:lang w:val="ru-RU"/>
        </w:rPr>
      </w:pPr>
      <w:r w:rsidRPr="00F9463A">
        <w:rPr>
          <w:lang w:val="ru-RU"/>
        </w:rPr>
        <w:br w:type="page"/>
      </w:r>
    </w:p>
    <w:p w14:paraId="6041C4BD" w14:textId="77777777" w:rsidR="00172391" w:rsidRPr="00F9463A" w:rsidRDefault="00172391" w:rsidP="00172391">
      <w:pPr>
        <w:pStyle w:val="Headingb"/>
        <w:rPr>
          <w:lang w:val="ru-RU"/>
        </w:rPr>
      </w:pPr>
      <w:bookmarkStart w:id="3" w:name="lt_pId422"/>
      <w:bookmarkEnd w:id="2"/>
      <w:r w:rsidRPr="00F9463A">
        <w:rPr>
          <w:lang w:val="ru-RU"/>
        </w:rPr>
        <w:lastRenderedPageBreak/>
        <w:t>Вопрос 16/17 − Безопасность искусственного интеллекта (ИИ)</w:t>
      </w:r>
      <w:bookmarkEnd w:id="3"/>
    </w:p>
    <w:p w14:paraId="615029A3" w14:textId="4AA57FBA" w:rsidR="0049010B" w:rsidRPr="00F9463A" w:rsidRDefault="00172391" w:rsidP="00172391">
      <w:pPr>
        <w:rPr>
          <w:lang w:val="ru-RU"/>
        </w:rPr>
      </w:pPr>
      <w:bookmarkStart w:id="4" w:name="lt_pId423"/>
      <w:r w:rsidRPr="00F9463A">
        <w:rPr>
          <w:lang w:val="ru-RU"/>
        </w:rPr>
        <w:t>(Новый Вопрос)</w:t>
      </w:r>
      <w:bookmarkEnd w:id="4"/>
      <w:r w:rsidR="00F05E8B" w:rsidRPr="00F9463A">
        <w:rPr>
          <w:rStyle w:val="FootnoteReference"/>
          <w:lang w:val="ru-RU"/>
        </w:rPr>
        <w:footnoteReference w:id="4"/>
      </w:r>
    </w:p>
    <w:p w14:paraId="4F311189" w14:textId="15E0616F" w:rsidR="0049010B" w:rsidRPr="00F9463A" w:rsidRDefault="00172391" w:rsidP="0049010B">
      <w:pPr>
        <w:pStyle w:val="Heading1"/>
        <w:rPr>
          <w:lang w:val="ru-RU"/>
        </w:rPr>
      </w:pPr>
      <w:bookmarkStart w:id="5" w:name="lt_pId424"/>
      <w:r w:rsidRPr="00F9463A">
        <w:rPr>
          <w:lang w:val="ru-RU"/>
        </w:rPr>
        <w:t>1</w:t>
      </w:r>
      <w:r w:rsidRPr="00F9463A">
        <w:rPr>
          <w:lang w:val="ru-RU"/>
        </w:rPr>
        <w:tab/>
        <w:t>Обоснование</w:t>
      </w:r>
      <w:bookmarkStart w:id="6" w:name="lt_pId425"/>
      <w:bookmarkEnd w:id="5"/>
      <w:bookmarkEnd w:id="6"/>
    </w:p>
    <w:p w14:paraId="19F1D145" w14:textId="77777777" w:rsidR="00172391" w:rsidRPr="00F9463A" w:rsidRDefault="00172391" w:rsidP="00172391">
      <w:pPr>
        <w:rPr>
          <w:lang w:val="ru-RU"/>
        </w:rPr>
      </w:pPr>
      <w:bookmarkStart w:id="7" w:name="lt_pId426"/>
      <w:r w:rsidRPr="00F9463A">
        <w:rPr>
          <w:lang w:val="ru-RU"/>
        </w:rPr>
        <w:t>Искусственный интеллект (ИИ) и машинное обучение (МО) стремительно преобразуют системы электросвязи и информационно-коммуникационных технологий (ИКТ), обеспечивая исключительно высокую эффективность и широкие возможности. Однако их внедрение создает комплексные и динамичные проблемы безопасности, влияющие на целостность системы, конфиденциальность данных, непрерывность деятельности и доверие населения. Ненадлежащее использование, непредусмотренное поведение и системные уязвимости требуют неотложного внимания.</w:t>
      </w:r>
      <w:bookmarkStart w:id="8" w:name="lt_pId427"/>
      <w:bookmarkStart w:id="9" w:name="lt_pId428"/>
      <w:bookmarkEnd w:id="7"/>
      <w:bookmarkEnd w:id="8"/>
      <w:bookmarkEnd w:id="9"/>
    </w:p>
    <w:p w14:paraId="6CF5F764" w14:textId="77777777" w:rsidR="00172391" w:rsidRPr="00F9463A" w:rsidRDefault="00172391" w:rsidP="00172391">
      <w:pPr>
        <w:rPr>
          <w:lang w:val="ru-RU"/>
        </w:rPr>
      </w:pPr>
      <w:bookmarkStart w:id="10" w:name="lt_pId429"/>
      <w:r w:rsidRPr="00F9463A">
        <w:rPr>
          <w:lang w:val="ru-RU"/>
        </w:rPr>
        <w:t>Инновационные парадигмы ИИ/МО, такие как агентный ИИ, физический ИИ, многоагентные системы, встроенный ИИ и системы воплощенного ИИ (роботы и дроны), меняют среду функционирования ИКТ и автономного принятия решений. Достижения в этих областях создают уникальное пространство угроз, требующих специальных стратегий безопасности на основе ИИ.</w:t>
      </w:r>
      <w:bookmarkStart w:id="11" w:name="lt_pId430"/>
      <w:bookmarkEnd w:id="10"/>
      <w:bookmarkEnd w:id="11"/>
    </w:p>
    <w:p w14:paraId="3320A16D" w14:textId="77777777" w:rsidR="00172391" w:rsidRPr="00F9463A" w:rsidRDefault="00172391" w:rsidP="00172391">
      <w:pPr>
        <w:rPr>
          <w:lang w:val="ru-RU"/>
        </w:rPr>
      </w:pPr>
      <w:bookmarkStart w:id="12" w:name="lt_pId431"/>
      <w:r w:rsidRPr="00F9463A">
        <w:rPr>
          <w:lang w:val="ru-RU"/>
        </w:rPr>
        <w:t>В частности, воплощенный ИИ создает риски, связанные с физическим миром, из-за автономного взаимодействия, в то время как встроенный ИИ представляет собой проблемы в условиях ограниченных ресурсов, где система безопасности обязательно должна оставаться простой и устойчивой и учитывать контекст.</w:t>
      </w:r>
      <w:bookmarkEnd w:id="12"/>
    </w:p>
    <w:p w14:paraId="05DDB43C" w14:textId="77777777" w:rsidR="00172391" w:rsidRPr="00F9463A" w:rsidRDefault="00172391" w:rsidP="00172391">
      <w:pPr>
        <w:rPr>
          <w:lang w:val="ru-RU"/>
        </w:rPr>
      </w:pPr>
      <w:bookmarkStart w:id="13" w:name="lt_pId432"/>
      <w:r w:rsidRPr="00F9463A">
        <w:rPr>
          <w:lang w:val="ru-RU"/>
        </w:rPr>
        <w:t>Меры защиты имеют решающее значение при использовании ИИ и МО, однако их лучше всего рассматривать как производный фактор, являющийся результатом применения комплексных подходов к безопасности, надежности работы и управлению рисками на протяжении всего жизненного цикла ИИ/МО. Такой подход соответствует мандату ИК17 и гарантирует системное снижение рисков, связанных со сбоями в работе систем ИИ, их ненадлежащим использованием или применением со злым умыслом.</w:t>
      </w:r>
      <w:bookmarkStart w:id="14" w:name="lt_pId433"/>
      <w:bookmarkEnd w:id="13"/>
      <w:bookmarkEnd w:id="14"/>
    </w:p>
    <w:p w14:paraId="255808E9" w14:textId="77777777" w:rsidR="00172391" w:rsidRPr="00F9463A" w:rsidRDefault="00172391" w:rsidP="00172391">
      <w:pPr>
        <w:rPr>
          <w:lang w:val="ru-RU"/>
        </w:rPr>
      </w:pPr>
      <w:bookmarkStart w:id="15" w:name="lt_pId434"/>
      <w:r w:rsidRPr="00F9463A">
        <w:rPr>
          <w:lang w:val="ru-RU"/>
        </w:rPr>
        <w:t>Агенты ИИ могут чувствовать окружающую среду и реагировать на нее, предпринимая действия, направленные на достижение поставленных целей. Системы агентного ИИ могут функционировать автономно, демонстрируя целенаправленное поведение, воспринимая окружающую действительность, анализируя условия, планируя стратегии и активно выполняя действия для достижения целей. Они могут свести к минимуму вмешательство человека и беспрепятственно координировать работу нескольких инструментов, агентов и источников данных.</w:t>
      </w:r>
      <w:bookmarkStart w:id="16" w:name="lt_pId435"/>
      <w:bookmarkStart w:id="17" w:name="lt_pId436"/>
      <w:bookmarkEnd w:id="15"/>
      <w:bookmarkEnd w:id="16"/>
      <w:bookmarkEnd w:id="17"/>
    </w:p>
    <w:p w14:paraId="3D5AA571" w14:textId="77777777" w:rsidR="00172391" w:rsidRPr="00F9463A" w:rsidRDefault="00172391" w:rsidP="00172391">
      <w:pPr>
        <w:rPr>
          <w:lang w:val="ru-RU"/>
        </w:rPr>
      </w:pPr>
      <w:bookmarkStart w:id="18" w:name="lt_pId437"/>
      <w:r w:rsidRPr="00F9463A">
        <w:rPr>
          <w:lang w:val="ru-RU"/>
        </w:rPr>
        <w:t>Протоколы связи между агентами позволяют двум или более агентам ИИ обмениваться информацией, координировать действия и согласовывать решения для достижения индивидуальных или общих целей в распределенных или многоагентных средах. Протоколы связи на основе открытых моделей способны стандартизировать взаимодействие моделей и агентов ИИ с внешними инструментами, услугами и источниками данных, что обеспечивает функциональную совместимость различных экосистем ИКТ.</w:t>
      </w:r>
      <w:bookmarkStart w:id="19" w:name="lt_pId438"/>
      <w:bookmarkEnd w:id="18"/>
      <w:bookmarkEnd w:id="19"/>
    </w:p>
    <w:p w14:paraId="5989AEE0" w14:textId="77777777" w:rsidR="00172391" w:rsidRPr="00F9463A" w:rsidRDefault="00172391" w:rsidP="00172391">
      <w:pPr>
        <w:rPr>
          <w:lang w:val="ru-RU"/>
        </w:rPr>
      </w:pPr>
      <w:bookmarkStart w:id="20" w:name="lt_pId439"/>
      <w:r w:rsidRPr="00F9463A">
        <w:rPr>
          <w:lang w:val="ru-RU"/>
        </w:rPr>
        <w:t xml:space="preserve">Для достижения этих целей в рамках данного Вопроса изучаются возможные способы усиления мер безопасности с помощью ИИ, обеспечения безопасности систем ИИ и приложений на основе ИИ для поддержки электросвязи/ИКТ, а также противодействия растущим угрозам, вызванным прогрессом в области ИИ. Кроме того, в рамках Вопроса задается направление разработки динамичной дорожной карты безопасности ИИ/МО, создается комплект практических материалов по внедрению и оценке и оказывается содействие в согласовании подходов в области электросвязи/ИКТ, используемых исследовательскими комиссиями МСЭ-Т, а также в </w:t>
      </w:r>
      <w:bookmarkStart w:id="21" w:name="_Hlk223458971"/>
      <w:r w:rsidRPr="00F9463A">
        <w:rPr>
          <w:lang w:val="ru-RU"/>
        </w:rPr>
        <w:t xml:space="preserve">обеспечении согласованности с деятельностью </w:t>
      </w:r>
      <w:bookmarkEnd w:id="21"/>
      <w:r w:rsidRPr="00F9463A">
        <w:rPr>
          <w:lang w:val="ru-RU"/>
        </w:rPr>
        <w:t>внешних организаций по стандартизации. Работа в рамках данного Вопроса также способствует определению средств контроля безопасности и передового опыта для повышения достоверности и стимулирования инноваций.</w:t>
      </w:r>
      <w:bookmarkStart w:id="22" w:name="lt_pId440"/>
      <w:bookmarkStart w:id="23" w:name="lt_pId441"/>
      <w:bookmarkEnd w:id="20"/>
      <w:bookmarkEnd w:id="22"/>
      <w:bookmarkEnd w:id="23"/>
    </w:p>
    <w:p w14:paraId="1206A484" w14:textId="77777777" w:rsidR="00172391" w:rsidRPr="00F9463A" w:rsidRDefault="00172391" w:rsidP="00172391">
      <w:pPr>
        <w:rPr>
          <w:lang w:val="ru-RU"/>
        </w:rPr>
      </w:pPr>
      <w:bookmarkStart w:id="24" w:name="lt_pId442"/>
      <w:r w:rsidRPr="00F9463A">
        <w:rPr>
          <w:lang w:val="ru-RU"/>
        </w:rPr>
        <w:lastRenderedPageBreak/>
        <w:t>В целях поддержки безопасного развертывания систем агентного ИИ в рамках данного Вопроса рассматривается модель архитектуры ИИ, подобная модели OSI, с выделенной плоскостью управления безопасностью и доверием агентного ИИ. Эта плоскость обеспечивает динамическую, зависящую от контекста авторизацию действий ИИ и управление ими, помогая гарантировать защищенную и прозрачную работу в соответствии с целями и ограничениями политики, которые определены человеком.</w:t>
      </w:r>
      <w:bookmarkStart w:id="25" w:name="lt_pId443"/>
      <w:bookmarkEnd w:id="24"/>
      <w:bookmarkEnd w:id="25"/>
    </w:p>
    <w:p w14:paraId="23E206F7" w14:textId="77777777" w:rsidR="00172391" w:rsidRPr="00F9463A" w:rsidRDefault="00172391" w:rsidP="00172391">
      <w:pPr>
        <w:rPr>
          <w:lang w:val="ru-RU"/>
        </w:rPr>
      </w:pPr>
      <w:bookmarkStart w:id="26" w:name="lt_pId444"/>
      <w:r w:rsidRPr="00F9463A">
        <w:rPr>
          <w:lang w:val="ru-RU"/>
        </w:rPr>
        <w:t>В рамках данного Вопроса рассматриваются также четыре взаимодополняющих аспекта безопасности ИИ:</w:t>
      </w:r>
      <w:bookmarkEnd w:id="26"/>
    </w:p>
    <w:p w14:paraId="3131EF3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27" w:name="lt_pId445"/>
      <w:r w:rsidRPr="00F9463A">
        <w:rPr>
          <w:lang w:val="ru-RU"/>
        </w:rPr>
        <w:t>–</w:t>
      </w:r>
      <w:r w:rsidRPr="00F9463A">
        <w:rPr>
          <w:lang w:val="ru-RU"/>
        </w:rPr>
        <w:tab/>
      </w:r>
      <w:r w:rsidRPr="00F9463A">
        <w:rPr>
          <w:b/>
          <w:bCs/>
          <w:lang w:val="ru-RU"/>
        </w:rPr>
        <w:t>Безопасность ИИ</w:t>
      </w:r>
      <w:r w:rsidRPr="00F9463A">
        <w:rPr>
          <w:lang w:val="ru-RU"/>
        </w:rPr>
        <w:t>: защита систем ИИ от таких угроз, как отравление моделей, состязательные атаки и несанкционированный доступ.</w:t>
      </w:r>
      <w:bookmarkStart w:id="28" w:name="lt_pId446"/>
      <w:bookmarkStart w:id="29" w:name="lt_pId447"/>
      <w:bookmarkEnd w:id="27"/>
      <w:bookmarkEnd w:id="28"/>
      <w:bookmarkEnd w:id="29"/>
    </w:p>
    <w:p w14:paraId="63B42298" w14:textId="77EB6A40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30" w:name="lt_pId448"/>
      <w:r w:rsidRPr="00F9463A">
        <w:rPr>
          <w:lang w:val="ru-RU"/>
        </w:rPr>
        <w:t>–</w:t>
      </w:r>
      <w:r w:rsidRPr="00F9463A">
        <w:rPr>
          <w:lang w:val="ru-RU"/>
        </w:rPr>
        <w:tab/>
      </w:r>
      <w:r w:rsidRPr="00F9463A">
        <w:rPr>
          <w:b/>
          <w:bCs/>
          <w:lang w:val="ru-RU"/>
        </w:rPr>
        <w:t>Безопасность с помощью ИИ</w:t>
      </w:r>
      <w:r w:rsidRPr="00F9463A">
        <w:rPr>
          <w:lang w:val="ru-RU"/>
        </w:rPr>
        <w:t>: использование технологий ИИ для расширения возможностей обеспечения кибербезопасности, включая обнаружение угроз, реагирование на них и оценку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рисков.</w:t>
      </w:r>
      <w:bookmarkStart w:id="31" w:name="lt_pId449"/>
      <w:bookmarkStart w:id="32" w:name="lt_pId450"/>
      <w:bookmarkEnd w:id="30"/>
      <w:bookmarkEnd w:id="31"/>
      <w:bookmarkEnd w:id="32"/>
    </w:p>
    <w:p w14:paraId="10A011D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33" w:name="lt_pId451"/>
      <w:r w:rsidRPr="00F9463A">
        <w:rPr>
          <w:lang w:val="ru-RU"/>
        </w:rPr>
        <w:t>–</w:t>
      </w:r>
      <w:r w:rsidRPr="00F9463A">
        <w:rPr>
          <w:lang w:val="ru-RU"/>
        </w:rPr>
        <w:tab/>
      </w:r>
      <w:r w:rsidRPr="00F9463A">
        <w:rPr>
          <w:b/>
          <w:bCs/>
          <w:lang w:val="ru-RU"/>
        </w:rPr>
        <w:t>Безопасность в контексте ненадлежащего использования ИИ и злоупотребления им</w:t>
      </w:r>
      <w:r w:rsidRPr="00F9463A">
        <w:rPr>
          <w:lang w:val="ru-RU"/>
        </w:rPr>
        <w:t>: устранение рисков, связанных с применением технологий ИИ со злым умыслом либо в преступных целях или связанных с кибератаками при поддержке ИИ.</w:t>
      </w:r>
      <w:bookmarkStart w:id="34" w:name="lt_pId452"/>
      <w:bookmarkStart w:id="35" w:name="lt_pId453"/>
      <w:bookmarkEnd w:id="33"/>
      <w:bookmarkEnd w:id="34"/>
      <w:bookmarkEnd w:id="35"/>
    </w:p>
    <w:p w14:paraId="67D918CE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36" w:name="lt_pId454"/>
      <w:r w:rsidRPr="00F9463A">
        <w:rPr>
          <w:lang w:val="ru-RU"/>
        </w:rPr>
        <w:t>–</w:t>
      </w:r>
      <w:r w:rsidRPr="00F9463A">
        <w:rPr>
          <w:lang w:val="ru-RU"/>
        </w:rPr>
        <w:tab/>
      </w:r>
      <w:r w:rsidRPr="00F9463A">
        <w:rPr>
          <w:b/>
          <w:bCs/>
          <w:lang w:val="ru-RU"/>
        </w:rPr>
        <w:t>Безопасность в приложениях на основе ИИ</w:t>
      </w:r>
      <w:r w:rsidRPr="00F9463A">
        <w:rPr>
          <w:lang w:val="ru-RU"/>
        </w:rPr>
        <w:t>: внимание к появляющимся рискам безопасности и уязвимостям, возникающим при внедрении технологий ИИ в конкретных отраслях (таких как здравоохранение, финансы, транспорт и производство), где могут возникать или усиливаться угрозы, характерные для конкретной области.</w:t>
      </w:r>
      <w:bookmarkStart w:id="37" w:name="lt_pId455"/>
      <w:bookmarkStart w:id="38" w:name="lt_pId456"/>
      <w:bookmarkEnd w:id="36"/>
      <w:bookmarkEnd w:id="37"/>
      <w:bookmarkEnd w:id="38"/>
    </w:p>
    <w:p w14:paraId="0E997D6B" w14:textId="77777777" w:rsidR="00172391" w:rsidRPr="00F9463A" w:rsidRDefault="00172391" w:rsidP="00172391">
      <w:pPr>
        <w:rPr>
          <w:lang w:val="ru-RU"/>
        </w:rPr>
      </w:pPr>
      <w:bookmarkStart w:id="39" w:name="lt_pId457"/>
      <w:r w:rsidRPr="00F9463A">
        <w:rPr>
          <w:lang w:val="ru-RU"/>
        </w:rPr>
        <w:t>Особое внимание уделяется комплексному подходу, охватывающему весь жизненный цикл, включая такие этапы, как проектирование модели, обучение, оценка, развертывание, эксплуатация и вывод из эксплуатации. На каждом этапе следует применять специализированные средства контроля безопасности и меры по смягчению. Следует четко определить роли и обязанности заинтересованных сторон (включая разработчиков ИИ, операторов, поставщиков услуг и конечных пользователей), особенно в отношении защиты информации, позволяющей установить личность (PII), в средах ИИ.</w:t>
      </w:r>
      <w:bookmarkStart w:id="40" w:name="lt_pId458"/>
      <w:bookmarkStart w:id="41" w:name="lt_pId459"/>
      <w:bookmarkEnd w:id="39"/>
      <w:bookmarkEnd w:id="40"/>
      <w:bookmarkEnd w:id="41"/>
    </w:p>
    <w:p w14:paraId="316D1889" w14:textId="77777777" w:rsidR="00172391" w:rsidRPr="00F9463A" w:rsidRDefault="00172391" w:rsidP="00445C22">
      <w:pPr>
        <w:pStyle w:val="Heading1"/>
        <w:rPr>
          <w:lang w:val="ru-RU"/>
        </w:rPr>
      </w:pPr>
      <w:bookmarkStart w:id="42" w:name="lt_pId460"/>
      <w:r w:rsidRPr="00F9463A">
        <w:rPr>
          <w:lang w:val="ru-RU"/>
        </w:rPr>
        <w:t>2</w:t>
      </w:r>
      <w:r w:rsidRPr="00F9463A">
        <w:rPr>
          <w:lang w:val="ru-RU"/>
        </w:rPr>
        <w:tab/>
        <w:t>Вопрос</w:t>
      </w:r>
      <w:bookmarkStart w:id="43" w:name="lt_pId461"/>
      <w:bookmarkEnd w:id="42"/>
      <w:bookmarkEnd w:id="43"/>
    </w:p>
    <w:p w14:paraId="41530F1E" w14:textId="77777777" w:rsidR="00172391" w:rsidRPr="00F9463A" w:rsidRDefault="00172391" w:rsidP="00172391">
      <w:pPr>
        <w:rPr>
          <w:lang w:val="ru-RU"/>
        </w:rPr>
      </w:pPr>
      <w:bookmarkStart w:id="44" w:name="lt_pId462"/>
      <w:r w:rsidRPr="00F9463A">
        <w:rPr>
          <w:lang w:val="ru-RU"/>
        </w:rPr>
        <w:t>Каждый из следующих вопросов, определенных для исследований в области электросвязи и ИКТ, непосредственно соотносится с той или иной задачей:</w:t>
      </w:r>
      <w:bookmarkEnd w:id="44"/>
    </w:p>
    <w:p w14:paraId="2A77D97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45" w:name="lt_pId463"/>
      <w:r w:rsidRPr="00F9463A">
        <w:rPr>
          <w:lang w:val="ru-RU"/>
        </w:rPr>
        <w:t>–</w:t>
      </w:r>
      <w:r w:rsidRPr="00F9463A">
        <w:rPr>
          <w:lang w:val="ru-RU"/>
        </w:rPr>
        <w:tab/>
        <w:t>Каковы основополагающие риски безопасности и стратегии их смягчения для систем ИКТ, созданных на базе ИИ и интегрированных с ИИ/МО (включая новые парадигмы, такие как агентный, многоагентный, встроенный/воплощенный и роботизированный ИИ, за исключением тех, которые непосредственно относятся к большим данным, облачным вычислениям, управлению определением идентичности, сетям связи и технологиям распределенного реестра), и как следует решать проблемы, связанные с рисками в цепочке поставок (наборы данных, модели, аппаратное/программное обеспечение)?</w:t>
      </w:r>
      <w:bookmarkStart w:id="46" w:name="lt_pId464"/>
      <w:bookmarkStart w:id="47" w:name="lt_pId465"/>
      <w:bookmarkEnd w:id="45"/>
      <w:bookmarkEnd w:id="46"/>
      <w:bookmarkEnd w:id="47"/>
    </w:p>
    <w:p w14:paraId="52DDEBA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48" w:name="lt_pId466"/>
      <w:r w:rsidRPr="00F9463A">
        <w:rPr>
          <w:lang w:val="ru-RU"/>
        </w:rPr>
        <w:t>–</w:t>
      </w:r>
      <w:r w:rsidRPr="00F9463A">
        <w:rPr>
          <w:lang w:val="ru-RU"/>
        </w:rPr>
        <w:tab/>
        <w:t>Какие средства контроля и стратегии смягчения необходимы для защиты поверхностей атак моделей, систем, приложений и услуг ИИ на протяжении всего их жизненного цикла, включая рынки моделей и интерфейсы прикладного программирования (API)?</w:t>
      </w:r>
      <w:bookmarkStart w:id="49" w:name="lt_pId467"/>
      <w:bookmarkEnd w:id="48"/>
      <w:bookmarkEnd w:id="49"/>
    </w:p>
    <w:p w14:paraId="26A6BF4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50" w:name="lt_pId468"/>
      <w:r w:rsidRPr="00F9463A">
        <w:rPr>
          <w:lang w:val="ru-RU"/>
        </w:rPr>
        <w:t>–</w:t>
      </w:r>
      <w:r w:rsidRPr="00F9463A">
        <w:rPr>
          <w:lang w:val="ru-RU"/>
        </w:rPr>
        <w:tab/>
        <w:t>Каким образом можно внедрить и поддерживать безопасность систем ИИ/МО на протяжении всего жизненного цикла (от проектирования и обучения модели до развертывания, эксплуатации и вывода из эксплуатации) в среде ИКТ, включая системы встроенного и воплощенного ИИ?</w:t>
      </w:r>
      <w:bookmarkStart w:id="51" w:name="lt_pId469"/>
      <w:bookmarkEnd w:id="50"/>
      <w:bookmarkEnd w:id="51"/>
    </w:p>
    <w:p w14:paraId="66043365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52" w:name="lt_pId470"/>
      <w:r w:rsidRPr="00F9463A">
        <w:rPr>
          <w:lang w:val="ru-RU"/>
        </w:rPr>
        <w:t>–</w:t>
      </w:r>
      <w:r w:rsidRPr="00F9463A">
        <w:rPr>
          <w:lang w:val="ru-RU"/>
        </w:rPr>
        <w:tab/>
        <w:t>Как можно внедрить безопасные методы разработки (такие как непрерывное обучение, обучение с учетом жизненного цикла и участие человека в контуре управления) в проектирование систем ИИ/МО, в том числе управление конвейерами DevOps/MLOps?</w:t>
      </w:r>
      <w:bookmarkStart w:id="53" w:name="lt_pId471"/>
      <w:bookmarkEnd w:id="52"/>
      <w:bookmarkEnd w:id="53"/>
    </w:p>
    <w:p w14:paraId="4A34A38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54" w:name="lt_pId472"/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Какие структуры, инструменты и практические методы требуются для тестирования, аудита и мониторинга систем ИИ/МО в действующих средах ИКТ, а также какие показатели, метрики </w:t>
      </w:r>
      <w:r w:rsidRPr="00F9463A">
        <w:rPr>
          <w:lang w:val="ru-RU"/>
        </w:rPr>
        <w:lastRenderedPageBreak/>
        <w:t>и комплекты материалов необходимы для оценки и сертификации их безопасности, надежности работы и мер защиты; и как можно внедрить тестирование "красной командой" и состязательное имитационное моделирование на базе ИИ?</w:t>
      </w:r>
      <w:bookmarkStart w:id="55" w:name="lt_pId473"/>
      <w:bookmarkStart w:id="56" w:name="lt_pId474"/>
      <w:bookmarkEnd w:id="54"/>
      <w:bookmarkEnd w:id="55"/>
      <w:bookmarkEnd w:id="56"/>
    </w:p>
    <w:p w14:paraId="607232DB" w14:textId="5699171D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57" w:name="lt_pId475"/>
      <w:r w:rsidRPr="00F9463A">
        <w:rPr>
          <w:lang w:val="ru-RU"/>
        </w:rPr>
        <w:t>–</w:t>
      </w:r>
      <w:r w:rsidRPr="00F9463A">
        <w:rPr>
          <w:lang w:val="ru-RU"/>
        </w:rPr>
        <w:tab/>
        <w:t>Как следует выявлять и устранять угрозы и уязвимости в отношении PII с помощью средств контроля с учетом жизненного цикла и подотчетности заинтересованных сторон в средах ИИ, включая приложения ИИ, применяя при этом технологии и архитектуры безопасности для защиты данных в генеративном ИИ, синтетических конвейерах и системах непрерывного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обучения?</w:t>
      </w:r>
      <w:bookmarkStart w:id="58" w:name="lt_pId476"/>
      <w:bookmarkEnd w:id="57"/>
      <w:bookmarkEnd w:id="58"/>
    </w:p>
    <w:p w14:paraId="1815D9F9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59" w:name="lt_pId477"/>
      <w:r w:rsidRPr="00F9463A">
        <w:rPr>
          <w:lang w:val="ru-RU"/>
        </w:rPr>
        <w:t>–</w:t>
      </w:r>
      <w:r w:rsidRPr="00F9463A">
        <w:rPr>
          <w:lang w:val="ru-RU"/>
        </w:rPr>
        <w:tab/>
        <w:t>Как можно разработать комплексные структуры безопасности для устранения угроз и уязвимостей, связанных как с целостностью систем ИИ, так и с защитой PII, включая риски двойного использования и злонамеренное перепрофилирование технологий ИИ?</w:t>
      </w:r>
      <w:bookmarkStart w:id="60" w:name="lt_pId478"/>
      <w:bookmarkEnd w:id="59"/>
      <w:bookmarkEnd w:id="60"/>
    </w:p>
    <w:p w14:paraId="1957D3D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61" w:name="lt_pId479"/>
      <w:r w:rsidRPr="00F9463A">
        <w:rPr>
          <w:lang w:val="ru-RU"/>
        </w:rPr>
        <w:t>–</w:t>
      </w:r>
      <w:r w:rsidRPr="00F9463A">
        <w:rPr>
          <w:lang w:val="ru-RU"/>
        </w:rPr>
        <w:tab/>
        <w:t>Какие архитектурные модели и механизмы управления (такие как плоскость управления безопасностью и доверием агентного ИИ) необходимы для защищенной работы в среде ИКТ, отвечающей политике, и каким образом модели или агенты ИИ взаимодействуют со внешними инструментами, услугами и источниками данных?</w:t>
      </w:r>
    </w:p>
    <w:p w14:paraId="5966A34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Каким образом можно безопасно применять технологии ИИ/МО в секторах, где используются ИКТ (например, здравоохранение, транспорт, реагирование на бедствия), с соответствующими мерами защиты? </w:t>
      </w:r>
      <w:bookmarkStart w:id="62" w:name="lt_pId480"/>
      <w:bookmarkStart w:id="63" w:name="lt_pId481"/>
      <w:bookmarkStart w:id="64" w:name="lt_pId482"/>
      <w:bookmarkEnd w:id="61"/>
      <w:bookmarkEnd w:id="62"/>
      <w:bookmarkEnd w:id="63"/>
      <w:bookmarkEnd w:id="64"/>
    </w:p>
    <w:p w14:paraId="519332F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65" w:name="lt_pId483"/>
      <w:r w:rsidRPr="00F9463A">
        <w:rPr>
          <w:lang w:val="ru-RU"/>
        </w:rPr>
        <w:t>–</w:t>
      </w:r>
      <w:r w:rsidRPr="00F9463A">
        <w:rPr>
          <w:lang w:val="ru-RU"/>
        </w:rPr>
        <w:tab/>
        <w:t>Как следует определять ключевые аспекты безопасности (такие как общие требования, управление жизненным циклом, достоверность и доверие пользователей), а также принципы и механизмы, обеспечивающие доверие заинтересованных сторон и поддерживающие безопасный и достоверный процесс развертывания систем ИИ/МО в средах ИКТ?</w:t>
      </w:r>
      <w:bookmarkStart w:id="66" w:name="lt_pId484"/>
      <w:bookmarkEnd w:id="65"/>
      <w:bookmarkEnd w:id="66"/>
    </w:p>
    <w:p w14:paraId="1716E27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67" w:name="lt_pId485"/>
      <w:r w:rsidRPr="00F9463A">
        <w:rPr>
          <w:lang w:val="ru-RU"/>
        </w:rPr>
        <w:t>–</w:t>
      </w:r>
      <w:r w:rsidRPr="00F9463A">
        <w:rPr>
          <w:lang w:val="ru-RU"/>
        </w:rPr>
        <w:tab/>
        <w:t>Как следует защищать PII и конфиденциальные данные, сводя к минимуму их сбор, раскрытие или возможность легко идентифицировать по ним определенное лицо, обеспечивая при этом возможность обработки, анализа или обмена данными?</w:t>
      </w:r>
      <w:bookmarkStart w:id="68" w:name="lt_pId486"/>
      <w:bookmarkEnd w:id="67"/>
      <w:bookmarkEnd w:id="68"/>
    </w:p>
    <w:p w14:paraId="63FB5DBA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69" w:name="lt_pId487"/>
      <w:r w:rsidRPr="00F9463A">
        <w:rPr>
          <w:lang w:val="ru-RU"/>
        </w:rPr>
        <w:t>–</w:t>
      </w:r>
      <w:r w:rsidRPr="00F9463A">
        <w:rPr>
          <w:lang w:val="ru-RU"/>
        </w:rPr>
        <w:tab/>
        <w:t>Какие термины, понятийные основы и эталонные архитектуры необходимы для обеспечения согласованности стандартов безопасности ИИ/МО в рамках ИК17 и других организаций по разработке стандартов?</w:t>
      </w:r>
      <w:bookmarkStart w:id="70" w:name="lt_pId488"/>
      <w:bookmarkEnd w:id="69"/>
      <w:bookmarkEnd w:id="70"/>
    </w:p>
    <w:p w14:paraId="3D4788A1" w14:textId="6624CD0E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71" w:name="lt_pId489"/>
      <w:r w:rsidRPr="00F9463A">
        <w:rPr>
          <w:lang w:val="ru-RU"/>
        </w:rPr>
        <w:t>–</w:t>
      </w:r>
      <w:r w:rsidRPr="00F9463A">
        <w:rPr>
          <w:lang w:val="ru-RU"/>
        </w:rPr>
        <w:tab/>
        <w:t>Как ИК17 следует координировать и вести динамичную дорожную карту по стандартизации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безопасности ИИ/МО и обеспечению согласованности деятельности различных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организаций?</w:t>
      </w:r>
      <w:bookmarkStart w:id="72" w:name="lt_pId490"/>
      <w:bookmarkEnd w:id="71"/>
      <w:bookmarkEnd w:id="72"/>
    </w:p>
    <w:p w14:paraId="7C515D14" w14:textId="77777777" w:rsidR="00172391" w:rsidRPr="00F9463A" w:rsidRDefault="00172391" w:rsidP="00445C22">
      <w:pPr>
        <w:pStyle w:val="Heading1"/>
        <w:rPr>
          <w:lang w:val="ru-RU"/>
        </w:rPr>
      </w:pPr>
      <w:bookmarkStart w:id="73" w:name="lt_pId491"/>
      <w:r w:rsidRPr="00F9463A">
        <w:rPr>
          <w:lang w:val="ru-RU"/>
        </w:rPr>
        <w:t>3</w:t>
      </w:r>
      <w:r w:rsidRPr="00F9463A">
        <w:rPr>
          <w:lang w:val="ru-RU"/>
        </w:rPr>
        <w:tab/>
        <w:t>Задачи</w:t>
      </w:r>
      <w:bookmarkStart w:id="74" w:name="lt_pId492"/>
      <w:bookmarkEnd w:id="73"/>
      <w:bookmarkEnd w:id="74"/>
    </w:p>
    <w:p w14:paraId="586CCB3D" w14:textId="77777777" w:rsidR="00172391" w:rsidRPr="00F9463A" w:rsidRDefault="00172391" w:rsidP="00172391">
      <w:pPr>
        <w:rPr>
          <w:lang w:val="ru-RU"/>
        </w:rPr>
      </w:pPr>
      <w:bookmarkStart w:id="75" w:name="lt_pId493"/>
      <w:r w:rsidRPr="00F9463A">
        <w:rPr>
          <w:lang w:val="ru-RU"/>
        </w:rPr>
        <w:t>Для рассмотрения изложенных выше вопросов в рамках данного Вопроса решаются следующие задачи в контексте электросвязи и ИКТ:</w:t>
      </w:r>
      <w:bookmarkEnd w:id="75"/>
    </w:p>
    <w:p w14:paraId="60BDD07B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76" w:name="lt_pId494"/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Разработка моделей угроз и таксономии рисков для систем ИКТ, созданных на базе ИИ и интегрированных с ИИ/МО, при уделении особого внимание агентному и многоагентному, встроенному и воплощенному вариантам (за исключением тех, которые непосредственно относятся к большим данным, облачным вычислениям, управлению определением идентичности, сетям связи и технологиям распределенного реестра, и с учетом вопросов безопасности цепочки поставок наборов данных, моделей и аппаратного/программного обеспечения). </w:t>
      </w:r>
      <w:bookmarkStart w:id="77" w:name="lt_pId495"/>
      <w:bookmarkStart w:id="78" w:name="lt_pId496"/>
      <w:bookmarkEnd w:id="76"/>
      <w:bookmarkEnd w:id="77"/>
      <w:bookmarkEnd w:id="78"/>
      <w:r w:rsidRPr="00F9463A">
        <w:rPr>
          <w:lang w:val="ru-RU"/>
        </w:rPr>
        <w:br/>
      </w:r>
      <w:bookmarkStart w:id="79" w:name="lt_pId497"/>
      <w:r w:rsidRPr="00F9463A">
        <w:rPr>
          <w:lang w:val="ru-RU"/>
        </w:rPr>
        <w:t>Эта задача касается требований вопроса 1 раздела 2, выше.</w:t>
      </w:r>
      <w:bookmarkEnd w:id="79"/>
    </w:p>
    <w:p w14:paraId="6CF3D90B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80" w:name="lt_pId498"/>
      <w:r w:rsidRPr="00F9463A">
        <w:rPr>
          <w:lang w:val="ru-RU"/>
        </w:rPr>
        <w:t>–</w:t>
      </w:r>
      <w:r w:rsidRPr="00F9463A">
        <w:rPr>
          <w:lang w:val="ru-RU"/>
        </w:rPr>
        <w:tab/>
        <w:t>Определение средств контроля и стратегий смягчения для защиты поверхностей атак моделей, систем, приложений и услуг ИИ на протяжении всего их жизненного цикла, включая рынки моделей и API.</w:t>
      </w:r>
      <w:bookmarkStart w:id="81" w:name="lt_pId499"/>
      <w:bookmarkStart w:id="82" w:name="lt_pId500"/>
      <w:bookmarkEnd w:id="80"/>
      <w:bookmarkEnd w:id="81"/>
      <w:r w:rsidRPr="00F9463A">
        <w:rPr>
          <w:lang w:val="ru-RU"/>
        </w:rPr>
        <w:br/>
        <w:t>Эта задача касается требований вопроса 2 раздела 2, выше.</w:t>
      </w:r>
      <w:bookmarkEnd w:id="82"/>
    </w:p>
    <w:p w14:paraId="61DA7D7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83" w:name="lt_pId501"/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Разработка руководящих указаний по безопасности жизненного цикла для систем ИИ/МО (включая системы встроенного и воплощенного ИИ), которые обеспечивают защиту PII и определяют обязанности заинтересованных сторон на этапах проектирования, обучения, </w:t>
      </w:r>
      <w:r w:rsidRPr="00F9463A">
        <w:rPr>
          <w:lang w:val="ru-RU"/>
        </w:rPr>
        <w:lastRenderedPageBreak/>
        <w:t>развертывания, эксплуатации и вывода из эксплуатации.</w:t>
      </w:r>
      <w:bookmarkStart w:id="84" w:name="lt_pId502"/>
      <w:bookmarkEnd w:id="83"/>
      <w:bookmarkEnd w:id="84"/>
      <w:r w:rsidRPr="00F9463A">
        <w:rPr>
          <w:lang w:val="ru-RU"/>
        </w:rPr>
        <w:br/>
      </w:r>
      <w:bookmarkStart w:id="85" w:name="lt_pId503"/>
      <w:r w:rsidRPr="00F9463A">
        <w:rPr>
          <w:lang w:val="ru-RU"/>
        </w:rPr>
        <w:t>Эта задача касается требований вопроса 3 раздела 2, выше.</w:t>
      </w:r>
      <w:bookmarkEnd w:id="85"/>
    </w:p>
    <w:p w14:paraId="160B6166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86" w:name="lt_pId504"/>
      <w:r w:rsidRPr="00F9463A">
        <w:rPr>
          <w:lang w:val="ru-RU"/>
        </w:rPr>
        <w:t>–</w:t>
      </w:r>
      <w:r w:rsidRPr="00F9463A">
        <w:rPr>
          <w:lang w:val="ru-RU"/>
        </w:rPr>
        <w:tab/>
        <w:t>Разработка и продвижение примеров передового опыта для всего жизненного цикла разработки ИИ/МО, включая непрерывное обучение, механизмы надзора, осуществляемого человеком, и методы повышения прозрачности, для поддержки безопасного и достоверного процесса развертывания; применение этих примеров в отношении управления конвейерами DevOps/MLOps.</w:t>
      </w:r>
      <w:bookmarkStart w:id="87" w:name="lt_pId505"/>
      <w:bookmarkStart w:id="88" w:name="lt_pId506"/>
      <w:bookmarkEnd w:id="86"/>
      <w:bookmarkEnd w:id="87"/>
      <w:bookmarkEnd w:id="88"/>
      <w:r w:rsidRPr="00F9463A">
        <w:rPr>
          <w:lang w:val="ru-RU"/>
        </w:rPr>
        <w:br/>
      </w:r>
      <w:bookmarkStart w:id="89" w:name="lt_pId507"/>
      <w:r w:rsidRPr="00F9463A">
        <w:rPr>
          <w:lang w:val="ru-RU"/>
        </w:rPr>
        <w:t>Эта задача касается требований вопроса 4 раздела 2, выше.</w:t>
      </w:r>
      <w:bookmarkEnd w:id="89"/>
    </w:p>
    <w:p w14:paraId="4DA4378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90" w:name="lt_pId508"/>
      <w:r w:rsidRPr="00F9463A">
        <w:rPr>
          <w:lang w:val="ru-RU"/>
        </w:rPr>
        <w:t>–</w:t>
      </w:r>
      <w:r w:rsidRPr="00F9463A">
        <w:rPr>
          <w:lang w:val="ru-RU"/>
        </w:rPr>
        <w:tab/>
        <w:t>Разработка операционных структур для аудита, тестирования и мониторинга систем ИИ/МО в средах ИКТ с использованием ИИ для быстрого обнаружения угроз, включением испытательных стендов и контрольных показателей для состязательной оценки, а также предоставлением комплектов материалов с конкретными показателями для оценки и сертификации безопасности, надежности работы и мер защиты; учет тестирования "красной командой" и состязательного имитационного моделирования на базе ИИ.</w:t>
      </w:r>
      <w:bookmarkStart w:id="91" w:name="lt_pId509"/>
      <w:bookmarkStart w:id="92" w:name="lt_pId510"/>
      <w:bookmarkEnd w:id="90"/>
      <w:bookmarkEnd w:id="91"/>
      <w:bookmarkEnd w:id="92"/>
      <w:r w:rsidRPr="00F9463A">
        <w:rPr>
          <w:lang w:val="ru-RU"/>
        </w:rPr>
        <w:br/>
      </w:r>
      <w:bookmarkStart w:id="93" w:name="lt_pId511"/>
      <w:r w:rsidRPr="00F9463A">
        <w:rPr>
          <w:lang w:val="ru-RU"/>
        </w:rPr>
        <w:t>Эта задача касается требований вопроса 5 раздела 2, выше.</w:t>
      </w:r>
      <w:bookmarkEnd w:id="93"/>
    </w:p>
    <w:p w14:paraId="2FF24B9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94" w:name="lt_pId512"/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Определение требований безопасности и архитектур для обеспечения конфиденциальности, целостности и наличия данных при одновременной защите PII в средах ИИ с помощью средств контроля, учитывающих жизненный цикл, в целях выявления и смягчения угроз, связанных с PII, и уточнения подотчетности заинтересованных сторон. </w:t>
      </w:r>
      <w:bookmarkStart w:id="95" w:name="lt_pId513"/>
      <w:bookmarkEnd w:id="94"/>
      <w:bookmarkEnd w:id="95"/>
      <w:r w:rsidRPr="00F9463A">
        <w:rPr>
          <w:lang w:val="ru-RU"/>
        </w:rPr>
        <w:br/>
      </w:r>
      <w:bookmarkStart w:id="96" w:name="lt_pId514"/>
      <w:r w:rsidRPr="00F9463A">
        <w:rPr>
          <w:lang w:val="ru-RU"/>
        </w:rPr>
        <w:t>Эта задача касается требований вопроса 6 раздела 2, выше.</w:t>
      </w:r>
      <w:bookmarkEnd w:id="96"/>
    </w:p>
    <w:p w14:paraId="7D49F59B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97" w:name="lt_pId515"/>
      <w:r w:rsidRPr="00F9463A">
        <w:rPr>
          <w:lang w:val="ru-RU"/>
        </w:rPr>
        <w:t>–</w:t>
      </w:r>
      <w:r w:rsidRPr="00F9463A">
        <w:rPr>
          <w:lang w:val="ru-RU"/>
        </w:rPr>
        <w:tab/>
        <w:t>Разработка требований к безопасности данных, ее структур и соответствующих мер противодействия для устранения появляющихся угроз в системах генеративного и агентного ИИ (включая кибератаки на основе ИИ, такие как адаптивное вредоносное программное обеспечение, фишинг и дезинформация), при обеспечении целостности системы и защиты PII, а также предоставлении заинтересованным сторонам технических и эксплуатационных мер защиты; учет рисков двойного использования и злонамеренного перепрофилирования технологий ИИ.</w:t>
      </w:r>
      <w:bookmarkStart w:id="98" w:name="lt_pId516"/>
      <w:bookmarkStart w:id="99" w:name="lt_pId517"/>
      <w:bookmarkEnd w:id="97"/>
      <w:bookmarkEnd w:id="98"/>
      <w:bookmarkEnd w:id="99"/>
      <w:r w:rsidRPr="00F9463A">
        <w:rPr>
          <w:lang w:val="ru-RU"/>
        </w:rPr>
        <w:br/>
      </w:r>
      <w:bookmarkStart w:id="100" w:name="lt_pId518"/>
      <w:r w:rsidRPr="00F9463A">
        <w:rPr>
          <w:lang w:val="ru-RU"/>
        </w:rPr>
        <w:t>Эта задача касается требований вопроса 7 раздела 2, выше.</w:t>
      </w:r>
      <w:bookmarkEnd w:id="100"/>
    </w:p>
    <w:p w14:paraId="196025C9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01" w:name="lt_pId519"/>
      <w:r w:rsidRPr="00F9463A">
        <w:rPr>
          <w:lang w:val="ru-RU"/>
        </w:rPr>
        <w:t>–</w:t>
      </w:r>
      <w:r w:rsidRPr="00F9463A">
        <w:rPr>
          <w:lang w:val="ru-RU"/>
        </w:rPr>
        <w:tab/>
        <w:t>Определение архитектурных моделей и плоскости управления безопасностью агентного ИИ (включая динамическую авторизацию, обеспечение соблюдения политики и управление доверием) в целях обеспечения безопасной и подотчетной автономии в системах ИКТ; определение многоуровневой модели на основе модели OSI (восприятие, планирование, принятие решения, действие); обеспечение безопасности и достоверности протоколов связи между моделями ИИ, внешними услугами, а также между агентами в сотрудничестве с соответствующими ОРС для достоверных и устойчивых многоагентных экосистем.</w:t>
      </w:r>
      <w:bookmarkStart w:id="102" w:name="lt_pId520"/>
      <w:bookmarkStart w:id="103" w:name="lt_pId521"/>
      <w:bookmarkStart w:id="104" w:name="lt_pId522"/>
      <w:bookmarkEnd w:id="101"/>
      <w:bookmarkEnd w:id="102"/>
      <w:bookmarkEnd w:id="103"/>
      <w:bookmarkEnd w:id="104"/>
      <w:r w:rsidRPr="00F9463A">
        <w:rPr>
          <w:lang w:val="ru-RU"/>
        </w:rPr>
        <w:br/>
      </w:r>
      <w:bookmarkStart w:id="105" w:name="lt_pId523"/>
      <w:r w:rsidRPr="00F9463A">
        <w:rPr>
          <w:lang w:val="ru-RU"/>
        </w:rPr>
        <w:t>Эта задача касается требований вопроса 8 раздела 2, выше.</w:t>
      </w:r>
      <w:bookmarkEnd w:id="105"/>
    </w:p>
    <w:p w14:paraId="189647D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06" w:name="lt_pId524"/>
      <w:r w:rsidRPr="00F9463A">
        <w:rPr>
          <w:lang w:val="ru-RU"/>
        </w:rPr>
        <w:t>–</w:t>
      </w:r>
      <w:r w:rsidRPr="00F9463A">
        <w:rPr>
          <w:lang w:val="ru-RU"/>
        </w:rPr>
        <w:tab/>
        <w:t>Выпуск руководящих указаний по безопасному использованию ИИ/МО в важнейших областях, использующих ИКТ (таких как здравоохранение, транспорт и реагирование на бедствия), которые гарантировали бы меры защиты, способствующие надежности работы и общественному доверию.</w:t>
      </w:r>
      <w:bookmarkStart w:id="107" w:name="lt_pId525"/>
      <w:bookmarkEnd w:id="106"/>
      <w:bookmarkEnd w:id="107"/>
      <w:r w:rsidRPr="00F9463A">
        <w:rPr>
          <w:lang w:val="ru-RU"/>
        </w:rPr>
        <w:br/>
      </w:r>
      <w:bookmarkStart w:id="108" w:name="lt_pId526"/>
      <w:r w:rsidRPr="00F9463A">
        <w:rPr>
          <w:lang w:val="ru-RU"/>
        </w:rPr>
        <w:t>Эта задача касается требований вопроса 9 раздела 2, выше.</w:t>
      </w:r>
      <w:bookmarkEnd w:id="108"/>
    </w:p>
    <w:p w14:paraId="584EE94E" w14:textId="0772FC1A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09" w:name="lt_pId527"/>
      <w:r w:rsidRPr="00F9463A">
        <w:rPr>
          <w:lang w:val="ru-RU"/>
        </w:rPr>
        <w:t>–</w:t>
      </w:r>
      <w:r w:rsidRPr="00F9463A">
        <w:rPr>
          <w:lang w:val="ru-RU"/>
        </w:rPr>
        <w:tab/>
        <w:t>Определение ключевых аспектов безопасности (включая общие требования, управление жизненным циклом, достоверность и доверие пользователей), а также основополагающих принципов и механизмов, обеспечивающих доверие заинтересованных сторон и поддерживающих безопасный, функционально совместимый и достоверный процесс развертывания систем ИИ/МО в средах электросвязи/ИКТ, и распространение информации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о</w:t>
      </w:r>
      <w:r w:rsidR="00F9463A" w:rsidRPr="00F9463A">
        <w:rPr>
          <w:lang w:val="ru-RU"/>
        </w:rPr>
        <w:t> </w:t>
      </w:r>
      <w:r w:rsidRPr="00F9463A">
        <w:rPr>
          <w:lang w:val="ru-RU"/>
        </w:rPr>
        <w:t>них.</w:t>
      </w:r>
      <w:bookmarkStart w:id="110" w:name="lt_pId528"/>
      <w:bookmarkEnd w:id="109"/>
      <w:bookmarkEnd w:id="110"/>
      <w:r w:rsidRPr="00F9463A">
        <w:rPr>
          <w:lang w:val="ru-RU"/>
        </w:rPr>
        <w:br/>
      </w:r>
      <w:bookmarkStart w:id="111" w:name="lt_pId529"/>
      <w:r w:rsidRPr="00F9463A">
        <w:rPr>
          <w:lang w:val="ru-RU"/>
        </w:rPr>
        <w:t>Эта задача касается требований вопроса 10 раздела 2, выше.</w:t>
      </w:r>
      <w:bookmarkEnd w:id="111"/>
    </w:p>
    <w:p w14:paraId="66594C3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12" w:name="lt_pId530"/>
      <w:r w:rsidRPr="00F9463A">
        <w:rPr>
          <w:lang w:val="ru-RU"/>
        </w:rPr>
        <w:t>–</w:t>
      </w:r>
      <w:r w:rsidRPr="00F9463A">
        <w:rPr>
          <w:lang w:val="ru-RU"/>
        </w:rPr>
        <w:tab/>
        <w:t xml:space="preserve">Разработка методов и технологий, например методик защиты данных, или процессов, предназначенных для защиты PII и конфиденциальных данных путем сведения к минимуму их сбора, раскрытия или возможности легко идентифицировать по ним определенное лицо, при одновременном обеспечении возможности полезной обработки, анализа или </w:t>
      </w:r>
      <w:r w:rsidRPr="00F9463A">
        <w:rPr>
          <w:lang w:val="ru-RU"/>
        </w:rPr>
        <w:lastRenderedPageBreak/>
        <w:t>совместного использования данных.</w:t>
      </w:r>
      <w:bookmarkStart w:id="113" w:name="lt_pId531"/>
      <w:bookmarkEnd w:id="112"/>
      <w:bookmarkEnd w:id="113"/>
      <w:r w:rsidRPr="00F9463A">
        <w:rPr>
          <w:lang w:val="ru-RU"/>
        </w:rPr>
        <w:br/>
      </w:r>
      <w:bookmarkStart w:id="114" w:name="lt_pId532"/>
      <w:r w:rsidRPr="00F9463A">
        <w:rPr>
          <w:lang w:val="ru-RU"/>
        </w:rPr>
        <w:t>Эта задача касается требований вопроса 11 раздела 2, выше.</w:t>
      </w:r>
      <w:bookmarkEnd w:id="114"/>
    </w:p>
    <w:p w14:paraId="0ACEF0D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15" w:name="lt_pId533"/>
      <w:r w:rsidRPr="00F9463A">
        <w:rPr>
          <w:lang w:val="ru-RU"/>
        </w:rPr>
        <w:t>–</w:t>
      </w:r>
      <w:r w:rsidRPr="00F9463A">
        <w:rPr>
          <w:lang w:val="ru-RU"/>
        </w:rPr>
        <w:tab/>
        <w:t>Согласование терминов, понятий и эталонных архитектур безопасности ИИ и МО в рамках ИК17 и в сотрудничестве со внешними органами по стандартизации и отраслевыми консорциумами, в том числе разработка общей таксономии для безопасности агентного ИИ и технических аспектов моделей управления ИИ.</w:t>
      </w:r>
      <w:bookmarkStart w:id="116" w:name="lt_pId534"/>
      <w:bookmarkEnd w:id="115"/>
      <w:bookmarkEnd w:id="116"/>
      <w:r w:rsidRPr="00F9463A">
        <w:rPr>
          <w:lang w:val="ru-RU"/>
        </w:rPr>
        <w:br/>
      </w:r>
      <w:bookmarkStart w:id="117" w:name="lt_pId535"/>
      <w:r w:rsidRPr="00F9463A">
        <w:rPr>
          <w:lang w:val="ru-RU"/>
        </w:rPr>
        <w:t>Эта задача касается требований вопроса 12 раздела 2, выше.</w:t>
      </w:r>
      <w:bookmarkEnd w:id="117"/>
    </w:p>
    <w:p w14:paraId="3FFA4DC9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18" w:name="lt_pId536"/>
      <w:r w:rsidRPr="00F9463A">
        <w:rPr>
          <w:lang w:val="ru-RU"/>
        </w:rPr>
        <w:t>–</w:t>
      </w:r>
      <w:r w:rsidRPr="00F9463A">
        <w:rPr>
          <w:lang w:val="ru-RU"/>
        </w:rPr>
        <w:tab/>
        <w:t>Составление и ведение динамичной дорожной карты по стандартизации безопасности ИИ/МО, призванной определять появляющиеся технические и регуляторные потребности, согласовывать результаты работы ИК17 и других исследовательских комиссий МСЭ-Т, способствовать глобальной функциональной совместимости и поддерживать гибкие, определяемые потребностями рынка внедрение и оценку технологий ИИ/МО в средах ИКТ.</w:t>
      </w:r>
      <w:bookmarkStart w:id="119" w:name="lt_pId537"/>
      <w:bookmarkEnd w:id="118"/>
      <w:bookmarkEnd w:id="119"/>
      <w:r w:rsidRPr="00F9463A">
        <w:rPr>
          <w:lang w:val="ru-RU"/>
        </w:rPr>
        <w:br/>
      </w:r>
      <w:bookmarkStart w:id="120" w:name="lt_pId538"/>
      <w:r w:rsidRPr="00F9463A">
        <w:rPr>
          <w:lang w:val="ru-RU"/>
        </w:rPr>
        <w:t>Эта задача касается требований вопроса 13 раздела 2, выше.</w:t>
      </w:r>
      <w:bookmarkEnd w:id="120"/>
    </w:p>
    <w:p w14:paraId="0086DE28" w14:textId="77777777" w:rsidR="00172391" w:rsidRPr="00F9463A" w:rsidRDefault="00172391" w:rsidP="00172391">
      <w:pPr>
        <w:rPr>
          <w:lang w:val="ru-RU"/>
        </w:rPr>
      </w:pPr>
      <w:bookmarkStart w:id="121" w:name="lt_pId539"/>
      <w:r w:rsidRPr="00F9463A">
        <w:rPr>
          <w:lang w:val="ru-RU"/>
        </w:rPr>
        <w:t>Информация о текущем состоянии работы по данному Вопросу будет представлена в программе работы ИК17 (</w:t>
      </w:r>
      <w:hyperlink r:id="rId16" w:history="1">
        <w:r w:rsidRPr="00F9463A">
          <w:rPr>
            <w:rStyle w:val="Hyperlink"/>
            <w:lang w:val="ru-RU"/>
          </w:rPr>
          <w:t>https://www.itu.int/ITU-T/workprog/wp_search.aspx?sp=18&amp;q=16/17</w:t>
        </w:r>
      </w:hyperlink>
      <w:r w:rsidRPr="00F9463A">
        <w:rPr>
          <w:lang w:val="ru-RU"/>
        </w:rPr>
        <w:t>).</w:t>
      </w:r>
      <w:bookmarkStart w:id="122" w:name="lt_pId540"/>
      <w:bookmarkEnd w:id="121"/>
      <w:bookmarkEnd w:id="122"/>
    </w:p>
    <w:p w14:paraId="5105589B" w14:textId="77777777" w:rsidR="00172391" w:rsidRPr="00F9463A" w:rsidRDefault="00172391" w:rsidP="00445C22">
      <w:pPr>
        <w:pStyle w:val="Heading1"/>
        <w:rPr>
          <w:lang w:val="ru-RU"/>
        </w:rPr>
      </w:pPr>
      <w:bookmarkStart w:id="123" w:name="lt_pId541"/>
      <w:r w:rsidRPr="00F9463A">
        <w:rPr>
          <w:lang w:val="ru-RU"/>
        </w:rPr>
        <w:t>4</w:t>
      </w:r>
      <w:r w:rsidRPr="00F9463A">
        <w:rPr>
          <w:lang w:val="ru-RU"/>
        </w:rPr>
        <w:tab/>
        <w:t>Взаимосвязь</w:t>
      </w:r>
      <w:bookmarkStart w:id="124" w:name="lt_pId542"/>
      <w:bookmarkEnd w:id="123"/>
      <w:bookmarkEnd w:id="124"/>
    </w:p>
    <w:p w14:paraId="5525155D" w14:textId="77777777" w:rsidR="00172391" w:rsidRPr="00F9463A" w:rsidRDefault="00172391" w:rsidP="00172391">
      <w:pPr>
        <w:rPr>
          <w:b/>
          <w:bCs/>
          <w:lang w:val="ru-RU"/>
        </w:rPr>
      </w:pPr>
      <w:bookmarkStart w:id="125" w:name="lt_pId543"/>
      <w:r w:rsidRPr="00F9463A">
        <w:rPr>
          <w:b/>
          <w:bCs/>
          <w:lang w:val="ru-RU"/>
        </w:rPr>
        <w:t>Рекомендации</w:t>
      </w:r>
      <w:bookmarkEnd w:id="125"/>
    </w:p>
    <w:p w14:paraId="0AB17B09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26" w:name="lt_pId544"/>
      <w:r w:rsidRPr="00F9463A">
        <w:rPr>
          <w:lang w:val="ru-RU"/>
        </w:rPr>
        <w:t>–</w:t>
      </w:r>
      <w:r w:rsidRPr="00F9463A">
        <w:rPr>
          <w:lang w:val="ru-RU"/>
        </w:rPr>
        <w:tab/>
        <w:t>Серия X и другие Рекомендации, касающиеся безопасности</w:t>
      </w:r>
      <w:bookmarkStart w:id="127" w:name="lt_pId545"/>
      <w:bookmarkEnd w:id="126"/>
      <w:bookmarkEnd w:id="127"/>
    </w:p>
    <w:p w14:paraId="55C9D179" w14:textId="77777777" w:rsidR="00172391" w:rsidRPr="00F9463A" w:rsidRDefault="00172391" w:rsidP="00172391">
      <w:pPr>
        <w:pStyle w:val="Headingb"/>
        <w:rPr>
          <w:b w:val="0"/>
          <w:bCs/>
          <w:lang w:val="ru-RU"/>
        </w:rPr>
      </w:pPr>
      <w:bookmarkStart w:id="128" w:name="lt_pId546"/>
      <w:r w:rsidRPr="00F9463A">
        <w:rPr>
          <w:lang w:val="ru-RU"/>
        </w:rPr>
        <w:t>Вопросы</w:t>
      </w:r>
      <w:bookmarkEnd w:id="128"/>
    </w:p>
    <w:p w14:paraId="3A75FA8E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29" w:name="lt_pId547"/>
      <w:r w:rsidRPr="00F9463A">
        <w:rPr>
          <w:lang w:val="ru-RU"/>
        </w:rPr>
        <w:t>–</w:t>
      </w:r>
      <w:r w:rsidRPr="00F9463A">
        <w:rPr>
          <w:lang w:val="ru-RU"/>
        </w:rPr>
        <w:tab/>
        <w:t>Все соответствующие Вопросы ИК17 МСЭ-Т</w:t>
      </w:r>
      <w:bookmarkStart w:id="130" w:name="lt_pId548"/>
      <w:bookmarkEnd w:id="129"/>
      <w:bookmarkEnd w:id="130"/>
    </w:p>
    <w:p w14:paraId="5B19ED21" w14:textId="77777777" w:rsidR="00172391" w:rsidRPr="00F9463A" w:rsidRDefault="00172391" w:rsidP="00172391">
      <w:pPr>
        <w:pStyle w:val="Headingb"/>
        <w:rPr>
          <w:b w:val="0"/>
          <w:bCs/>
          <w:lang w:val="ru-RU"/>
        </w:rPr>
      </w:pPr>
      <w:bookmarkStart w:id="131" w:name="lt_pId549"/>
      <w:r w:rsidRPr="00F9463A">
        <w:rPr>
          <w:lang w:val="ru-RU"/>
        </w:rPr>
        <w:t>Исследовательские</w:t>
      </w:r>
      <w:r w:rsidRPr="00F9463A">
        <w:rPr>
          <w:bCs/>
          <w:lang w:val="ru-RU"/>
        </w:rPr>
        <w:t xml:space="preserve"> комиссии</w:t>
      </w:r>
      <w:bookmarkEnd w:id="131"/>
    </w:p>
    <w:p w14:paraId="0CAAF92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32" w:name="lt_pId550"/>
      <w:r w:rsidRPr="00F9463A">
        <w:rPr>
          <w:lang w:val="ru-RU"/>
        </w:rPr>
        <w:t>–</w:t>
      </w:r>
      <w:r w:rsidRPr="00F9463A">
        <w:rPr>
          <w:lang w:val="ru-RU"/>
        </w:rPr>
        <w:tab/>
        <w:t>Все соответствующие ИК МСЭ-T, JCA-AI/ML</w:t>
      </w:r>
      <w:bookmarkStart w:id="133" w:name="lt_pId551"/>
      <w:bookmarkEnd w:id="132"/>
      <w:bookmarkEnd w:id="133"/>
    </w:p>
    <w:p w14:paraId="162467A5" w14:textId="77777777" w:rsidR="00172391" w:rsidRPr="00F9463A" w:rsidRDefault="00172391" w:rsidP="00172391">
      <w:pPr>
        <w:pStyle w:val="Headingb"/>
        <w:rPr>
          <w:b w:val="0"/>
          <w:bCs/>
          <w:lang w:val="ru-RU"/>
        </w:rPr>
      </w:pPr>
      <w:bookmarkStart w:id="134" w:name="lt_pId552"/>
      <w:r w:rsidRPr="00F9463A">
        <w:rPr>
          <w:lang w:val="ru-RU"/>
        </w:rPr>
        <w:t>Органы</w:t>
      </w:r>
      <w:r w:rsidRPr="00F9463A">
        <w:rPr>
          <w:bCs/>
          <w:lang w:val="ru-RU"/>
        </w:rPr>
        <w:t xml:space="preserve"> по стандартизации</w:t>
      </w:r>
      <w:bookmarkEnd w:id="134"/>
    </w:p>
    <w:p w14:paraId="0DA8D3B3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35" w:name="lt_pId553"/>
      <w:r w:rsidRPr="00F9463A">
        <w:rPr>
          <w:lang w:val="ru-RU"/>
        </w:rPr>
        <w:t>–</w:t>
      </w:r>
      <w:r w:rsidRPr="00F9463A">
        <w:rPr>
          <w:lang w:val="ru-RU"/>
        </w:rPr>
        <w:tab/>
        <w:t>ПК 6, 27, 42 и 44 ОТК1 ИСО/МЭК</w:t>
      </w:r>
      <w:bookmarkStart w:id="136" w:name="lt_pId554"/>
      <w:bookmarkEnd w:id="135"/>
      <w:bookmarkEnd w:id="136"/>
    </w:p>
    <w:p w14:paraId="20CE3AB1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37" w:name="lt_pId555"/>
      <w:r w:rsidRPr="00F9463A">
        <w:rPr>
          <w:lang w:val="ru-RU"/>
        </w:rPr>
        <w:t>–</w:t>
      </w:r>
      <w:r w:rsidRPr="00F9463A">
        <w:rPr>
          <w:lang w:val="ru-RU"/>
        </w:rPr>
        <w:tab/>
        <w:t>Институт инженеров по электротехнике и радиоэлектронике (IEEE)</w:t>
      </w:r>
      <w:bookmarkStart w:id="138" w:name="lt_pId556"/>
      <w:bookmarkEnd w:id="137"/>
      <w:bookmarkEnd w:id="138"/>
    </w:p>
    <w:p w14:paraId="22AE68C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39" w:name="lt_pId557"/>
      <w:r w:rsidRPr="00F9463A">
        <w:rPr>
          <w:lang w:val="ru-RU"/>
        </w:rPr>
        <w:t>–</w:t>
      </w:r>
      <w:r w:rsidRPr="00F9463A">
        <w:rPr>
          <w:lang w:val="ru-RU"/>
        </w:rPr>
        <w:tab/>
        <w:t>ТК по вопросам обеспечения безопасности ИИ (TC SAI) Европейского института стандартизации электросвязи (ЕТСИ)</w:t>
      </w:r>
      <w:bookmarkStart w:id="140" w:name="lt_pId558"/>
      <w:bookmarkEnd w:id="139"/>
      <w:bookmarkEnd w:id="140"/>
    </w:p>
    <w:p w14:paraId="17F650EB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41" w:name="lt_pId559"/>
      <w:r w:rsidRPr="00F9463A">
        <w:rPr>
          <w:lang w:val="ru-RU"/>
        </w:rPr>
        <w:t>–</w:t>
      </w:r>
      <w:r w:rsidRPr="00F9463A">
        <w:rPr>
          <w:lang w:val="ru-RU"/>
        </w:rPr>
        <w:tab/>
        <w:t>ОТК 21 CEN-CENELEC</w:t>
      </w:r>
      <w:bookmarkStart w:id="142" w:name="lt_pId560"/>
      <w:bookmarkEnd w:id="141"/>
      <w:bookmarkEnd w:id="142"/>
    </w:p>
    <w:p w14:paraId="5F8B0ACE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43" w:name="lt_pId561"/>
      <w:r w:rsidRPr="00F9463A">
        <w:rPr>
          <w:lang w:val="ru-RU"/>
        </w:rPr>
        <w:t>–</w:t>
      </w:r>
      <w:r w:rsidRPr="00F9463A">
        <w:rPr>
          <w:lang w:val="ru-RU"/>
        </w:rPr>
        <w:tab/>
        <w:t>РГ по вопросам пользовательских предпочтений в отношении ИИ (AIPREF) Целевой группы по инженерным проблемам интернета (IETF)</w:t>
      </w:r>
      <w:bookmarkStart w:id="144" w:name="lt_pId562"/>
      <w:bookmarkEnd w:id="143"/>
      <w:bookmarkEnd w:id="144"/>
    </w:p>
    <w:p w14:paraId="742A6CF4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45" w:name="lt_pId563"/>
      <w:r w:rsidRPr="00F9463A">
        <w:rPr>
          <w:lang w:val="ru-RU"/>
        </w:rPr>
        <w:t>–</w:t>
      </w:r>
      <w:r w:rsidRPr="00F9463A">
        <w:rPr>
          <w:lang w:val="ru-RU"/>
        </w:rPr>
        <w:tab/>
        <w:t>Проект партнерства третьего поколения (3GPP)</w:t>
      </w:r>
      <w:bookmarkStart w:id="146" w:name="lt_pId564"/>
      <w:bookmarkEnd w:id="145"/>
      <w:bookmarkEnd w:id="146"/>
    </w:p>
    <w:p w14:paraId="1AA2D0F7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47" w:name="lt_pId565"/>
      <w:r w:rsidRPr="00F9463A">
        <w:rPr>
          <w:lang w:val="ru-RU"/>
        </w:rPr>
        <w:t>–</w:t>
      </w:r>
      <w:r w:rsidRPr="00F9463A">
        <w:rPr>
          <w:lang w:val="ru-RU"/>
        </w:rPr>
        <w:tab/>
        <w:t>Ассоциация GSM (GSMA)</w:t>
      </w:r>
      <w:bookmarkStart w:id="148" w:name="lt_pId566"/>
      <w:bookmarkEnd w:id="147"/>
      <w:bookmarkEnd w:id="148"/>
    </w:p>
    <w:p w14:paraId="7337652D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49" w:name="lt_pId567"/>
      <w:r w:rsidRPr="00F9463A">
        <w:rPr>
          <w:lang w:val="ru-RU"/>
        </w:rPr>
        <w:t>–</w:t>
      </w:r>
      <w:r w:rsidRPr="00F9463A">
        <w:rPr>
          <w:lang w:val="ru-RU"/>
        </w:rPr>
        <w:tab/>
        <w:t>Консорциум World Wide Web (W3C)</w:t>
      </w:r>
      <w:bookmarkStart w:id="150" w:name="lt_pId568"/>
      <w:bookmarkEnd w:id="149"/>
      <w:bookmarkEnd w:id="150"/>
    </w:p>
    <w:p w14:paraId="2F315A32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51" w:name="lt_pId569"/>
      <w:r w:rsidRPr="00F9463A">
        <w:rPr>
          <w:lang w:val="ru-RU"/>
        </w:rPr>
        <w:t>–</w:t>
      </w:r>
      <w:r w:rsidRPr="00F9463A">
        <w:rPr>
          <w:lang w:val="ru-RU"/>
        </w:rPr>
        <w:tab/>
        <w:t>Форум NFC; Национальный институт по стандартам и технологиям (NIST)</w:t>
      </w:r>
      <w:bookmarkStart w:id="152" w:name="lt_pId570"/>
      <w:bookmarkStart w:id="153" w:name="lt_pId571"/>
      <w:bookmarkEnd w:id="151"/>
      <w:bookmarkEnd w:id="152"/>
      <w:bookmarkEnd w:id="153"/>
    </w:p>
    <w:p w14:paraId="135E0AE8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54" w:name="lt_pId572"/>
      <w:r w:rsidRPr="00F9463A">
        <w:rPr>
          <w:lang w:val="ru-RU"/>
        </w:rPr>
        <w:t>–</w:t>
      </w:r>
      <w:r w:rsidRPr="00F9463A">
        <w:rPr>
          <w:lang w:val="ru-RU"/>
        </w:rPr>
        <w:tab/>
        <w:t>Альянс по решениям в области электросвязи (ATIS)</w:t>
      </w:r>
      <w:bookmarkStart w:id="155" w:name="lt_pId573"/>
      <w:bookmarkEnd w:id="154"/>
      <w:bookmarkEnd w:id="155"/>
    </w:p>
    <w:p w14:paraId="19D5187C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56" w:name="lt_pId574"/>
      <w:r w:rsidRPr="00F9463A">
        <w:rPr>
          <w:lang w:val="ru-RU"/>
        </w:rPr>
        <w:t>–</w:t>
      </w:r>
      <w:r w:rsidRPr="00F9463A">
        <w:rPr>
          <w:lang w:val="ru-RU"/>
        </w:rPr>
        <w:tab/>
        <w:t>Ассоциация в области стандартов связи Китая (CCSA)</w:t>
      </w:r>
      <w:bookmarkStart w:id="157" w:name="lt_pId575"/>
      <w:bookmarkEnd w:id="156"/>
      <w:bookmarkEnd w:id="157"/>
    </w:p>
    <w:p w14:paraId="1F191B59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58" w:name="lt_pId576"/>
      <w:r w:rsidRPr="00F9463A">
        <w:rPr>
          <w:lang w:val="ru-RU"/>
        </w:rPr>
        <w:t>–</w:t>
      </w:r>
      <w:r w:rsidRPr="00F9463A">
        <w:rPr>
          <w:lang w:val="ru-RU"/>
        </w:rPr>
        <w:tab/>
        <w:t>Комитет по технологиям электросвязи (TTC)</w:t>
      </w:r>
      <w:bookmarkStart w:id="159" w:name="lt_pId577"/>
      <w:bookmarkEnd w:id="158"/>
      <w:bookmarkEnd w:id="159"/>
    </w:p>
    <w:p w14:paraId="213AF80E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60" w:name="lt_pId578"/>
      <w:r w:rsidRPr="00F9463A">
        <w:rPr>
          <w:lang w:val="ru-RU"/>
        </w:rPr>
        <w:t>–</w:t>
      </w:r>
      <w:r w:rsidRPr="00F9463A">
        <w:rPr>
          <w:lang w:val="ru-RU"/>
        </w:rPr>
        <w:tab/>
        <w:t>Ассоциация технологий электросвязи (TTA)</w:t>
      </w:r>
      <w:bookmarkStart w:id="161" w:name="lt_pId579"/>
      <w:bookmarkEnd w:id="160"/>
      <w:bookmarkEnd w:id="161"/>
    </w:p>
    <w:p w14:paraId="6E4AF8F1" w14:textId="558D1406" w:rsidR="00172391" w:rsidRPr="00F9463A" w:rsidRDefault="00172391" w:rsidP="00172391">
      <w:pPr>
        <w:pStyle w:val="Headingb"/>
        <w:rPr>
          <w:b w:val="0"/>
          <w:bCs/>
          <w:lang w:val="ru-RU"/>
        </w:rPr>
      </w:pPr>
      <w:bookmarkStart w:id="162" w:name="lt_pId580"/>
      <w:r w:rsidRPr="00F9463A">
        <w:rPr>
          <w:lang w:val="ru-RU"/>
        </w:rPr>
        <w:t>Направления</w:t>
      </w:r>
      <w:r w:rsidRPr="00F9463A">
        <w:rPr>
          <w:bCs/>
          <w:lang w:val="ru-RU"/>
        </w:rPr>
        <w:t xml:space="preserve"> деятельности ВВУИО</w:t>
      </w:r>
      <w:bookmarkEnd w:id="162"/>
    </w:p>
    <w:p w14:paraId="4D3D16C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63" w:name="lt_pId581"/>
      <w:r w:rsidRPr="00F9463A">
        <w:rPr>
          <w:lang w:val="ru-RU"/>
        </w:rPr>
        <w:t>–</w:t>
      </w:r>
      <w:r w:rsidRPr="00F9463A">
        <w:rPr>
          <w:lang w:val="ru-RU"/>
        </w:rPr>
        <w:tab/>
        <w:t>C5</w:t>
      </w:r>
      <w:bookmarkStart w:id="164" w:name="lt_pId582"/>
      <w:bookmarkEnd w:id="163"/>
      <w:bookmarkEnd w:id="164"/>
    </w:p>
    <w:p w14:paraId="3BA0D459" w14:textId="7B17A7CB" w:rsidR="00172391" w:rsidRPr="00F9463A" w:rsidRDefault="00172391" w:rsidP="00172391">
      <w:pPr>
        <w:pStyle w:val="Headingb"/>
        <w:rPr>
          <w:lang w:val="ru-RU"/>
        </w:rPr>
      </w:pPr>
      <w:bookmarkStart w:id="165" w:name="lt_pId583"/>
      <w:r w:rsidRPr="00F9463A">
        <w:rPr>
          <w:lang w:val="ru-RU"/>
        </w:rPr>
        <w:t>Цели в области устойчивого развития (ЦУР)</w:t>
      </w:r>
      <w:bookmarkEnd w:id="165"/>
    </w:p>
    <w:p w14:paraId="23FF294F" w14:textId="77777777" w:rsidR="00172391" w:rsidRPr="00F9463A" w:rsidRDefault="00172391" w:rsidP="00172391">
      <w:pPr>
        <w:pStyle w:val="enumlev1"/>
        <w:tabs>
          <w:tab w:val="clear" w:pos="794"/>
        </w:tabs>
        <w:rPr>
          <w:lang w:val="ru-RU"/>
        </w:rPr>
      </w:pPr>
      <w:bookmarkStart w:id="166" w:name="lt_pId584"/>
      <w:r w:rsidRPr="00F9463A">
        <w:rPr>
          <w:lang w:val="ru-RU"/>
        </w:rPr>
        <w:t>–</w:t>
      </w:r>
      <w:r w:rsidRPr="00F9463A">
        <w:rPr>
          <w:lang w:val="ru-RU"/>
        </w:rPr>
        <w:tab/>
        <w:t>ЦУР 3, 4, 5, 8, 9, 11</w:t>
      </w:r>
      <w:bookmarkStart w:id="167" w:name="lt_pId585"/>
      <w:bookmarkEnd w:id="166"/>
      <w:bookmarkEnd w:id="167"/>
    </w:p>
    <w:p w14:paraId="0AF0A5F6" w14:textId="77777777" w:rsidR="00172391" w:rsidRPr="00F9463A" w:rsidRDefault="00172391" w:rsidP="00172391">
      <w:pPr>
        <w:spacing w:before="520"/>
        <w:jc w:val="center"/>
        <w:rPr>
          <w:lang w:val="ru-RU"/>
        </w:rPr>
      </w:pPr>
      <w:r w:rsidRPr="00F9463A">
        <w:rPr>
          <w:lang w:val="ru-RU"/>
        </w:rPr>
        <w:lastRenderedPageBreak/>
        <w:t>______________</w:t>
      </w:r>
    </w:p>
    <w:sectPr w:rsidR="00172391" w:rsidRPr="00F9463A" w:rsidSect="0068675C">
      <w:headerReference w:type="default" r:id="rId17"/>
      <w:footerReference w:type="first" r:id="rId18"/>
      <w:type w:val="continuous"/>
      <w:pgSz w:w="11907" w:h="16840" w:code="9"/>
      <w:pgMar w:top="1134" w:right="1134" w:bottom="900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66B8" w14:textId="77777777" w:rsidR="003F7DAE" w:rsidRDefault="003F7DAE">
      <w:r>
        <w:separator/>
      </w:r>
    </w:p>
  </w:endnote>
  <w:endnote w:type="continuationSeparator" w:id="0">
    <w:p w14:paraId="4D47C9FE" w14:textId="77777777" w:rsidR="003F7DAE" w:rsidRDefault="003F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2EC" w14:textId="39C28B9F" w:rsidR="0068675C" w:rsidRPr="0068675C" w:rsidRDefault="0068675C" w:rsidP="0068675C">
    <w:pPr>
      <w:pStyle w:val="Footer"/>
      <w:jc w:val="center"/>
      <w:rPr>
        <w:color w:val="0070C0"/>
        <w:lang w:val="fr-CH"/>
      </w:rPr>
    </w:pPr>
    <w:r w:rsidRPr="0068675C">
      <w:rPr>
        <w:color w:val="0070C0"/>
        <w:lang w:val="fr-CH"/>
      </w:rPr>
      <w:t xml:space="preserve">International </w:t>
    </w:r>
    <w:proofErr w:type="spellStart"/>
    <w:r w:rsidRPr="0068675C">
      <w:rPr>
        <w:color w:val="0070C0"/>
        <w:lang w:val="fr-CH"/>
      </w:rPr>
      <w:t>Telecommunication</w:t>
    </w:r>
    <w:proofErr w:type="spellEnd"/>
    <w:r w:rsidRPr="0068675C">
      <w:rPr>
        <w:color w:val="0070C0"/>
        <w:lang w:val="fr-CH"/>
      </w:rPr>
      <w:t xml:space="preserve"> Union • Place des Nations • CH</w:t>
    </w:r>
    <w:r w:rsidRPr="0068675C">
      <w:rPr>
        <w:color w:val="0070C0"/>
        <w:lang w:val="fr-CH"/>
      </w:rPr>
      <w:noBreakHyphen/>
      <w:t xml:space="preserve">1211 Geneva 20 • </w:t>
    </w:r>
    <w:proofErr w:type="spellStart"/>
    <w:r w:rsidRPr="0068675C">
      <w:rPr>
        <w:color w:val="0070C0"/>
        <w:lang w:val="fr-CH"/>
      </w:rPr>
      <w:t>Switzerland</w:t>
    </w:r>
    <w:proofErr w:type="spellEnd"/>
    <w:r w:rsidRPr="0068675C">
      <w:rPr>
        <w:color w:val="0070C0"/>
        <w:lang w:val="fr-CH"/>
      </w:rPr>
      <w:br/>
    </w:r>
    <w:proofErr w:type="spellStart"/>
    <w:proofErr w:type="gramStart"/>
    <w:r w:rsidRPr="0068675C">
      <w:rPr>
        <w:color w:val="0070C0"/>
        <w:lang w:val="fr-CH"/>
      </w:rPr>
      <w:t>Тел</w:t>
    </w:r>
    <w:proofErr w:type="spellEnd"/>
    <w:r w:rsidRPr="0068675C">
      <w:rPr>
        <w:color w:val="0070C0"/>
        <w:lang w:val="fr-CH"/>
      </w:rPr>
      <w:t>:</w:t>
    </w:r>
    <w:proofErr w:type="gramEnd"/>
    <w:r w:rsidRPr="0068675C">
      <w:rPr>
        <w:color w:val="0070C0"/>
        <w:lang w:val="fr-CH"/>
      </w:rPr>
      <w:t xml:space="preserve"> +41 22 730 5111 • </w:t>
    </w:r>
    <w:proofErr w:type="spellStart"/>
    <w:proofErr w:type="gramStart"/>
    <w:r w:rsidRPr="0068675C">
      <w:rPr>
        <w:color w:val="0070C0"/>
        <w:lang w:val="fr-CH"/>
      </w:rPr>
      <w:t>Факс</w:t>
    </w:r>
    <w:proofErr w:type="spellEnd"/>
    <w:r w:rsidRPr="0068675C">
      <w:rPr>
        <w:color w:val="0070C0"/>
        <w:lang w:val="fr-CH"/>
      </w:rPr>
      <w:t>:</w:t>
    </w:r>
    <w:proofErr w:type="gramEnd"/>
    <w:r w:rsidRPr="0068675C">
      <w:rPr>
        <w:color w:val="0070C0"/>
        <w:lang w:val="fr-CH"/>
      </w:rPr>
      <w:t xml:space="preserve"> +41 22 733 7256 • </w:t>
    </w:r>
    <w:proofErr w:type="spellStart"/>
    <w:r w:rsidRPr="0068675C">
      <w:rPr>
        <w:color w:val="0070C0"/>
        <w:lang w:val="fr-CH"/>
      </w:rPr>
      <w:t>Эл</w:t>
    </w:r>
    <w:proofErr w:type="spellEnd"/>
    <w:r w:rsidRPr="0068675C">
      <w:rPr>
        <w:color w:val="0070C0"/>
        <w:lang w:val="fr-CH"/>
      </w:rPr>
      <w:t xml:space="preserve">. </w:t>
    </w:r>
    <w:proofErr w:type="spellStart"/>
    <w:proofErr w:type="gramStart"/>
    <w:r w:rsidRPr="0068675C">
      <w:rPr>
        <w:color w:val="0070C0"/>
        <w:lang w:val="fr-CH"/>
      </w:rPr>
      <w:t>почта</w:t>
    </w:r>
    <w:proofErr w:type="spellEnd"/>
    <w:r w:rsidRPr="0068675C">
      <w:rPr>
        <w:color w:val="0070C0"/>
        <w:lang w:val="fr-CH"/>
      </w:rPr>
      <w:t>:</w:t>
    </w:r>
    <w:proofErr w:type="gramEnd"/>
    <w:r w:rsidRPr="0068675C">
      <w:rPr>
        <w:color w:val="0070C0"/>
        <w:lang w:val="fr-CH"/>
      </w:rPr>
      <w:t xml:space="preserve"> </w:t>
    </w:r>
    <w:hyperlink r:id="rId1" w:history="1">
      <w:r w:rsidRPr="0068675C">
        <w:rPr>
          <w:rStyle w:val="Hyperlink"/>
          <w:color w:val="0070C0"/>
          <w:lang w:val="fr-CH"/>
        </w:rPr>
        <w:t>itumail@itu.int</w:t>
      </w:r>
    </w:hyperlink>
    <w:r w:rsidRPr="0068675C">
      <w:rPr>
        <w:color w:val="0070C0"/>
        <w:lang w:val="fr-CH"/>
      </w:rPr>
      <w:t xml:space="preserve"> • </w:t>
    </w:r>
    <w:hyperlink r:id="rId2" w:history="1">
      <w:r w:rsidRPr="0068675C">
        <w:rPr>
          <w:rStyle w:val="Hyperlink"/>
          <w:color w:val="0070C0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A2ED" w14:textId="77777777" w:rsidR="003F7DAE" w:rsidRDefault="003F7DAE">
      <w:r>
        <w:separator/>
      </w:r>
    </w:p>
  </w:footnote>
  <w:footnote w:type="continuationSeparator" w:id="0">
    <w:p w14:paraId="32848BE1" w14:textId="77777777" w:rsidR="003F7DAE" w:rsidRDefault="003F7DAE">
      <w:r>
        <w:continuationSeparator/>
      </w:r>
    </w:p>
  </w:footnote>
  <w:footnote w:id="1">
    <w:p w14:paraId="6A9CFADF" w14:textId="4319FB15" w:rsidR="00F05E8B" w:rsidRPr="00F05E8B" w:rsidRDefault="00F05E8B" w:rsidP="00F9463A">
      <w:pPr>
        <w:pStyle w:val="FootnoteText"/>
        <w:tabs>
          <w:tab w:val="left" w:pos="284"/>
        </w:tabs>
        <w:ind w:left="284" w:hanging="284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 xml:space="preserve">Обновление Вопроса 7/17 </w:t>
      </w:r>
      <w:r w:rsidRPr="009E7C3D">
        <w:rPr>
          <w:lang w:val="ru-RU"/>
        </w:rPr>
        <w:t>"</w:t>
      </w:r>
      <w:r w:rsidRPr="00F82551">
        <w:rPr>
          <w:i/>
          <w:iCs/>
          <w:lang w:val="ru-RU"/>
        </w:rPr>
        <w:t>Безопасные прикладные услуги</w:t>
      </w:r>
      <w:r w:rsidRPr="009E7C3D">
        <w:rPr>
          <w:lang w:val="ru-RU"/>
        </w:rPr>
        <w:t xml:space="preserve">" </w:t>
      </w:r>
      <w:r>
        <w:rPr>
          <w:lang w:val="ru-RU"/>
        </w:rPr>
        <w:t>(ВАСЭ-24), подготовленное ИК17 МСЭ</w:t>
      </w:r>
      <w:r>
        <w:rPr>
          <w:lang w:val="ru-RU"/>
        </w:rPr>
        <w:noBreakHyphen/>
        <w:t>Т (Женева, 3−11 декабря 2025 г.), одобрено КГСЭ (Женева, 26−30 января 2026 г.) и считается утвержденным после консультаций с Государствами-Членами (Циркуляр 101 БСЭ).</w:t>
      </w:r>
    </w:p>
  </w:footnote>
  <w:footnote w:id="2">
    <w:p w14:paraId="02DBDB2F" w14:textId="6EA3FBCA" w:rsidR="00F05E8B" w:rsidRPr="00F05E8B" w:rsidRDefault="00F05E8B" w:rsidP="00F9463A">
      <w:pPr>
        <w:pStyle w:val="FootnoteText"/>
        <w:tabs>
          <w:tab w:val="left" w:pos="284"/>
        </w:tabs>
        <w:ind w:left="284" w:hanging="284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Вопросы 3/17 и 10/17 в последний раз обновлялись КГСЭ на ее собрании в мае 2025 года. Эта объединенная версия была подготовлена ИК17 МСЭ-Т (Женева, 3−11 декабря 2025 г.), одобрена КГСЭ (Женева, 26−30</w:t>
      </w:r>
      <w:r w:rsidR="00130AD0">
        <w:rPr>
          <w:lang w:val="ru-RU"/>
        </w:rPr>
        <w:t> </w:t>
      </w:r>
      <w:r>
        <w:rPr>
          <w:lang w:val="ru-RU"/>
        </w:rPr>
        <w:t xml:space="preserve">января 2026 г.) </w:t>
      </w:r>
      <w:r w:rsidRPr="002A7E70">
        <w:rPr>
          <w:lang w:val="ru-RU"/>
        </w:rPr>
        <w:t>и счита</w:t>
      </w:r>
      <w:r>
        <w:rPr>
          <w:lang w:val="ru-RU"/>
        </w:rPr>
        <w:t>ется</w:t>
      </w:r>
      <w:r w:rsidRPr="002A7E70">
        <w:rPr>
          <w:lang w:val="ru-RU"/>
        </w:rPr>
        <w:t xml:space="preserve"> утвержденн</w:t>
      </w:r>
      <w:r>
        <w:rPr>
          <w:lang w:val="ru-RU"/>
        </w:rPr>
        <w:t>ой</w:t>
      </w:r>
      <w:r w:rsidRPr="002A7E70">
        <w:rPr>
          <w:lang w:val="ru-RU"/>
        </w:rPr>
        <w:t xml:space="preserve"> по</w:t>
      </w:r>
      <w:r>
        <w:rPr>
          <w:lang w:val="ru-RU"/>
        </w:rPr>
        <w:t>сле</w:t>
      </w:r>
      <w:r w:rsidRPr="002A7E70">
        <w:rPr>
          <w:lang w:val="ru-RU"/>
        </w:rPr>
        <w:t xml:space="preserve"> консультаций с Государствами-Членами (Циркуляр</w:t>
      </w:r>
      <w:r w:rsidR="00130AD0">
        <w:rPr>
          <w:lang w:val="ru-RU"/>
        </w:rPr>
        <w:t> </w:t>
      </w:r>
      <w:r w:rsidRPr="002A7E70">
        <w:rPr>
          <w:lang w:val="ru-RU"/>
        </w:rPr>
        <w:t>101 БСЭ)</w:t>
      </w:r>
      <w:r>
        <w:rPr>
          <w:lang w:val="ru-RU"/>
        </w:rPr>
        <w:t>.</w:t>
      </w:r>
    </w:p>
  </w:footnote>
  <w:footnote w:id="3">
    <w:p w14:paraId="44CB965E" w14:textId="25068D5F" w:rsidR="00F05E8B" w:rsidRPr="00F05E8B" w:rsidRDefault="00F05E8B" w:rsidP="00F9463A">
      <w:pPr>
        <w:pStyle w:val="FootnoteText"/>
        <w:tabs>
          <w:tab w:val="left" w:pos="284"/>
        </w:tabs>
        <w:ind w:left="284" w:hanging="284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Стандартизация самой цифровой идентичности (т. е. содержания цифровой идентичности) не входит в мандат ИК17 МСЭ-Т.</w:t>
      </w:r>
    </w:p>
  </w:footnote>
  <w:footnote w:id="4">
    <w:p w14:paraId="4A21CF85" w14:textId="181D47C7" w:rsidR="00F05E8B" w:rsidRPr="00F05E8B" w:rsidRDefault="00F05E8B" w:rsidP="00F9463A">
      <w:pPr>
        <w:pStyle w:val="FootnoteText"/>
        <w:tabs>
          <w:tab w:val="left" w:pos="284"/>
        </w:tabs>
        <w:ind w:left="284" w:hanging="284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0D3CEA">
        <w:rPr>
          <w:lang w:val="ru-RU"/>
        </w:rPr>
        <w:t>Нов</w:t>
      </w:r>
      <w:r>
        <w:rPr>
          <w:lang w:val="ru-RU"/>
        </w:rPr>
        <w:t>ый</w:t>
      </w:r>
      <w:r w:rsidRPr="000D3CEA">
        <w:rPr>
          <w:lang w:val="ru-RU"/>
        </w:rPr>
        <w:t xml:space="preserve"> </w:t>
      </w:r>
      <w:r>
        <w:rPr>
          <w:lang w:val="ru-RU"/>
        </w:rPr>
        <w:t>В</w:t>
      </w:r>
      <w:r w:rsidRPr="000D3CEA">
        <w:rPr>
          <w:lang w:val="ru-RU"/>
        </w:rPr>
        <w:t xml:space="preserve">опрос 16/17 </w:t>
      </w:r>
      <w:r>
        <w:rPr>
          <w:lang w:val="ru-RU"/>
        </w:rPr>
        <w:t>"</w:t>
      </w:r>
      <w:r w:rsidRPr="006D45F1">
        <w:rPr>
          <w:i/>
          <w:iCs/>
          <w:lang w:val="ru-RU"/>
        </w:rPr>
        <w:t>Безопасность искусственного интеллекта (ИИ)</w:t>
      </w:r>
      <w:r>
        <w:rPr>
          <w:lang w:val="ru-RU"/>
        </w:rPr>
        <w:t>"</w:t>
      </w:r>
      <w:r w:rsidRPr="000D3CEA">
        <w:rPr>
          <w:lang w:val="ru-RU"/>
        </w:rPr>
        <w:t xml:space="preserve"> был подготовлен </w:t>
      </w:r>
      <w:r>
        <w:rPr>
          <w:lang w:val="ru-RU"/>
        </w:rPr>
        <w:t>ИК17</w:t>
      </w:r>
      <w:r w:rsidRPr="000D3CEA">
        <w:rPr>
          <w:lang w:val="ru-RU"/>
        </w:rPr>
        <w:t xml:space="preserve"> </w:t>
      </w:r>
      <w:r>
        <w:rPr>
          <w:lang w:val="ru-RU"/>
        </w:rPr>
        <w:t>МСЭ</w:t>
      </w:r>
      <w:r w:rsidRPr="000D3CEA">
        <w:rPr>
          <w:lang w:val="ru-RU"/>
        </w:rPr>
        <w:t>-</w:t>
      </w:r>
      <w:r w:rsidRPr="000D3CEA">
        <w:t>T</w:t>
      </w:r>
      <w:r w:rsidRPr="000D3CEA">
        <w:rPr>
          <w:lang w:val="ru-RU"/>
        </w:rPr>
        <w:t xml:space="preserve"> (Женева,</w:t>
      </w:r>
      <w:r w:rsidR="00130AD0">
        <w:rPr>
          <w:lang w:val="ru-RU"/>
        </w:rPr>
        <w:t> </w:t>
      </w:r>
      <w:r w:rsidRPr="000D3CEA">
        <w:rPr>
          <w:lang w:val="ru-RU"/>
        </w:rPr>
        <w:t>3–11 декабря 2025 г.)</w:t>
      </w:r>
      <w:r>
        <w:rPr>
          <w:lang w:val="ru-RU"/>
        </w:rPr>
        <w:t>,</w:t>
      </w:r>
      <w:r w:rsidRPr="000D3CEA">
        <w:rPr>
          <w:lang w:val="ru-RU"/>
        </w:rPr>
        <w:t xml:space="preserve"> </w:t>
      </w:r>
      <w:r>
        <w:rPr>
          <w:lang w:val="ru-RU"/>
        </w:rPr>
        <w:t>одобрен КГСЭ</w:t>
      </w:r>
      <w:r w:rsidRPr="000D3CEA">
        <w:rPr>
          <w:lang w:val="ru-RU"/>
        </w:rPr>
        <w:t xml:space="preserve"> (Женева, 26–30 января 2026 г.) </w:t>
      </w:r>
      <w:r w:rsidRPr="00BE3503">
        <w:rPr>
          <w:lang w:val="ru-RU"/>
        </w:rPr>
        <w:t>и счит</w:t>
      </w:r>
      <w:r>
        <w:rPr>
          <w:lang w:val="ru-RU"/>
        </w:rPr>
        <w:t>а</w:t>
      </w:r>
      <w:r w:rsidRPr="00BE3503">
        <w:rPr>
          <w:lang w:val="ru-RU"/>
        </w:rPr>
        <w:t>е</w:t>
      </w:r>
      <w:r>
        <w:rPr>
          <w:lang w:val="ru-RU"/>
        </w:rPr>
        <w:t>тся</w:t>
      </w:r>
      <w:r w:rsidRPr="00BE3503">
        <w:rPr>
          <w:lang w:val="ru-RU"/>
        </w:rPr>
        <w:t xml:space="preserve"> утвержденным по</w:t>
      </w:r>
      <w:r>
        <w:rPr>
          <w:lang w:val="ru-RU"/>
        </w:rPr>
        <w:t xml:space="preserve">сле </w:t>
      </w:r>
      <w:r w:rsidRPr="00BE3503">
        <w:rPr>
          <w:lang w:val="ru-RU"/>
        </w:rPr>
        <w:t>консультаций с Государствами-Членами (Циркуляр 101 БСЭ).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96FE" w14:textId="77777777" w:rsidR="00F9463A" w:rsidRDefault="00F9463A" w:rsidP="00F9463A">
    <w:pPr>
      <w:pStyle w:val="Header"/>
      <w:rPr>
        <w:noProof/>
      </w:rPr>
    </w:pPr>
    <w:r>
      <w:t xml:space="preserve">- </w:t>
    </w:r>
    <w:sdt>
      <w:sdtPr>
        <w:id w:val="-13054568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31F98B54" w14:textId="77777777" w:rsidR="00F9463A" w:rsidRDefault="00F9463A" w:rsidP="00F9463A">
    <w:pPr>
      <w:pStyle w:val="Header"/>
    </w:pPr>
    <w:r>
      <w:rPr>
        <w:lang w:val="ru-RU"/>
      </w:rPr>
      <w:t>Циркуляр 133 БСЭ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91"/>
    <w:rsid w:val="00012C4F"/>
    <w:rsid w:val="00022027"/>
    <w:rsid w:val="00024565"/>
    <w:rsid w:val="0003235D"/>
    <w:rsid w:val="00082B7B"/>
    <w:rsid w:val="00086EE9"/>
    <w:rsid w:val="00095EA0"/>
    <w:rsid w:val="000C2147"/>
    <w:rsid w:val="000C7D98"/>
    <w:rsid w:val="00103310"/>
    <w:rsid w:val="00115B49"/>
    <w:rsid w:val="00130AD0"/>
    <w:rsid w:val="001626BA"/>
    <w:rsid w:val="001629DC"/>
    <w:rsid w:val="00172391"/>
    <w:rsid w:val="001B4A74"/>
    <w:rsid w:val="001D261C"/>
    <w:rsid w:val="001E03A0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521AD"/>
    <w:rsid w:val="003F5B77"/>
    <w:rsid w:val="003F7DAE"/>
    <w:rsid w:val="00415128"/>
    <w:rsid w:val="004167E6"/>
    <w:rsid w:val="0041688E"/>
    <w:rsid w:val="00444B73"/>
    <w:rsid w:val="00445C22"/>
    <w:rsid w:val="004518A3"/>
    <w:rsid w:val="00455EFA"/>
    <w:rsid w:val="004650C7"/>
    <w:rsid w:val="00475A27"/>
    <w:rsid w:val="0049010B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761F"/>
    <w:rsid w:val="006139B2"/>
    <w:rsid w:val="00625BAF"/>
    <w:rsid w:val="00636D90"/>
    <w:rsid w:val="00671514"/>
    <w:rsid w:val="006777D5"/>
    <w:rsid w:val="0068675C"/>
    <w:rsid w:val="00687791"/>
    <w:rsid w:val="006D45F1"/>
    <w:rsid w:val="006E2BD8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16901"/>
    <w:rsid w:val="00826CB4"/>
    <w:rsid w:val="00831FDC"/>
    <w:rsid w:val="00832A5A"/>
    <w:rsid w:val="00842327"/>
    <w:rsid w:val="00847FBC"/>
    <w:rsid w:val="00867192"/>
    <w:rsid w:val="00871131"/>
    <w:rsid w:val="008863B5"/>
    <w:rsid w:val="008C5C0E"/>
    <w:rsid w:val="008C7044"/>
    <w:rsid w:val="008E0925"/>
    <w:rsid w:val="00906CC2"/>
    <w:rsid w:val="009166E1"/>
    <w:rsid w:val="009344BF"/>
    <w:rsid w:val="009469D2"/>
    <w:rsid w:val="009979B5"/>
    <w:rsid w:val="009A2C9B"/>
    <w:rsid w:val="009B6144"/>
    <w:rsid w:val="009E7C3D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34D84"/>
    <w:rsid w:val="00B54B88"/>
    <w:rsid w:val="00BC33B4"/>
    <w:rsid w:val="00C00463"/>
    <w:rsid w:val="00C22D6C"/>
    <w:rsid w:val="00C365A7"/>
    <w:rsid w:val="00C60E38"/>
    <w:rsid w:val="00C623F1"/>
    <w:rsid w:val="00CA7B14"/>
    <w:rsid w:val="00D040F2"/>
    <w:rsid w:val="00D407BA"/>
    <w:rsid w:val="00D47122"/>
    <w:rsid w:val="00D83022"/>
    <w:rsid w:val="00D90FDB"/>
    <w:rsid w:val="00D911F5"/>
    <w:rsid w:val="00DA1127"/>
    <w:rsid w:val="00DC6336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05E8B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9463A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F4858"/>
  <w15:docId w15:val="{7B311EAA-86A1-4372-82E2-67E417CA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63A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E03A0"/>
    <w:pPr>
      <w:keepNext/>
      <w:spacing w:before="360" w:after="120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172391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rFonts w:ascii="Calibri Bold" w:hAnsi="Calibri Bold"/>
      <w:bCs w:val="0"/>
      <w:i w:val="0"/>
      <w:iCs w:val="0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17239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7239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7239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"/>
    <w:basedOn w:val="Normal"/>
    <w:link w:val="FooterChar"/>
    <w:qFormat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link w:val="BodyTextIndent2Char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uiPriority w:val="99"/>
    <w:qFormat/>
    <w:rPr>
      <w:color w:val="0000FF"/>
      <w:u w:val="single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22D6C"/>
    <w:rPr>
      <w:sz w:val="20"/>
      <w:szCs w:val="20"/>
    </w:rPr>
  </w:style>
  <w:style w:type="character" w:styleId="FootnoteReference">
    <w:name w:val="footnote reference"/>
    <w:aliases w:val="Appel note de bas de p,Footnote Reference/,ft#,Footnote symbol,Ref,de nota al pie"/>
    <w:uiPriority w:val="99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17239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Tabletext0">
    <w:name w:val="Table_text"/>
    <w:basedOn w:val="Normal"/>
    <w:rsid w:val="00172391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Tablehead">
    <w:name w:val="Table_head"/>
    <w:basedOn w:val="Tabletext0"/>
    <w:next w:val="Tabletext0"/>
    <w:rsid w:val="00172391"/>
    <w:pPr>
      <w:keepNext/>
      <w:spacing w:before="80" w:after="80"/>
      <w:jc w:val="center"/>
    </w:pPr>
    <w:rPr>
      <w:b/>
    </w:rPr>
  </w:style>
  <w:style w:type="table" w:styleId="TableGrid">
    <w:name w:val="Table Grid"/>
    <w:basedOn w:val="TableNormal"/>
    <w:uiPriority w:val="59"/>
    <w:rsid w:val="00172391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72391"/>
    <w:rPr>
      <w:rFonts w:ascii="Calibri Bold" w:hAnsi="Calibri Bold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72391"/>
    <w:rPr>
      <w:rFonts w:ascii="Calibri Bold" w:hAnsi="Calibri Bold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72391"/>
    <w:rPr>
      <w:rFonts w:ascii="Calibri Bold" w:hAnsi="Calibri Bold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72391"/>
    <w:rPr>
      <w:rFonts w:ascii="Calibri Bold" w:hAnsi="Calibri Bold"/>
      <w:b/>
      <w:sz w:val="22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172391"/>
    <w:pPr>
      <w:overflowPunct w:val="0"/>
      <w:autoSpaceDE w:val="0"/>
      <w:autoSpaceDN w:val="0"/>
      <w:adjustRightInd w:val="0"/>
      <w:spacing w:before="360"/>
      <w:textAlignment w:val="baseline"/>
    </w:pPr>
    <w:rPr>
      <w:rFonts w:ascii="Calibri" w:hAnsi="Calibri"/>
      <w:szCs w:val="20"/>
      <w:lang w:val="en-GB"/>
    </w:rPr>
  </w:style>
  <w:style w:type="paragraph" w:customStyle="1" w:styleId="Artheading">
    <w:name w:val="Art_heading"/>
    <w:basedOn w:val="Normal"/>
    <w:next w:val="Normal"/>
    <w:rsid w:val="00172391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172391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172391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GB"/>
    </w:rPr>
  </w:style>
  <w:style w:type="paragraph" w:customStyle="1" w:styleId="ASN1">
    <w:name w:val="ASN.1"/>
    <w:basedOn w:val="Normal"/>
    <w:rsid w:val="0017239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172391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rFonts w:ascii="Calibri" w:hAnsi="Calibri"/>
      <w:i/>
      <w:szCs w:val="20"/>
      <w:lang w:val="en-GB"/>
    </w:rPr>
  </w:style>
  <w:style w:type="paragraph" w:customStyle="1" w:styleId="ChapNo">
    <w:name w:val="Chap_No"/>
    <w:basedOn w:val="ArtNo"/>
    <w:next w:val="Chaptitle"/>
    <w:rsid w:val="00172391"/>
    <w:rPr>
      <w:b/>
    </w:rPr>
  </w:style>
  <w:style w:type="paragraph" w:customStyle="1" w:styleId="Chaptitle">
    <w:name w:val="Chap_title"/>
    <w:basedOn w:val="Arttitle"/>
    <w:next w:val="Normal"/>
    <w:rsid w:val="00172391"/>
  </w:style>
  <w:style w:type="character" w:styleId="EndnoteReference">
    <w:name w:val="endnote reference"/>
    <w:rsid w:val="00172391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F9463A"/>
    <w:pPr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172391"/>
    <w:pPr>
      <w:ind w:left="1021" w:hanging="227"/>
    </w:pPr>
  </w:style>
  <w:style w:type="paragraph" w:customStyle="1" w:styleId="enumlev3">
    <w:name w:val="enumlev3"/>
    <w:basedOn w:val="enumlev2"/>
    <w:rsid w:val="00172391"/>
    <w:pPr>
      <w:ind w:left="1588" w:hanging="397"/>
    </w:pPr>
  </w:style>
  <w:style w:type="paragraph" w:customStyle="1" w:styleId="Equation">
    <w:name w:val="Equation"/>
    <w:basedOn w:val="Normal"/>
    <w:rsid w:val="00172391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GB"/>
    </w:rPr>
  </w:style>
  <w:style w:type="paragraph" w:customStyle="1" w:styleId="Equationlegend">
    <w:name w:val="Equation_legend"/>
    <w:basedOn w:val="NormalIndent"/>
    <w:rsid w:val="00172391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72391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Calibri" w:hAnsi="Calibri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172391"/>
    <w:pPr>
      <w:keepNext w:val="0"/>
    </w:pPr>
  </w:style>
  <w:style w:type="paragraph" w:customStyle="1" w:styleId="Note">
    <w:name w:val="Note"/>
    <w:basedOn w:val="Normal"/>
    <w:rsid w:val="00172391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Cs w:val="20"/>
      <w:lang w:val="en-GB"/>
    </w:rPr>
  </w:style>
  <w:style w:type="paragraph" w:styleId="Index2">
    <w:name w:val="index 2"/>
    <w:basedOn w:val="Normal"/>
    <w:next w:val="Normal"/>
    <w:rsid w:val="00172391"/>
    <w:pPr>
      <w:overflowPunct w:val="0"/>
      <w:autoSpaceDE w:val="0"/>
      <w:autoSpaceDN w:val="0"/>
      <w:adjustRightInd w:val="0"/>
      <w:ind w:left="283"/>
      <w:textAlignment w:val="baseline"/>
    </w:pPr>
    <w:rPr>
      <w:rFonts w:ascii="Calibri" w:hAnsi="Calibri"/>
      <w:szCs w:val="20"/>
      <w:lang w:val="en-GB"/>
    </w:rPr>
  </w:style>
  <w:style w:type="paragraph" w:styleId="Index3">
    <w:name w:val="index 3"/>
    <w:basedOn w:val="Normal"/>
    <w:next w:val="Normal"/>
    <w:rsid w:val="00172391"/>
    <w:pPr>
      <w:overflowPunct w:val="0"/>
      <w:autoSpaceDE w:val="0"/>
      <w:autoSpaceDN w:val="0"/>
      <w:adjustRightInd w:val="0"/>
      <w:ind w:left="566"/>
      <w:textAlignment w:val="baseline"/>
    </w:pPr>
    <w:rPr>
      <w:rFonts w:ascii="Calibri" w:hAnsi="Calibri"/>
      <w:szCs w:val="20"/>
      <w:lang w:val="en-GB"/>
    </w:rPr>
  </w:style>
  <w:style w:type="paragraph" w:customStyle="1" w:styleId="PartNo">
    <w:name w:val="Part_No"/>
    <w:basedOn w:val="AnnexNo"/>
    <w:next w:val="Partref"/>
    <w:rsid w:val="00172391"/>
    <w:rPr>
      <w:rFonts w:ascii="Calibri" w:hAnsi="Calibri"/>
      <w:caps w:val="0"/>
    </w:rPr>
  </w:style>
  <w:style w:type="paragraph" w:customStyle="1" w:styleId="Partref">
    <w:name w:val="Part_ref"/>
    <w:basedOn w:val="Annexref"/>
    <w:next w:val="Parttitle"/>
    <w:rsid w:val="00172391"/>
  </w:style>
  <w:style w:type="paragraph" w:customStyle="1" w:styleId="Parttitle">
    <w:name w:val="Part_title"/>
    <w:basedOn w:val="Annextitle0"/>
    <w:next w:val="Normalaftertitle"/>
    <w:rsid w:val="00172391"/>
  </w:style>
  <w:style w:type="paragraph" w:customStyle="1" w:styleId="RecNo">
    <w:name w:val="Rec_No"/>
    <w:basedOn w:val="Normal"/>
    <w:next w:val="Rectitle"/>
    <w:rsid w:val="00172391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172391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172391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172391"/>
    <w:pPr>
      <w:jc w:val="right"/>
    </w:pPr>
  </w:style>
  <w:style w:type="paragraph" w:customStyle="1" w:styleId="Questiondate">
    <w:name w:val="Question_date"/>
    <w:basedOn w:val="Recdate"/>
    <w:next w:val="Normalaftertitle"/>
    <w:rsid w:val="00172391"/>
  </w:style>
  <w:style w:type="paragraph" w:customStyle="1" w:styleId="QuestionNo">
    <w:name w:val="Question_No"/>
    <w:basedOn w:val="RecNo"/>
    <w:next w:val="Questiontitle"/>
    <w:rsid w:val="00172391"/>
  </w:style>
  <w:style w:type="paragraph" w:customStyle="1" w:styleId="Questiontitle">
    <w:name w:val="Question_title"/>
    <w:basedOn w:val="Rectitle"/>
    <w:next w:val="Questionref"/>
    <w:rsid w:val="00172391"/>
  </w:style>
  <w:style w:type="paragraph" w:customStyle="1" w:styleId="Questionref">
    <w:name w:val="Question_ref"/>
    <w:basedOn w:val="Recref"/>
    <w:next w:val="Questiondate"/>
    <w:rsid w:val="00172391"/>
  </w:style>
  <w:style w:type="paragraph" w:customStyle="1" w:styleId="Reftext">
    <w:name w:val="Ref_text"/>
    <w:basedOn w:val="Normal"/>
    <w:rsid w:val="00172391"/>
    <w:pPr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" w:hAnsi="Calibri"/>
      <w:szCs w:val="20"/>
      <w:lang w:val="en-GB"/>
    </w:rPr>
  </w:style>
  <w:style w:type="paragraph" w:customStyle="1" w:styleId="Reftitle">
    <w:name w:val="Ref_title"/>
    <w:basedOn w:val="Normal"/>
    <w:next w:val="Reftext"/>
    <w:rsid w:val="00172391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172391"/>
  </w:style>
  <w:style w:type="paragraph" w:customStyle="1" w:styleId="RepNo">
    <w:name w:val="Rep_No"/>
    <w:basedOn w:val="RecNo"/>
    <w:next w:val="Reptitle"/>
    <w:rsid w:val="00172391"/>
  </w:style>
  <w:style w:type="paragraph" w:customStyle="1" w:styleId="Reptitle">
    <w:name w:val="Rep_title"/>
    <w:basedOn w:val="Rectitle"/>
    <w:next w:val="Repref"/>
    <w:rsid w:val="00172391"/>
  </w:style>
  <w:style w:type="paragraph" w:customStyle="1" w:styleId="Repref">
    <w:name w:val="Rep_ref"/>
    <w:basedOn w:val="Recref"/>
    <w:next w:val="Repdate"/>
    <w:rsid w:val="00172391"/>
  </w:style>
  <w:style w:type="paragraph" w:customStyle="1" w:styleId="Resdate">
    <w:name w:val="Res_date"/>
    <w:basedOn w:val="Recdate"/>
    <w:next w:val="Normalaftertitle"/>
    <w:rsid w:val="00172391"/>
  </w:style>
  <w:style w:type="paragraph" w:customStyle="1" w:styleId="ResNo">
    <w:name w:val="Res_No"/>
    <w:basedOn w:val="RecNo"/>
    <w:next w:val="Restitle"/>
    <w:link w:val="ResNoChar"/>
    <w:rsid w:val="00172391"/>
  </w:style>
  <w:style w:type="paragraph" w:customStyle="1" w:styleId="Restitle">
    <w:name w:val="Res_title"/>
    <w:basedOn w:val="Rectitle"/>
    <w:next w:val="Resref"/>
    <w:link w:val="RestitleChar"/>
    <w:rsid w:val="00172391"/>
  </w:style>
  <w:style w:type="paragraph" w:customStyle="1" w:styleId="Resref">
    <w:name w:val="Res_ref"/>
    <w:basedOn w:val="Recref"/>
    <w:next w:val="Resdate"/>
    <w:link w:val="ResrefChar"/>
    <w:qFormat/>
    <w:rsid w:val="00172391"/>
  </w:style>
  <w:style w:type="paragraph" w:customStyle="1" w:styleId="SectionNo">
    <w:name w:val="Section_No"/>
    <w:basedOn w:val="AnnexNo"/>
    <w:next w:val="Sectiontitle"/>
    <w:rsid w:val="00172391"/>
    <w:rPr>
      <w:rFonts w:ascii="Calibri" w:hAnsi="Calibri"/>
      <w:caps w:val="0"/>
    </w:rPr>
  </w:style>
  <w:style w:type="paragraph" w:customStyle="1" w:styleId="Sectiontitle">
    <w:name w:val="Section_title"/>
    <w:basedOn w:val="Annextitle0"/>
    <w:next w:val="Normalaftertitle"/>
    <w:rsid w:val="00172391"/>
  </w:style>
  <w:style w:type="paragraph" w:customStyle="1" w:styleId="Source">
    <w:name w:val="Source"/>
    <w:basedOn w:val="Normal"/>
    <w:next w:val="Normal"/>
    <w:rsid w:val="00172391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="Calibri" w:hAnsi="Calibri"/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172391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GB"/>
    </w:rPr>
  </w:style>
  <w:style w:type="paragraph" w:customStyle="1" w:styleId="Tablelegend">
    <w:name w:val="Table_legend"/>
    <w:basedOn w:val="Tabletext0"/>
    <w:rsid w:val="00172391"/>
    <w:pPr>
      <w:tabs>
        <w:tab w:val="clear" w:pos="284"/>
      </w:tabs>
      <w:spacing w:before="120"/>
    </w:pPr>
    <w:rPr>
      <w:sz w:val="22"/>
    </w:rPr>
  </w:style>
  <w:style w:type="paragraph" w:customStyle="1" w:styleId="TableNo">
    <w:name w:val="Table_No"/>
    <w:basedOn w:val="Normal"/>
    <w:next w:val="Tabletitle"/>
    <w:rsid w:val="00172391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172391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Calibri" w:hAnsi="Calibri"/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172391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172391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172391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172391"/>
    <w:pPr>
      <w:spacing w:before="240"/>
    </w:pPr>
  </w:style>
  <w:style w:type="paragraph" w:customStyle="1" w:styleId="Title4">
    <w:name w:val="Title 4"/>
    <w:basedOn w:val="Title3"/>
    <w:next w:val="Heading1"/>
    <w:rsid w:val="00172391"/>
    <w:rPr>
      <w:b/>
    </w:rPr>
  </w:style>
  <w:style w:type="paragraph" w:styleId="TOC2">
    <w:name w:val="toc 2"/>
    <w:basedOn w:val="TOC1"/>
    <w:rsid w:val="00172391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  <w:rPr>
      <w:rFonts w:ascii="Calibri" w:hAnsi="Calibri"/>
      <w:sz w:val="22"/>
    </w:rPr>
  </w:style>
  <w:style w:type="paragraph" w:styleId="TOC4">
    <w:name w:val="toc 4"/>
    <w:basedOn w:val="TOC3"/>
    <w:rsid w:val="00172391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rFonts w:ascii="Calibri" w:hAnsi="Calibri"/>
      <w:szCs w:val="20"/>
      <w:lang w:val="en-GB"/>
    </w:rPr>
  </w:style>
  <w:style w:type="paragraph" w:styleId="TOC5">
    <w:name w:val="toc 5"/>
    <w:basedOn w:val="TOC4"/>
    <w:rsid w:val="00172391"/>
  </w:style>
  <w:style w:type="paragraph" w:styleId="TOC6">
    <w:name w:val="toc 6"/>
    <w:basedOn w:val="TOC4"/>
    <w:rsid w:val="00172391"/>
  </w:style>
  <w:style w:type="character" w:customStyle="1" w:styleId="Appdef">
    <w:name w:val="App_def"/>
    <w:rsid w:val="00172391"/>
    <w:rPr>
      <w:rFonts w:ascii="Calibri" w:hAnsi="Calibri"/>
      <w:b/>
      <w:sz w:val="28"/>
    </w:rPr>
  </w:style>
  <w:style w:type="character" w:customStyle="1" w:styleId="Appref">
    <w:name w:val="App_ref"/>
    <w:rsid w:val="00172391"/>
    <w:rPr>
      <w:rFonts w:ascii="Calibri" w:hAnsi="Calibri"/>
      <w:sz w:val="28"/>
    </w:rPr>
  </w:style>
  <w:style w:type="character" w:customStyle="1" w:styleId="Artdef">
    <w:name w:val="Art_def"/>
    <w:rsid w:val="00172391"/>
    <w:rPr>
      <w:rFonts w:ascii="Calibri" w:hAnsi="Calibri"/>
      <w:b/>
    </w:rPr>
  </w:style>
  <w:style w:type="character" w:customStyle="1" w:styleId="Artref">
    <w:name w:val="Art_ref"/>
    <w:basedOn w:val="DefaultParagraphFont"/>
    <w:rsid w:val="00172391"/>
  </w:style>
  <w:style w:type="character" w:customStyle="1" w:styleId="Recdef">
    <w:name w:val="Rec_def"/>
    <w:rsid w:val="00172391"/>
    <w:rPr>
      <w:rFonts w:ascii="Calibri" w:hAnsi="Calibri"/>
      <w:b/>
      <w:sz w:val="22"/>
    </w:rPr>
  </w:style>
  <w:style w:type="character" w:customStyle="1" w:styleId="Resdef">
    <w:name w:val="Res_def"/>
    <w:rsid w:val="00172391"/>
    <w:rPr>
      <w:rFonts w:ascii="Calibri" w:hAnsi="Calibri"/>
      <w:b/>
      <w:sz w:val="22"/>
    </w:rPr>
  </w:style>
  <w:style w:type="character" w:customStyle="1" w:styleId="Tablefreq">
    <w:name w:val="Table_freq"/>
    <w:rsid w:val="00172391"/>
    <w:rPr>
      <w:b/>
      <w:color w:val="auto"/>
      <w:sz w:val="20"/>
    </w:rPr>
  </w:style>
  <w:style w:type="paragraph" w:customStyle="1" w:styleId="Formal">
    <w:name w:val="Formal"/>
    <w:basedOn w:val="ASN1"/>
    <w:rsid w:val="00172391"/>
    <w:rPr>
      <w:b w:val="0"/>
    </w:rPr>
  </w:style>
  <w:style w:type="paragraph" w:customStyle="1" w:styleId="Section1">
    <w:name w:val="Section_1"/>
    <w:basedOn w:val="Normal"/>
    <w:rsid w:val="00172391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Section2">
    <w:name w:val="Section_2"/>
    <w:basedOn w:val="Section1"/>
    <w:rsid w:val="00172391"/>
    <w:rPr>
      <w:b w:val="0"/>
      <w:i/>
    </w:rPr>
  </w:style>
  <w:style w:type="paragraph" w:customStyle="1" w:styleId="Headingi">
    <w:name w:val="Heading_i"/>
    <w:basedOn w:val="Normal"/>
    <w:next w:val="Normal"/>
    <w:rsid w:val="00172391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="Calibri" w:hAnsi="Calibri"/>
      <w:i/>
      <w:szCs w:val="20"/>
      <w:lang w:val="en-GB"/>
    </w:rPr>
  </w:style>
  <w:style w:type="paragraph" w:customStyle="1" w:styleId="Headingb">
    <w:name w:val="Heading_b"/>
    <w:basedOn w:val="Normal"/>
    <w:next w:val="Normal"/>
    <w:rsid w:val="00172391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Figure">
    <w:name w:val="Figure"/>
    <w:basedOn w:val="Normal"/>
    <w:next w:val="Figuretitle"/>
    <w:rsid w:val="0017239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172391"/>
    <w:pPr>
      <w:spacing w:after="480"/>
    </w:pPr>
  </w:style>
  <w:style w:type="paragraph" w:customStyle="1" w:styleId="FigureNo">
    <w:name w:val="Figure_No"/>
    <w:basedOn w:val="Normal"/>
    <w:next w:val="Figuretitle"/>
    <w:rsid w:val="00172391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172391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Annextitle0">
    <w:name w:val="Annex_title"/>
    <w:basedOn w:val="Normal"/>
    <w:next w:val="Normal"/>
    <w:link w:val="AnnextitleChar"/>
    <w:rsid w:val="00172391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172391"/>
    <w:rPr>
      <w:rFonts w:ascii="Calibri" w:hAnsi="Calibri"/>
      <w:caps w:val="0"/>
    </w:rPr>
  </w:style>
  <w:style w:type="paragraph" w:customStyle="1" w:styleId="Appendixref">
    <w:name w:val="Appendix_ref"/>
    <w:basedOn w:val="Annexref"/>
    <w:next w:val="Annextitle0"/>
    <w:rsid w:val="00172391"/>
  </w:style>
  <w:style w:type="paragraph" w:customStyle="1" w:styleId="Appendixtitle">
    <w:name w:val="Appendix_title"/>
    <w:basedOn w:val="Annextitle0"/>
    <w:next w:val="Normal"/>
    <w:rsid w:val="00172391"/>
  </w:style>
  <w:style w:type="paragraph" w:customStyle="1" w:styleId="Border">
    <w:name w:val="Border"/>
    <w:basedOn w:val="Tabletext0"/>
    <w:rsid w:val="00172391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22"/>
    </w:rPr>
  </w:style>
  <w:style w:type="paragraph" w:styleId="NormalIndent">
    <w:name w:val="Normal Indent"/>
    <w:basedOn w:val="Normal"/>
    <w:rsid w:val="00172391"/>
    <w:pPr>
      <w:overflowPunct w:val="0"/>
      <w:autoSpaceDE w:val="0"/>
      <w:autoSpaceDN w:val="0"/>
      <w:adjustRightInd w:val="0"/>
      <w:ind w:left="1134"/>
      <w:textAlignment w:val="baseline"/>
    </w:pPr>
    <w:rPr>
      <w:rFonts w:ascii="Calibri" w:hAnsi="Calibri"/>
      <w:szCs w:val="20"/>
      <w:lang w:val="en-GB"/>
    </w:rPr>
  </w:style>
  <w:style w:type="paragraph" w:styleId="Index4">
    <w:name w:val="index 4"/>
    <w:basedOn w:val="Normal"/>
    <w:next w:val="Normal"/>
    <w:rsid w:val="00172391"/>
    <w:pPr>
      <w:overflowPunct w:val="0"/>
      <w:autoSpaceDE w:val="0"/>
      <w:autoSpaceDN w:val="0"/>
      <w:adjustRightInd w:val="0"/>
      <w:ind w:left="849"/>
      <w:textAlignment w:val="baseline"/>
    </w:pPr>
    <w:rPr>
      <w:rFonts w:ascii="Calibri" w:hAnsi="Calibri"/>
      <w:szCs w:val="20"/>
      <w:lang w:val="en-GB"/>
    </w:rPr>
  </w:style>
  <w:style w:type="paragraph" w:styleId="Index5">
    <w:name w:val="index 5"/>
    <w:basedOn w:val="Normal"/>
    <w:next w:val="Normal"/>
    <w:rsid w:val="00172391"/>
    <w:pPr>
      <w:overflowPunct w:val="0"/>
      <w:autoSpaceDE w:val="0"/>
      <w:autoSpaceDN w:val="0"/>
      <w:adjustRightInd w:val="0"/>
      <w:ind w:left="1132"/>
      <w:textAlignment w:val="baseline"/>
    </w:pPr>
    <w:rPr>
      <w:rFonts w:ascii="Calibri" w:hAnsi="Calibri"/>
      <w:szCs w:val="20"/>
      <w:lang w:val="en-GB"/>
    </w:rPr>
  </w:style>
  <w:style w:type="paragraph" w:styleId="Index6">
    <w:name w:val="index 6"/>
    <w:basedOn w:val="Normal"/>
    <w:next w:val="Normal"/>
    <w:rsid w:val="00172391"/>
    <w:pPr>
      <w:overflowPunct w:val="0"/>
      <w:autoSpaceDE w:val="0"/>
      <w:autoSpaceDN w:val="0"/>
      <w:adjustRightInd w:val="0"/>
      <w:ind w:left="1415"/>
      <w:textAlignment w:val="baseline"/>
    </w:pPr>
    <w:rPr>
      <w:rFonts w:ascii="Calibri" w:hAnsi="Calibri"/>
      <w:szCs w:val="20"/>
      <w:lang w:val="en-GB"/>
    </w:rPr>
  </w:style>
  <w:style w:type="paragraph" w:styleId="Index7">
    <w:name w:val="index 7"/>
    <w:basedOn w:val="Normal"/>
    <w:next w:val="Normal"/>
    <w:rsid w:val="00172391"/>
    <w:pPr>
      <w:overflowPunct w:val="0"/>
      <w:autoSpaceDE w:val="0"/>
      <w:autoSpaceDN w:val="0"/>
      <w:adjustRightInd w:val="0"/>
      <w:ind w:left="1698"/>
      <w:textAlignment w:val="baseline"/>
    </w:pPr>
    <w:rPr>
      <w:rFonts w:ascii="Calibri" w:hAnsi="Calibri"/>
      <w:szCs w:val="20"/>
      <w:lang w:val="en-GB"/>
    </w:rPr>
  </w:style>
  <w:style w:type="paragraph" w:styleId="IndexHeading">
    <w:name w:val="index heading"/>
    <w:basedOn w:val="Normal"/>
    <w:next w:val="Index1"/>
    <w:rsid w:val="00172391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GB"/>
    </w:rPr>
  </w:style>
  <w:style w:type="character" w:styleId="LineNumber">
    <w:name w:val="line number"/>
    <w:basedOn w:val="DefaultParagraphFont"/>
    <w:rsid w:val="00172391"/>
  </w:style>
  <w:style w:type="paragraph" w:customStyle="1" w:styleId="Proposal">
    <w:name w:val="Proposal"/>
    <w:basedOn w:val="Normal"/>
    <w:next w:val="Normal"/>
    <w:rsid w:val="00172391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ascii="Calibri" w:hAnsi="Times New Roman Bold"/>
      <w:szCs w:val="20"/>
      <w:lang w:val="en-GB"/>
    </w:rPr>
  </w:style>
  <w:style w:type="paragraph" w:customStyle="1" w:styleId="Reasons">
    <w:name w:val="Reasons"/>
    <w:basedOn w:val="Normal"/>
    <w:qFormat/>
    <w:rsid w:val="00172391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GB"/>
    </w:rPr>
  </w:style>
  <w:style w:type="paragraph" w:customStyle="1" w:styleId="Section3">
    <w:name w:val="Section_3"/>
    <w:basedOn w:val="Section1"/>
    <w:rsid w:val="00172391"/>
    <w:rPr>
      <w:b w:val="0"/>
    </w:rPr>
  </w:style>
  <w:style w:type="paragraph" w:customStyle="1" w:styleId="TableTextS5">
    <w:name w:val="Table_TextS5"/>
    <w:basedOn w:val="Normal"/>
    <w:rsid w:val="00172391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hAnsi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172391"/>
    <w:pPr>
      <w:overflowPunct w:val="0"/>
      <w:autoSpaceDE w:val="0"/>
      <w:autoSpaceDN w:val="0"/>
      <w:adjustRightInd w:val="0"/>
      <w:spacing w:before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17239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172391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rFonts w:ascii="Calibri" w:hAnsi="Calibri"/>
      <w:szCs w:val="20"/>
      <w:lang w:val="en-GB"/>
    </w:rPr>
  </w:style>
  <w:style w:type="character" w:customStyle="1" w:styleId="BodyText2Char">
    <w:name w:val="Body Text 2 Char"/>
    <w:link w:val="BodyText2"/>
    <w:rsid w:val="00172391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172391"/>
    <w:pPr>
      <w:spacing w:before="1701"/>
      <w:ind w:right="91"/>
    </w:pPr>
    <w:rPr>
      <w:rFonts w:ascii="Calibri" w:hAnsi="Calibri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172391"/>
    <w:rPr>
      <w:rFonts w:ascii="Calibri" w:hAnsi="Calibri"/>
      <w:sz w:val="22"/>
      <w:lang w:val="en-GB" w:eastAsia="en-US"/>
    </w:rPr>
  </w:style>
  <w:style w:type="character" w:styleId="FollowedHyperlink">
    <w:name w:val="FollowedHyperlink"/>
    <w:rsid w:val="00172391"/>
    <w:rPr>
      <w:color w:val="800080"/>
      <w:u w:val="single"/>
    </w:rPr>
  </w:style>
  <w:style w:type="table" w:customStyle="1" w:styleId="TableGridLight1">
    <w:name w:val="Table Grid Light1"/>
    <w:basedOn w:val="TableNormal"/>
    <w:rsid w:val="00172391"/>
    <w:rPr>
      <w:rFonts w:ascii="CG Times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1723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2391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72391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2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2391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172391"/>
  </w:style>
  <w:style w:type="character" w:customStyle="1" w:styleId="eop">
    <w:name w:val="eop"/>
    <w:basedOn w:val="DefaultParagraphFont"/>
    <w:rsid w:val="00172391"/>
  </w:style>
  <w:style w:type="paragraph" w:customStyle="1" w:styleId="paragraph">
    <w:name w:val="paragraph"/>
    <w:basedOn w:val="Normal"/>
    <w:rsid w:val="00172391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Revision">
    <w:name w:val="Revision"/>
    <w:hidden/>
    <w:rsid w:val="00172391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3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391"/>
    <w:pPr>
      <w:tabs>
        <w:tab w:val="clear" w:pos="794"/>
        <w:tab w:val="clear" w:pos="1191"/>
        <w:tab w:val="clear" w:pos="1588"/>
        <w:tab w:val="clear" w:pos="1985"/>
      </w:tabs>
      <w:spacing w:before="0" w:after="160" w:line="259" w:lineRule="auto"/>
      <w:ind w:left="720"/>
      <w:contextualSpacing/>
    </w:pPr>
    <w:rPr>
      <w:rFonts w:eastAsiaTheme="minorHAnsi" w:cstheme="minorBidi"/>
      <w:szCs w:val="22"/>
      <w:lang w:val="en-GB"/>
    </w:rPr>
  </w:style>
  <w:style w:type="paragraph" w:styleId="EndnoteText">
    <w:name w:val="endnote text"/>
    <w:basedOn w:val="Normal"/>
    <w:link w:val="EndnoteTextChar"/>
    <w:rsid w:val="00172391"/>
    <w:pPr>
      <w:overflowPunct w:val="0"/>
      <w:autoSpaceDE w:val="0"/>
      <w:autoSpaceDN w:val="0"/>
      <w:adjustRightInd w:val="0"/>
      <w:spacing w:before="0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172391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172391"/>
    <w:rPr>
      <w:color w:val="2B579A"/>
      <w:shd w:val="clear" w:color="auto" w:fill="E1DFDD"/>
    </w:rPr>
  </w:style>
  <w:style w:type="paragraph" w:customStyle="1" w:styleId="Questionhistory">
    <w:name w:val="Question_history"/>
    <w:basedOn w:val="Normal"/>
    <w:rsid w:val="00172391"/>
    <w:pPr>
      <w:tabs>
        <w:tab w:val="clear" w:pos="794"/>
        <w:tab w:val="clear" w:pos="1191"/>
        <w:tab w:val="clear" w:pos="1588"/>
        <w:tab w:val="clear" w:pos="1985"/>
      </w:tabs>
    </w:pPr>
    <w:rPr>
      <w:rFonts w:ascii="Calibri" w:eastAsiaTheme="minorHAnsi" w:hAnsi="Calibri"/>
      <w:sz w:val="24"/>
      <w:lang w:val="en-GB" w:eastAsia="ja-JP"/>
    </w:rPr>
  </w:style>
  <w:style w:type="character" w:customStyle="1" w:styleId="TitleChar">
    <w:name w:val="Title Char"/>
    <w:basedOn w:val="DefaultParagraphFont"/>
    <w:link w:val="Title"/>
    <w:rsid w:val="00172391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72391"/>
    <w:rPr>
      <w:rFonts w:asciiTheme="minorHAnsi" w:hAnsiTheme="minorHAnsi"/>
      <w:sz w:val="22"/>
      <w:szCs w:val="24"/>
      <w:lang w:val="ru-RU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172391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qFormat/>
    <w:rsid w:val="00F9463A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172391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172391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172391"/>
  </w:style>
  <w:style w:type="character" w:customStyle="1" w:styleId="RestitleChar">
    <w:name w:val="Res_title Char"/>
    <w:basedOn w:val="DefaultParagraphFont"/>
    <w:link w:val="Restitle"/>
    <w:rsid w:val="00172391"/>
    <w:rPr>
      <w:rFonts w:ascii="Calibri" w:hAnsi="Calibri"/>
      <w:b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172391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172391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172391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17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172391"/>
    <w:pPr>
      <w:tabs>
        <w:tab w:val="num" w:pos="360"/>
      </w:tabs>
      <w:ind w:left="360" w:hanging="360"/>
      <w:contextualSpacing/>
    </w:pPr>
    <w:rPr>
      <w:rFonts w:ascii="Calibri" w:hAnsi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3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239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7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7@itu.int" TargetMode="External"/><Relationship Id="rId13" Type="http://schemas.openxmlformats.org/officeDocument/2006/relationships/hyperlink" Target="https://www.itu.int/ITU-T/workprog/wp_search.aspx?sp=18&amp;q=7/1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tu.int/ITU-T/workprog/wp_search.aspx?sp=18&amp;q=7/1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ITU-T/workprog/wp_search.aspx?sp=18&amp;q=16/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itu.int/ITU-T/workprog/wp_search.aspx?sp=18&amp;q=10/17" TargetMode="External"/><Relationship Id="rId10" Type="http://schemas.openxmlformats.org/officeDocument/2006/relationships/hyperlink" Target="https://www.itu.int/md/T25-TSB-CIR-0101/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T25-TSB-CIR-0101/en" TargetMode="External"/><Relationship Id="rId14" Type="http://schemas.openxmlformats.org/officeDocument/2006/relationships/hyperlink" Target="https://www.itu.int/ITU-T/workprog/wp_search.aspx?sp=18&amp;q=10/1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100</TotalTime>
  <Pages>18</Pages>
  <Words>5697</Words>
  <Characters>41481</Characters>
  <Application>Microsoft Office Word</Application>
  <DocSecurity>0</DocSecurity>
  <Lines>768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46824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Braud, Olivia</cp:lastModifiedBy>
  <cp:revision>13</cp:revision>
  <cp:lastPrinted>2026-05-20T07:25:00Z</cp:lastPrinted>
  <dcterms:created xsi:type="dcterms:W3CDTF">2026-05-19T12:36:00Z</dcterms:created>
  <dcterms:modified xsi:type="dcterms:W3CDTF">2026-05-20T07:26:00Z</dcterms:modified>
</cp:coreProperties>
</file>