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05"/>
        <w:tblW w:w="0" w:type="auto"/>
        <w:tblCellMar>
          <w:left w:w="0" w:type="dxa"/>
          <w:right w:w="0" w:type="dxa"/>
        </w:tblCellMar>
        <w:tblLook w:val="0000" w:firstRow="0" w:lastRow="0" w:firstColumn="0" w:lastColumn="0" w:noHBand="0" w:noVBand="0"/>
      </w:tblPr>
      <w:tblGrid>
        <w:gridCol w:w="1279"/>
        <w:gridCol w:w="3280"/>
        <w:gridCol w:w="5170"/>
      </w:tblGrid>
      <w:tr w:rsidR="00EF6A23" w:rsidRPr="00B60868" w14:paraId="3FDAE1F3" w14:textId="77777777" w:rsidTr="001C6FB3">
        <w:trPr>
          <w:cantSplit/>
        </w:trPr>
        <w:tc>
          <w:tcPr>
            <w:tcW w:w="0" w:type="auto"/>
            <w:vAlign w:val="center"/>
          </w:tcPr>
          <w:p w14:paraId="3DE42CAA" w14:textId="77777777" w:rsidR="00EF6A23" w:rsidRPr="00B60868" w:rsidRDefault="00EF6A23" w:rsidP="001C6FB3">
            <w:pPr>
              <w:tabs>
                <w:tab w:val="right" w:pos="8732"/>
              </w:tabs>
              <w:spacing w:before="0"/>
              <w:rPr>
                <w:b/>
                <w:bCs/>
                <w:iCs/>
                <w:color w:val="FFFFFF"/>
                <w:sz w:val="30"/>
                <w:szCs w:val="30"/>
              </w:rPr>
            </w:pPr>
            <w:r w:rsidRPr="00B60868">
              <w:rPr>
                <w:noProof/>
                <w:lang w:eastAsia="zh-CN"/>
              </w:rPr>
              <w:drawing>
                <wp:inline distT="0" distB="0" distL="0" distR="0" wp14:anchorId="05764050" wp14:editId="248DEEAB">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0" w:type="auto"/>
            <w:gridSpan w:val="2"/>
            <w:vAlign w:val="center"/>
          </w:tcPr>
          <w:p w14:paraId="75924CEF" w14:textId="77777777" w:rsidR="00EF6A23" w:rsidRPr="00B60868" w:rsidRDefault="00EF6A23" w:rsidP="001C6FB3">
            <w:pPr>
              <w:spacing w:before="0"/>
              <w:rPr>
                <w:rFonts w:cs="Times New Roman Bold"/>
                <w:b/>
                <w:bCs/>
                <w:iCs/>
                <w:smallCaps/>
                <w:sz w:val="34"/>
                <w:szCs w:val="34"/>
              </w:rPr>
            </w:pPr>
            <w:r w:rsidRPr="00B60868">
              <w:rPr>
                <w:rFonts w:cs="Times New Roman Bold"/>
                <w:b/>
                <w:bCs/>
                <w:iCs/>
                <w:smallCaps/>
                <w:sz w:val="34"/>
                <w:szCs w:val="34"/>
              </w:rPr>
              <w:t>Union internationale des télécommunications</w:t>
            </w:r>
          </w:p>
          <w:p w14:paraId="089E66D0" w14:textId="77777777" w:rsidR="00EF6A23" w:rsidRPr="00B60868" w:rsidRDefault="00EF6A23" w:rsidP="001C6FB3">
            <w:pPr>
              <w:spacing w:before="0"/>
              <w:rPr>
                <w:color w:val="FFFFFF"/>
                <w:sz w:val="26"/>
                <w:szCs w:val="26"/>
              </w:rPr>
            </w:pPr>
            <w:r w:rsidRPr="00B60868">
              <w:rPr>
                <w:rFonts w:cs="Times New Roman Bold"/>
                <w:b/>
                <w:bCs/>
                <w:iCs/>
                <w:smallCaps/>
                <w:sz w:val="28"/>
                <w:szCs w:val="28"/>
              </w:rPr>
              <w:t>B</w:t>
            </w:r>
            <w:r w:rsidRPr="00B60868">
              <w:rPr>
                <w:b/>
                <w:bCs/>
                <w:iCs/>
                <w:smallCaps/>
                <w:sz w:val="28"/>
                <w:szCs w:val="28"/>
              </w:rPr>
              <w:t>ureau de la Normalisation des Télécommunications</w:t>
            </w:r>
          </w:p>
        </w:tc>
      </w:tr>
      <w:tr w:rsidR="00036F4F" w:rsidRPr="001C6FB3" w14:paraId="18B25741" w14:textId="77777777" w:rsidTr="001C6FB3">
        <w:trPr>
          <w:cantSplit/>
        </w:trPr>
        <w:tc>
          <w:tcPr>
            <w:tcW w:w="0" w:type="auto"/>
          </w:tcPr>
          <w:p w14:paraId="4B1AFD72" w14:textId="77777777" w:rsidR="00036F4F" w:rsidRPr="001C6FB3" w:rsidRDefault="00036F4F" w:rsidP="001C6FB3">
            <w:pPr>
              <w:tabs>
                <w:tab w:val="left" w:pos="4111"/>
              </w:tabs>
              <w:spacing w:before="10"/>
              <w:ind w:left="57"/>
              <w:rPr>
                <w:rFonts w:cstheme="minorHAnsi"/>
                <w:sz w:val="22"/>
                <w:szCs w:val="22"/>
              </w:rPr>
            </w:pPr>
          </w:p>
        </w:tc>
        <w:tc>
          <w:tcPr>
            <w:tcW w:w="3297" w:type="dxa"/>
          </w:tcPr>
          <w:p w14:paraId="6579D3E8" w14:textId="77777777" w:rsidR="00036F4F" w:rsidRPr="001C6FB3" w:rsidRDefault="00036F4F" w:rsidP="001C6FB3">
            <w:pPr>
              <w:tabs>
                <w:tab w:val="left" w:pos="4111"/>
              </w:tabs>
              <w:spacing w:before="10"/>
              <w:ind w:left="57"/>
              <w:rPr>
                <w:rFonts w:cstheme="minorHAnsi"/>
                <w:b/>
                <w:sz w:val="22"/>
                <w:szCs w:val="22"/>
              </w:rPr>
            </w:pPr>
          </w:p>
        </w:tc>
        <w:tc>
          <w:tcPr>
            <w:tcW w:w="5153" w:type="dxa"/>
          </w:tcPr>
          <w:p w14:paraId="0DC34ECA" w14:textId="59FD262E" w:rsidR="00036F4F" w:rsidRPr="001C6FB3" w:rsidRDefault="00036F4F" w:rsidP="001C6FB3">
            <w:pPr>
              <w:tabs>
                <w:tab w:val="clear" w:pos="794"/>
                <w:tab w:val="clear" w:pos="1191"/>
                <w:tab w:val="clear" w:pos="1588"/>
                <w:tab w:val="clear" w:pos="1985"/>
                <w:tab w:val="left" w:pos="284"/>
              </w:tabs>
              <w:spacing w:after="120"/>
              <w:ind w:left="284" w:hanging="227"/>
              <w:rPr>
                <w:rFonts w:cstheme="minorHAnsi"/>
                <w:sz w:val="22"/>
                <w:szCs w:val="22"/>
              </w:rPr>
            </w:pPr>
            <w:r w:rsidRPr="001C6FB3">
              <w:rPr>
                <w:rFonts w:cstheme="minorHAnsi"/>
                <w:sz w:val="22"/>
                <w:szCs w:val="22"/>
              </w:rPr>
              <w:t>Genève, le</w:t>
            </w:r>
            <w:r w:rsidR="004419E9" w:rsidRPr="001C6FB3">
              <w:rPr>
                <w:rFonts w:cstheme="minorHAnsi"/>
                <w:sz w:val="22"/>
                <w:szCs w:val="22"/>
              </w:rPr>
              <w:t xml:space="preserve"> </w:t>
            </w:r>
            <w:r w:rsidR="00782616" w:rsidRPr="001C6FB3">
              <w:rPr>
                <w:rFonts w:cstheme="minorHAnsi"/>
                <w:sz w:val="22"/>
                <w:szCs w:val="22"/>
              </w:rPr>
              <w:t>27 April 2026</w:t>
            </w:r>
          </w:p>
        </w:tc>
      </w:tr>
      <w:tr w:rsidR="00445B68" w:rsidRPr="001C6FB3" w14:paraId="16CDDFEF" w14:textId="77777777" w:rsidTr="001C6FB3">
        <w:trPr>
          <w:cantSplit/>
          <w:trHeight w:val="340"/>
        </w:trPr>
        <w:tc>
          <w:tcPr>
            <w:tcW w:w="0" w:type="auto"/>
          </w:tcPr>
          <w:p w14:paraId="3EFF375D" w14:textId="58556577" w:rsidR="00445B68" w:rsidRPr="001C6FB3" w:rsidRDefault="00445B68" w:rsidP="001C6FB3">
            <w:pPr>
              <w:tabs>
                <w:tab w:val="left" w:pos="4111"/>
              </w:tabs>
              <w:spacing w:before="10"/>
              <w:rPr>
                <w:rFonts w:cstheme="minorHAnsi"/>
                <w:b/>
                <w:bCs/>
                <w:sz w:val="22"/>
                <w:szCs w:val="22"/>
              </w:rPr>
            </w:pPr>
            <w:proofErr w:type="gramStart"/>
            <w:r w:rsidRPr="001C6FB3">
              <w:rPr>
                <w:rFonts w:cstheme="minorHAnsi"/>
                <w:b/>
                <w:bCs/>
                <w:sz w:val="22"/>
                <w:szCs w:val="22"/>
              </w:rPr>
              <w:t>Réf.:</w:t>
            </w:r>
            <w:proofErr w:type="gramEnd"/>
          </w:p>
        </w:tc>
        <w:tc>
          <w:tcPr>
            <w:tcW w:w="3297" w:type="dxa"/>
          </w:tcPr>
          <w:p w14:paraId="5FFBBC9B" w14:textId="13226219" w:rsidR="00445B68" w:rsidRPr="001C6FB3" w:rsidRDefault="00445B68" w:rsidP="001C6FB3">
            <w:pPr>
              <w:tabs>
                <w:tab w:val="left" w:pos="4111"/>
              </w:tabs>
              <w:spacing w:before="10"/>
              <w:ind w:left="57"/>
              <w:rPr>
                <w:rFonts w:cstheme="minorHAnsi"/>
                <w:b/>
                <w:sz w:val="22"/>
                <w:szCs w:val="22"/>
              </w:rPr>
            </w:pPr>
            <w:r w:rsidRPr="001C6FB3">
              <w:rPr>
                <w:rFonts w:cstheme="minorHAnsi"/>
                <w:b/>
                <w:sz w:val="22"/>
                <w:szCs w:val="22"/>
              </w:rPr>
              <w:t xml:space="preserve">Circulaire TSB </w:t>
            </w:r>
            <w:r w:rsidR="00782616" w:rsidRPr="001C6FB3">
              <w:rPr>
                <w:rFonts w:cstheme="minorHAnsi"/>
                <w:b/>
                <w:sz w:val="22"/>
                <w:szCs w:val="22"/>
              </w:rPr>
              <w:t>133</w:t>
            </w:r>
          </w:p>
          <w:p w14:paraId="577F6DA2" w14:textId="64E40378" w:rsidR="00445B68" w:rsidRPr="001C6FB3" w:rsidRDefault="00782616" w:rsidP="001C6FB3">
            <w:pPr>
              <w:tabs>
                <w:tab w:val="left" w:pos="4111"/>
              </w:tabs>
              <w:spacing w:before="10"/>
              <w:ind w:left="57"/>
              <w:rPr>
                <w:rFonts w:cstheme="minorHAnsi"/>
                <w:b/>
                <w:bCs/>
                <w:sz w:val="22"/>
                <w:szCs w:val="22"/>
              </w:rPr>
            </w:pPr>
            <w:r w:rsidRPr="001C6FB3">
              <w:rPr>
                <w:rFonts w:cstheme="minorHAnsi"/>
                <w:b/>
                <w:bCs/>
                <w:sz w:val="22"/>
                <w:szCs w:val="22"/>
              </w:rPr>
              <w:t>CE 17/XY</w:t>
            </w:r>
          </w:p>
        </w:tc>
        <w:tc>
          <w:tcPr>
            <w:tcW w:w="5153" w:type="dxa"/>
            <w:vMerge w:val="restart"/>
          </w:tcPr>
          <w:p w14:paraId="35271D8E" w14:textId="212D806B" w:rsidR="00307FB4" w:rsidRPr="001C6FB3" w:rsidRDefault="00307FB4" w:rsidP="001C6FB3">
            <w:pPr>
              <w:tabs>
                <w:tab w:val="left" w:pos="4111"/>
              </w:tabs>
              <w:spacing w:before="0" w:after="20"/>
              <w:ind w:left="426" w:hanging="426"/>
              <w:rPr>
                <w:rFonts w:cstheme="minorHAnsi"/>
                <w:sz w:val="22"/>
                <w:szCs w:val="22"/>
              </w:rPr>
            </w:pPr>
            <w:bookmarkStart w:id="0" w:name="Addressee_F"/>
            <w:bookmarkEnd w:id="0"/>
            <w:r w:rsidRPr="001C6FB3">
              <w:rPr>
                <w:rFonts w:cstheme="minorHAnsi"/>
                <w:sz w:val="22"/>
                <w:szCs w:val="22"/>
              </w:rPr>
              <w:t>–</w:t>
            </w:r>
            <w:r w:rsidRPr="001C6FB3">
              <w:rPr>
                <w:rFonts w:cstheme="minorHAnsi"/>
                <w:sz w:val="22"/>
                <w:szCs w:val="22"/>
              </w:rPr>
              <w:tab/>
            </w:r>
            <w:r w:rsidR="00782616" w:rsidRPr="001C6FB3">
              <w:rPr>
                <w:rFonts w:cstheme="minorHAnsi"/>
                <w:sz w:val="22"/>
                <w:szCs w:val="22"/>
              </w:rPr>
              <w:t xml:space="preserve">Aux Administrations des États Membres de </w:t>
            </w:r>
            <w:proofErr w:type="gramStart"/>
            <w:r w:rsidR="00782616" w:rsidRPr="001C6FB3">
              <w:rPr>
                <w:rFonts w:cstheme="minorHAnsi"/>
                <w:sz w:val="22"/>
                <w:szCs w:val="22"/>
              </w:rPr>
              <w:t>l'Union;</w:t>
            </w:r>
            <w:proofErr w:type="gramEnd"/>
          </w:p>
          <w:p w14:paraId="730B9E89" w14:textId="77777777" w:rsidR="00445B68" w:rsidRPr="001C6FB3" w:rsidRDefault="00307FB4" w:rsidP="001C6FB3">
            <w:pPr>
              <w:tabs>
                <w:tab w:val="left" w:pos="4111"/>
              </w:tabs>
              <w:spacing w:before="0" w:after="20"/>
              <w:ind w:left="426" w:hanging="426"/>
              <w:rPr>
                <w:rFonts w:cstheme="minorHAnsi"/>
                <w:sz w:val="22"/>
                <w:szCs w:val="22"/>
              </w:rPr>
            </w:pPr>
            <w:r w:rsidRPr="001C6FB3">
              <w:rPr>
                <w:rFonts w:cstheme="minorHAnsi"/>
                <w:sz w:val="22"/>
                <w:szCs w:val="22"/>
              </w:rPr>
              <w:t>–</w:t>
            </w:r>
            <w:r w:rsidRPr="001C6FB3">
              <w:rPr>
                <w:rFonts w:cstheme="minorHAnsi"/>
                <w:sz w:val="22"/>
                <w:szCs w:val="22"/>
              </w:rPr>
              <w:tab/>
            </w:r>
            <w:r w:rsidR="00782616" w:rsidRPr="001C6FB3">
              <w:rPr>
                <w:rFonts w:cstheme="minorHAnsi"/>
                <w:sz w:val="22"/>
                <w:szCs w:val="22"/>
              </w:rPr>
              <w:t>À l'État de Palestine (Rés. 99 (Rév. Dubaï, 2018))</w:t>
            </w:r>
          </w:p>
          <w:p w14:paraId="1FCDF4A5" w14:textId="77777777" w:rsidR="0086626C" w:rsidRPr="001C6FB3" w:rsidRDefault="0086626C" w:rsidP="001C6FB3">
            <w:pPr>
              <w:tabs>
                <w:tab w:val="clear" w:pos="794"/>
                <w:tab w:val="left" w:pos="226"/>
                <w:tab w:val="left" w:pos="4111"/>
              </w:tabs>
              <w:spacing w:before="0" w:after="20"/>
              <w:ind w:left="226" w:hanging="226"/>
              <w:rPr>
                <w:rFonts w:cstheme="minorHAnsi"/>
                <w:b/>
                <w:bCs/>
                <w:sz w:val="22"/>
                <w:szCs w:val="22"/>
              </w:rPr>
            </w:pPr>
            <w:proofErr w:type="gramStart"/>
            <w:r w:rsidRPr="001C6FB3">
              <w:rPr>
                <w:rFonts w:cstheme="minorHAnsi"/>
                <w:b/>
                <w:bCs/>
                <w:sz w:val="22"/>
                <w:szCs w:val="22"/>
              </w:rPr>
              <w:t>Copie:</w:t>
            </w:r>
            <w:proofErr w:type="gramEnd"/>
          </w:p>
          <w:p w14:paraId="3B2F0F9F" w14:textId="77777777" w:rsidR="0086626C" w:rsidRPr="001C6FB3" w:rsidRDefault="0086626C" w:rsidP="001C6FB3">
            <w:pPr>
              <w:tabs>
                <w:tab w:val="clear" w:pos="794"/>
                <w:tab w:val="left" w:pos="4111"/>
              </w:tabs>
              <w:spacing w:before="0" w:after="20"/>
              <w:ind w:left="426" w:hanging="426"/>
              <w:rPr>
                <w:rFonts w:cstheme="minorHAnsi"/>
                <w:sz w:val="22"/>
                <w:szCs w:val="22"/>
              </w:rPr>
            </w:pPr>
            <w:r w:rsidRPr="001C6FB3">
              <w:rPr>
                <w:rFonts w:cstheme="minorHAnsi"/>
                <w:sz w:val="22"/>
                <w:szCs w:val="22"/>
              </w:rPr>
              <w:t>–</w:t>
            </w:r>
            <w:r w:rsidRPr="001C6FB3">
              <w:rPr>
                <w:rFonts w:cstheme="minorHAnsi"/>
                <w:sz w:val="22"/>
                <w:szCs w:val="22"/>
              </w:rPr>
              <w:tab/>
              <w:t>Aux Membres du Secteur UIT-</w:t>
            </w:r>
            <w:proofErr w:type="gramStart"/>
            <w:r w:rsidRPr="001C6FB3">
              <w:rPr>
                <w:rFonts w:cstheme="minorHAnsi"/>
                <w:sz w:val="22"/>
                <w:szCs w:val="22"/>
              </w:rPr>
              <w:t>T;</w:t>
            </w:r>
            <w:proofErr w:type="gramEnd"/>
          </w:p>
          <w:p w14:paraId="17770AA6" w14:textId="77777777" w:rsidR="0086626C" w:rsidRPr="001C6FB3" w:rsidRDefault="0086626C" w:rsidP="001C6FB3">
            <w:pPr>
              <w:tabs>
                <w:tab w:val="clear" w:pos="794"/>
                <w:tab w:val="left" w:pos="4111"/>
              </w:tabs>
              <w:spacing w:before="0" w:after="20"/>
              <w:ind w:left="426" w:hanging="426"/>
              <w:rPr>
                <w:rFonts w:cstheme="minorHAnsi"/>
                <w:sz w:val="22"/>
                <w:szCs w:val="22"/>
              </w:rPr>
            </w:pPr>
            <w:r w:rsidRPr="001C6FB3">
              <w:rPr>
                <w:rFonts w:cstheme="minorHAnsi"/>
                <w:sz w:val="22"/>
                <w:szCs w:val="22"/>
              </w:rPr>
              <w:t>–</w:t>
            </w:r>
            <w:r w:rsidRPr="001C6FB3">
              <w:rPr>
                <w:rFonts w:cstheme="minorHAnsi"/>
                <w:sz w:val="22"/>
                <w:szCs w:val="22"/>
              </w:rPr>
              <w:tab/>
              <w:t>Aux Associés participant aux travaux de la Commission d'études 17 de l'UIT-</w:t>
            </w:r>
            <w:proofErr w:type="gramStart"/>
            <w:r w:rsidRPr="001C6FB3">
              <w:rPr>
                <w:rFonts w:cstheme="minorHAnsi"/>
                <w:sz w:val="22"/>
                <w:szCs w:val="22"/>
              </w:rPr>
              <w:t>T;</w:t>
            </w:r>
            <w:proofErr w:type="gramEnd"/>
          </w:p>
          <w:p w14:paraId="4CE04B82" w14:textId="77777777" w:rsidR="0086626C" w:rsidRPr="001C6FB3" w:rsidRDefault="0086626C" w:rsidP="001C6FB3">
            <w:pPr>
              <w:tabs>
                <w:tab w:val="clear" w:pos="794"/>
                <w:tab w:val="left" w:pos="4111"/>
              </w:tabs>
              <w:spacing w:before="0" w:after="20"/>
              <w:ind w:left="426" w:hanging="426"/>
              <w:rPr>
                <w:rFonts w:cstheme="minorHAnsi"/>
                <w:sz w:val="22"/>
                <w:szCs w:val="22"/>
              </w:rPr>
            </w:pPr>
            <w:r w:rsidRPr="001C6FB3">
              <w:rPr>
                <w:rFonts w:cstheme="minorHAnsi"/>
                <w:sz w:val="22"/>
                <w:szCs w:val="22"/>
              </w:rPr>
              <w:t>–</w:t>
            </w:r>
            <w:r w:rsidRPr="001C6FB3">
              <w:rPr>
                <w:rFonts w:cstheme="minorHAnsi"/>
                <w:sz w:val="22"/>
                <w:szCs w:val="22"/>
              </w:rPr>
              <w:tab/>
              <w:t xml:space="preserve">Aux établissements universitaires participant aux travaux de </w:t>
            </w:r>
            <w:proofErr w:type="gramStart"/>
            <w:r w:rsidRPr="001C6FB3">
              <w:rPr>
                <w:rFonts w:cstheme="minorHAnsi"/>
                <w:sz w:val="22"/>
                <w:szCs w:val="22"/>
              </w:rPr>
              <w:t>l'UIT;</w:t>
            </w:r>
            <w:proofErr w:type="gramEnd"/>
          </w:p>
          <w:p w14:paraId="53BDA5D3" w14:textId="77777777" w:rsidR="0086626C" w:rsidRPr="001C6FB3" w:rsidRDefault="0086626C" w:rsidP="001C6FB3">
            <w:pPr>
              <w:tabs>
                <w:tab w:val="clear" w:pos="794"/>
                <w:tab w:val="left" w:pos="4111"/>
              </w:tabs>
              <w:spacing w:before="0" w:after="20"/>
              <w:ind w:left="426" w:hanging="426"/>
              <w:rPr>
                <w:rFonts w:cstheme="minorHAnsi"/>
                <w:sz w:val="22"/>
                <w:szCs w:val="22"/>
              </w:rPr>
            </w:pPr>
            <w:r w:rsidRPr="001C6FB3">
              <w:rPr>
                <w:rFonts w:cstheme="minorHAnsi"/>
                <w:sz w:val="22"/>
                <w:szCs w:val="22"/>
              </w:rPr>
              <w:t>–</w:t>
            </w:r>
            <w:r w:rsidRPr="001C6FB3">
              <w:rPr>
                <w:rFonts w:cstheme="minorHAnsi"/>
                <w:sz w:val="22"/>
                <w:szCs w:val="22"/>
              </w:rPr>
              <w:tab/>
              <w:t xml:space="preserve">Au Président et aux Vice-Présidents de la Commission d'études </w:t>
            </w:r>
            <w:proofErr w:type="gramStart"/>
            <w:r w:rsidRPr="001C6FB3">
              <w:rPr>
                <w:rFonts w:cstheme="minorHAnsi"/>
                <w:sz w:val="22"/>
                <w:szCs w:val="22"/>
              </w:rPr>
              <w:t>17;</w:t>
            </w:r>
            <w:proofErr w:type="gramEnd"/>
          </w:p>
          <w:p w14:paraId="2D8F6333" w14:textId="77777777" w:rsidR="0086626C" w:rsidRPr="001C6FB3" w:rsidRDefault="0086626C" w:rsidP="001C6FB3">
            <w:pPr>
              <w:tabs>
                <w:tab w:val="clear" w:pos="794"/>
                <w:tab w:val="left" w:pos="4111"/>
              </w:tabs>
              <w:spacing w:before="0" w:after="20"/>
              <w:ind w:left="426" w:hanging="426"/>
              <w:rPr>
                <w:rFonts w:cstheme="minorHAnsi"/>
                <w:sz w:val="22"/>
                <w:szCs w:val="22"/>
              </w:rPr>
            </w:pPr>
            <w:r w:rsidRPr="001C6FB3">
              <w:rPr>
                <w:rFonts w:cstheme="minorHAnsi"/>
                <w:sz w:val="22"/>
                <w:szCs w:val="22"/>
              </w:rPr>
              <w:t>–</w:t>
            </w:r>
            <w:r w:rsidRPr="001C6FB3">
              <w:rPr>
                <w:rFonts w:cstheme="minorHAnsi"/>
                <w:sz w:val="22"/>
                <w:szCs w:val="22"/>
              </w:rPr>
              <w:tab/>
              <w:t xml:space="preserve">Au Directeur du Bureau de développement des </w:t>
            </w:r>
            <w:proofErr w:type="gramStart"/>
            <w:r w:rsidRPr="001C6FB3">
              <w:rPr>
                <w:rFonts w:cstheme="minorHAnsi"/>
                <w:sz w:val="22"/>
                <w:szCs w:val="22"/>
              </w:rPr>
              <w:t>télécommunications;</w:t>
            </w:r>
            <w:proofErr w:type="gramEnd"/>
          </w:p>
          <w:p w14:paraId="461460AE" w14:textId="70DD634E" w:rsidR="0086626C" w:rsidRPr="001C6FB3" w:rsidRDefault="0086626C" w:rsidP="001C6FB3">
            <w:pPr>
              <w:tabs>
                <w:tab w:val="left" w:pos="4111"/>
              </w:tabs>
              <w:spacing w:before="0" w:after="20"/>
              <w:ind w:left="426" w:hanging="426"/>
              <w:rPr>
                <w:rFonts w:cstheme="minorHAnsi"/>
                <w:sz w:val="22"/>
                <w:szCs w:val="22"/>
              </w:rPr>
            </w:pPr>
            <w:r w:rsidRPr="001C6FB3">
              <w:rPr>
                <w:rFonts w:cstheme="minorHAnsi"/>
                <w:sz w:val="22"/>
                <w:szCs w:val="22"/>
              </w:rPr>
              <w:t>–</w:t>
            </w:r>
            <w:r w:rsidRPr="001C6FB3">
              <w:rPr>
                <w:rFonts w:cstheme="minorHAnsi"/>
                <w:sz w:val="22"/>
                <w:szCs w:val="22"/>
              </w:rPr>
              <w:tab/>
              <w:t>Au Directeur du Bureau des radiocommunications</w:t>
            </w:r>
          </w:p>
        </w:tc>
      </w:tr>
      <w:tr w:rsidR="0086626C" w:rsidRPr="001C6FB3" w14:paraId="06A3F0E7" w14:textId="77777777" w:rsidTr="001C6FB3">
        <w:trPr>
          <w:cantSplit/>
          <w:trHeight w:val="340"/>
        </w:trPr>
        <w:tc>
          <w:tcPr>
            <w:tcW w:w="0" w:type="auto"/>
          </w:tcPr>
          <w:p w14:paraId="5CF43A7B" w14:textId="52C968DD" w:rsidR="0086626C" w:rsidRPr="001C6FB3" w:rsidRDefault="0086626C" w:rsidP="001C6FB3">
            <w:pPr>
              <w:tabs>
                <w:tab w:val="left" w:pos="4111"/>
              </w:tabs>
              <w:spacing w:before="10"/>
              <w:rPr>
                <w:rFonts w:cstheme="minorHAnsi"/>
                <w:sz w:val="22"/>
                <w:szCs w:val="22"/>
              </w:rPr>
            </w:pPr>
            <w:proofErr w:type="gramStart"/>
            <w:r w:rsidRPr="001C6FB3">
              <w:rPr>
                <w:rFonts w:cstheme="minorHAnsi"/>
                <w:sz w:val="22"/>
                <w:szCs w:val="22"/>
              </w:rPr>
              <w:t>Tél.:</w:t>
            </w:r>
            <w:proofErr w:type="gramEnd"/>
          </w:p>
        </w:tc>
        <w:tc>
          <w:tcPr>
            <w:tcW w:w="3297" w:type="dxa"/>
          </w:tcPr>
          <w:p w14:paraId="2074781F" w14:textId="13C8B8B6" w:rsidR="0086626C" w:rsidRPr="001C6FB3" w:rsidRDefault="0086626C" w:rsidP="001C6FB3">
            <w:pPr>
              <w:tabs>
                <w:tab w:val="left" w:pos="4111"/>
              </w:tabs>
              <w:spacing w:before="10"/>
              <w:ind w:left="57"/>
              <w:rPr>
                <w:rFonts w:cstheme="minorHAnsi"/>
                <w:b/>
                <w:sz w:val="22"/>
                <w:szCs w:val="22"/>
              </w:rPr>
            </w:pPr>
            <w:r w:rsidRPr="001C6FB3">
              <w:rPr>
                <w:rFonts w:cstheme="minorHAnsi"/>
                <w:sz w:val="22"/>
                <w:szCs w:val="22"/>
              </w:rPr>
              <w:t>+41 22 730 6206</w:t>
            </w:r>
          </w:p>
        </w:tc>
        <w:tc>
          <w:tcPr>
            <w:tcW w:w="5153" w:type="dxa"/>
            <w:vMerge/>
          </w:tcPr>
          <w:p w14:paraId="2F310545" w14:textId="77777777" w:rsidR="0086626C" w:rsidRPr="001C6FB3" w:rsidRDefault="0086626C" w:rsidP="001C6FB3">
            <w:pPr>
              <w:tabs>
                <w:tab w:val="clear" w:pos="794"/>
                <w:tab w:val="clear" w:pos="1191"/>
                <w:tab w:val="clear" w:pos="1588"/>
                <w:tab w:val="clear" w:pos="1985"/>
                <w:tab w:val="left" w:pos="284"/>
              </w:tabs>
              <w:spacing w:before="0"/>
              <w:ind w:left="284" w:hanging="227"/>
              <w:rPr>
                <w:rFonts w:cstheme="minorHAnsi"/>
                <w:sz w:val="22"/>
                <w:szCs w:val="22"/>
              </w:rPr>
            </w:pPr>
          </w:p>
        </w:tc>
      </w:tr>
      <w:tr w:rsidR="0086626C" w:rsidRPr="001C6FB3" w14:paraId="724FD23E" w14:textId="77777777" w:rsidTr="001C6FB3">
        <w:trPr>
          <w:cantSplit/>
        </w:trPr>
        <w:tc>
          <w:tcPr>
            <w:tcW w:w="0" w:type="auto"/>
          </w:tcPr>
          <w:p w14:paraId="73149CCD" w14:textId="66F012D2" w:rsidR="0086626C" w:rsidRPr="001C6FB3" w:rsidRDefault="0086626C" w:rsidP="001C6FB3">
            <w:pPr>
              <w:tabs>
                <w:tab w:val="left" w:pos="4111"/>
              </w:tabs>
              <w:spacing w:before="10"/>
              <w:rPr>
                <w:rFonts w:cstheme="minorHAnsi"/>
                <w:sz w:val="22"/>
                <w:szCs w:val="22"/>
              </w:rPr>
            </w:pPr>
            <w:proofErr w:type="gramStart"/>
            <w:r w:rsidRPr="001C6FB3">
              <w:rPr>
                <w:rFonts w:cstheme="minorHAnsi"/>
                <w:sz w:val="22"/>
                <w:szCs w:val="22"/>
              </w:rPr>
              <w:t>Télécopie:</w:t>
            </w:r>
            <w:proofErr w:type="gramEnd"/>
          </w:p>
        </w:tc>
        <w:tc>
          <w:tcPr>
            <w:tcW w:w="3297" w:type="dxa"/>
          </w:tcPr>
          <w:p w14:paraId="78D06186" w14:textId="1052BF4C" w:rsidR="0086626C" w:rsidRPr="001C6FB3" w:rsidRDefault="0086626C" w:rsidP="001C6FB3">
            <w:pPr>
              <w:tabs>
                <w:tab w:val="left" w:pos="4111"/>
              </w:tabs>
              <w:spacing w:before="0"/>
              <w:ind w:left="57"/>
              <w:rPr>
                <w:rFonts w:cstheme="minorHAnsi"/>
                <w:sz w:val="22"/>
                <w:szCs w:val="22"/>
              </w:rPr>
            </w:pPr>
            <w:r w:rsidRPr="001C6FB3">
              <w:rPr>
                <w:rFonts w:cstheme="minorHAnsi"/>
                <w:sz w:val="22"/>
                <w:szCs w:val="22"/>
              </w:rPr>
              <w:t>+41 22 730 5853</w:t>
            </w:r>
          </w:p>
        </w:tc>
        <w:tc>
          <w:tcPr>
            <w:tcW w:w="5153" w:type="dxa"/>
            <w:vMerge/>
          </w:tcPr>
          <w:p w14:paraId="6D3A5806" w14:textId="77777777" w:rsidR="0086626C" w:rsidRPr="001C6FB3" w:rsidRDefault="0086626C" w:rsidP="001C6FB3">
            <w:pPr>
              <w:tabs>
                <w:tab w:val="left" w:pos="226"/>
                <w:tab w:val="left" w:pos="4111"/>
              </w:tabs>
              <w:spacing w:before="0"/>
              <w:ind w:left="226" w:hanging="226"/>
              <w:rPr>
                <w:rFonts w:cstheme="minorHAnsi"/>
                <w:b/>
                <w:sz w:val="22"/>
                <w:szCs w:val="22"/>
              </w:rPr>
            </w:pPr>
          </w:p>
        </w:tc>
      </w:tr>
      <w:tr w:rsidR="0086626C" w:rsidRPr="001C6FB3" w14:paraId="030F9AE5" w14:textId="77777777" w:rsidTr="001C6FB3">
        <w:trPr>
          <w:cantSplit/>
          <w:trHeight w:val="2523"/>
        </w:trPr>
        <w:tc>
          <w:tcPr>
            <w:tcW w:w="0" w:type="auto"/>
          </w:tcPr>
          <w:p w14:paraId="7B417C4C" w14:textId="6E217C14" w:rsidR="0086626C" w:rsidRPr="001C6FB3" w:rsidRDefault="0086626C" w:rsidP="001C6FB3">
            <w:pPr>
              <w:tabs>
                <w:tab w:val="left" w:pos="4111"/>
              </w:tabs>
              <w:spacing w:before="10"/>
              <w:rPr>
                <w:rFonts w:cstheme="minorHAnsi"/>
                <w:sz w:val="22"/>
                <w:szCs w:val="22"/>
              </w:rPr>
            </w:pPr>
            <w:proofErr w:type="gramStart"/>
            <w:r w:rsidRPr="001C6FB3">
              <w:rPr>
                <w:rFonts w:cstheme="minorHAnsi"/>
                <w:sz w:val="22"/>
                <w:szCs w:val="22"/>
              </w:rPr>
              <w:t>Courriel:</w:t>
            </w:r>
            <w:proofErr w:type="gramEnd"/>
          </w:p>
        </w:tc>
        <w:tc>
          <w:tcPr>
            <w:tcW w:w="3297" w:type="dxa"/>
          </w:tcPr>
          <w:p w14:paraId="1A4A5F7B" w14:textId="6B344050" w:rsidR="0086626C" w:rsidRPr="001C6FB3" w:rsidRDefault="0086626C" w:rsidP="001C6FB3">
            <w:pPr>
              <w:tabs>
                <w:tab w:val="left" w:pos="4111"/>
              </w:tabs>
              <w:spacing w:before="0"/>
              <w:ind w:left="57"/>
              <w:rPr>
                <w:rFonts w:cstheme="minorHAnsi"/>
                <w:sz w:val="22"/>
                <w:szCs w:val="22"/>
              </w:rPr>
            </w:pPr>
            <w:hyperlink r:id="rId9" w:history="1">
              <w:r w:rsidRPr="001C6FB3">
                <w:rPr>
                  <w:rStyle w:val="Hyperlink"/>
                  <w:rFonts w:cstheme="minorHAnsi"/>
                  <w:sz w:val="22"/>
                  <w:szCs w:val="22"/>
                </w:rPr>
                <w:t>tsbsg17@itu.int</w:t>
              </w:r>
            </w:hyperlink>
          </w:p>
        </w:tc>
        <w:tc>
          <w:tcPr>
            <w:tcW w:w="5153" w:type="dxa"/>
            <w:vMerge/>
          </w:tcPr>
          <w:p w14:paraId="323DAC81" w14:textId="77777777" w:rsidR="0086626C" w:rsidRPr="001C6FB3" w:rsidRDefault="0086626C" w:rsidP="001C6FB3">
            <w:pPr>
              <w:tabs>
                <w:tab w:val="left" w:pos="226"/>
                <w:tab w:val="left" w:pos="4111"/>
              </w:tabs>
              <w:spacing w:before="0"/>
              <w:ind w:left="226" w:hanging="226"/>
              <w:rPr>
                <w:rFonts w:cstheme="minorHAnsi"/>
                <w:b/>
                <w:sz w:val="22"/>
                <w:szCs w:val="22"/>
              </w:rPr>
            </w:pPr>
          </w:p>
        </w:tc>
      </w:tr>
      <w:tr w:rsidR="0086626C" w:rsidRPr="001C6FB3" w14:paraId="5435C04A" w14:textId="77777777" w:rsidTr="001C6FB3">
        <w:trPr>
          <w:cantSplit/>
          <w:trHeight w:val="397"/>
        </w:trPr>
        <w:tc>
          <w:tcPr>
            <w:tcW w:w="0" w:type="auto"/>
          </w:tcPr>
          <w:p w14:paraId="2A0B9B4F" w14:textId="02460793" w:rsidR="0086626C" w:rsidRPr="001C6FB3" w:rsidRDefault="0086626C" w:rsidP="001C6FB3">
            <w:pPr>
              <w:tabs>
                <w:tab w:val="left" w:pos="4111"/>
              </w:tabs>
              <w:rPr>
                <w:rFonts w:cstheme="minorHAnsi"/>
                <w:b/>
                <w:bCs/>
                <w:sz w:val="22"/>
                <w:szCs w:val="22"/>
              </w:rPr>
            </w:pPr>
            <w:proofErr w:type="gramStart"/>
            <w:r w:rsidRPr="001C6FB3">
              <w:rPr>
                <w:rFonts w:cstheme="minorHAnsi"/>
                <w:b/>
                <w:bCs/>
                <w:sz w:val="22"/>
                <w:szCs w:val="22"/>
              </w:rPr>
              <w:t>Objet:</w:t>
            </w:r>
            <w:proofErr w:type="gramEnd"/>
          </w:p>
        </w:tc>
        <w:tc>
          <w:tcPr>
            <w:tcW w:w="0" w:type="auto"/>
            <w:gridSpan w:val="2"/>
          </w:tcPr>
          <w:p w14:paraId="1A51EE75" w14:textId="41DEE5EA" w:rsidR="0086626C" w:rsidRPr="001C6FB3" w:rsidRDefault="0086626C" w:rsidP="001C6FB3">
            <w:pPr>
              <w:tabs>
                <w:tab w:val="left" w:pos="4111"/>
              </w:tabs>
              <w:spacing w:after="120"/>
              <w:ind w:left="57"/>
              <w:rPr>
                <w:rFonts w:cstheme="minorHAnsi"/>
                <w:b/>
                <w:bCs/>
                <w:sz w:val="22"/>
                <w:szCs w:val="22"/>
              </w:rPr>
            </w:pPr>
            <w:r w:rsidRPr="001C6FB3">
              <w:rPr>
                <w:rFonts w:cstheme="minorHAnsi"/>
                <w:b/>
                <w:bCs/>
                <w:sz w:val="22"/>
                <w:szCs w:val="22"/>
              </w:rPr>
              <w:t>État des Questions nouvelles et révisées de la Commission d'études 17 de l'UIT-T adoptées par le Groupe consultatif de la normalisation des télécommunications (GCNT) (Genève, 26 30 janvier 2026)</w:t>
            </w:r>
          </w:p>
        </w:tc>
      </w:tr>
    </w:tbl>
    <w:p w14:paraId="2D1EC328" w14:textId="1A3E5579" w:rsidR="00517A03" w:rsidRPr="001C6FB3" w:rsidRDefault="00517A03" w:rsidP="001C6FB3">
      <w:pPr>
        <w:spacing w:after="120"/>
        <w:rPr>
          <w:rFonts w:cstheme="minorHAnsi"/>
          <w:sz w:val="22"/>
          <w:szCs w:val="22"/>
        </w:rPr>
      </w:pPr>
      <w:bookmarkStart w:id="1" w:name="StartTyping_F"/>
      <w:bookmarkEnd w:id="1"/>
      <w:r w:rsidRPr="001C6FB3">
        <w:rPr>
          <w:rFonts w:cstheme="minorHAnsi"/>
          <w:sz w:val="22"/>
          <w:szCs w:val="22"/>
        </w:rPr>
        <w:t>Madame, Monsieur,</w:t>
      </w:r>
    </w:p>
    <w:p w14:paraId="46F2C3C2" w14:textId="45DE69DC" w:rsidR="00307FB4" w:rsidRPr="001C6FB3" w:rsidRDefault="00782616" w:rsidP="00782616">
      <w:pPr>
        <w:spacing w:after="120"/>
        <w:rPr>
          <w:rFonts w:cstheme="minorHAnsi"/>
          <w:bCs/>
          <w:sz w:val="22"/>
          <w:szCs w:val="22"/>
        </w:rPr>
      </w:pPr>
      <w:r w:rsidRPr="001C6FB3">
        <w:rPr>
          <w:rFonts w:cstheme="minorHAnsi"/>
          <w:bCs/>
          <w:sz w:val="22"/>
          <w:szCs w:val="22"/>
        </w:rPr>
        <w:t>1</w:t>
      </w:r>
      <w:r w:rsidRPr="001C6FB3">
        <w:rPr>
          <w:rFonts w:cstheme="minorHAnsi"/>
          <w:bCs/>
          <w:sz w:val="22"/>
          <w:szCs w:val="22"/>
        </w:rPr>
        <w:tab/>
        <w:t xml:space="preserve">À la demande du Président de la Commission d'études 17 de l'UIT-T (Sécurité), j'ai l'honneur de vous informer qu'à la suite de la consultation des États Membres au moyen de la </w:t>
      </w:r>
      <w:hyperlink r:id="rId10" w:history="1">
        <w:r w:rsidRPr="001C6FB3">
          <w:rPr>
            <w:rStyle w:val="Hyperlink"/>
            <w:rFonts w:cstheme="minorHAnsi"/>
            <w:bCs/>
            <w:sz w:val="22"/>
            <w:szCs w:val="22"/>
          </w:rPr>
          <w:t>Circulair</w:t>
        </w:r>
        <w:r w:rsidRPr="001C6FB3">
          <w:rPr>
            <w:rStyle w:val="Hyperlink"/>
            <w:rFonts w:cstheme="minorHAnsi"/>
            <w:bCs/>
            <w:sz w:val="22"/>
            <w:szCs w:val="22"/>
          </w:rPr>
          <w:t>e</w:t>
        </w:r>
        <w:r w:rsidRPr="001C6FB3">
          <w:rPr>
            <w:rStyle w:val="Hyperlink"/>
            <w:rFonts w:cstheme="minorHAnsi"/>
            <w:bCs/>
            <w:sz w:val="22"/>
            <w:szCs w:val="22"/>
          </w:rPr>
          <w:t xml:space="preserve"> TSB 101</w:t>
        </w:r>
      </w:hyperlink>
      <w:r w:rsidRPr="001C6FB3">
        <w:rPr>
          <w:rFonts w:cstheme="minorHAnsi"/>
          <w:bCs/>
          <w:sz w:val="22"/>
          <w:szCs w:val="22"/>
        </w:rPr>
        <w:t xml:space="preserve"> du 3 février 2026, conformément aux dispositions du § 7.3.2.3 de la Résolution 1 (Rév. Genève, 2022) de l'AMNT, toutes les réponses reçues au cours de la période de consultation sont en faveur de l'approbation des Questions nouvelles ou révisées </w:t>
      </w:r>
      <w:proofErr w:type="gramStart"/>
      <w:r w:rsidRPr="001C6FB3">
        <w:rPr>
          <w:rFonts w:cstheme="minorHAnsi"/>
          <w:bCs/>
          <w:sz w:val="22"/>
          <w:szCs w:val="22"/>
        </w:rPr>
        <w:t>suivantes:</w:t>
      </w:r>
      <w:proofErr w:type="gramEnd"/>
    </w:p>
    <w:tbl>
      <w:tblPr>
        <w:tblStyle w:val="TableGrid"/>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6"/>
        <w:gridCol w:w="3864"/>
        <w:gridCol w:w="4419"/>
      </w:tblGrid>
      <w:tr w:rsidR="00782616" w:rsidRPr="001C6FB3" w14:paraId="5A435A74" w14:textId="77777777" w:rsidTr="00590032">
        <w:trPr>
          <w:tblHeader/>
          <w:jc w:val="center"/>
        </w:trPr>
        <w:tc>
          <w:tcPr>
            <w:tcW w:w="730" w:type="pct"/>
            <w:tcBorders>
              <w:top w:val="single" w:sz="12" w:space="0" w:color="auto"/>
              <w:bottom w:val="single" w:sz="12" w:space="0" w:color="auto"/>
            </w:tcBorders>
          </w:tcPr>
          <w:p w14:paraId="54704046" w14:textId="1A220AC6" w:rsidR="00782616" w:rsidRPr="001C6FB3" w:rsidRDefault="00782616" w:rsidP="00590032">
            <w:pPr>
              <w:pStyle w:val="Tablehead0"/>
              <w:rPr>
                <w:rFonts w:asciiTheme="minorHAnsi" w:hAnsiTheme="minorHAnsi" w:cstheme="minorHAnsi"/>
                <w:szCs w:val="22"/>
                <w:lang w:val="fr-FR"/>
              </w:rPr>
            </w:pPr>
            <w:r w:rsidRPr="001C6FB3">
              <w:rPr>
                <w:rFonts w:asciiTheme="minorHAnsi" w:hAnsiTheme="minorHAnsi" w:cstheme="minorHAnsi"/>
                <w:szCs w:val="22"/>
                <w:lang w:val="fr-FR"/>
              </w:rPr>
              <w:t>Question</w:t>
            </w:r>
          </w:p>
        </w:tc>
        <w:tc>
          <w:tcPr>
            <w:tcW w:w="1992" w:type="pct"/>
            <w:tcBorders>
              <w:top w:val="single" w:sz="12" w:space="0" w:color="auto"/>
              <w:bottom w:val="single" w:sz="12" w:space="0" w:color="auto"/>
            </w:tcBorders>
          </w:tcPr>
          <w:p w14:paraId="715E9D43" w14:textId="77777777" w:rsidR="00782616" w:rsidRPr="001C6FB3" w:rsidRDefault="00782616" w:rsidP="00590032">
            <w:pPr>
              <w:pStyle w:val="Tablehead0"/>
              <w:rPr>
                <w:rFonts w:asciiTheme="minorHAnsi" w:hAnsiTheme="minorHAnsi" w:cstheme="minorHAnsi"/>
                <w:szCs w:val="22"/>
                <w:lang w:val="fr-FR"/>
              </w:rPr>
            </w:pPr>
            <w:r w:rsidRPr="001C6FB3">
              <w:rPr>
                <w:rFonts w:asciiTheme="minorHAnsi" w:hAnsiTheme="minorHAnsi" w:cstheme="minorHAnsi"/>
                <w:szCs w:val="22"/>
                <w:lang w:val="fr-FR"/>
              </w:rPr>
              <w:t>Titre</w:t>
            </w:r>
          </w:p>
        </w:tc>
        <w:tc>
          <w:tcPr>
            <w:tcW w:w="2278" w:type="pct"/>
            <w:tcBorders>
              <w:top w:val="single" w:sz="12" w:space="0" w:color="auto"/>
              <w:bottom w:val="single" w:sz="12" w:space="0" w:color="auto"/>
            </w:tcBorders>
          </w:tcPr>
          <w:p w14:paraId="55C3F964" w14:textId="77777777" w:rsidR="00782616" w:rsidRPr="001C6FB3" w:rsidRDefault="00782616" w:rsidP="00590032">
            <w:pPr>
              <w:pStyle w:val="Tablehead0"/>
              <w:rPr>
                <w:rFonts w:asciiTheme="minorHAnsi" w:hAnsiTheme="minorHAnsi" w:cstheme="minorHAnsi"/>
                <w:szCs w:val="22"/>
                <w:lang w:val="fr-FR"/>
              </w:rPr>
            </w:pPr>
            <w:r w:rsidRPr="001C6FB3">
              <w:rPr>
                <w:rFonts w:asciiTheme="minorHAnsi" w:hAnsiTheme="minorHAnsi" w:cstheme="minorHAnsi"/>
                <w:szCs w:val="22"/>
                <w:lang w:val="fr-FR"/>
              </w:rPr>
              <w:t>Historique</w:t>
            </w:r>
          </w:p>
        </w:tc>
      </w:tr>
      <w:tr w:rsidR="00782616" w:rsidRPr="001C6FB3" w14:paraId="2F8E9914" w14:textId="77777777" w:rsidTr="00590032">
        <w:trPr>
          <w:jc w:val="center"/>
        </w:trPr>
        <w:tc>
          <w:tcPr>
            <w:tcW w:w="730" w:type="pct"/>
            <w:tcBorders>
              <w:top w:val="single" w:sz="12" w:space="0" w:color="auto"/>
            </w:tcBorders>
          </w:tcPr>
          <w:p w14:paraId="64F1E7E9" w14:textId="432DA9D1" w:rsidR="00782616" w:rsidRPr="001C6FB3" w:rsidRDefault="00782616" w:rsidP="00590032">
            <w:pPr>
              <w:pStyle w:val="Tabletext0"/>
              <w:jc w:val="center"/>
              <w:rPr>
                <w:rFonts w:asciiTheme="minorHAnsi" w:hAnsiTheme="minorHAnsi" w:cstheme="minorHAnsi"/>
                <w:szCs w:val="22"/>
                <w:lang w:val="fr-FR"/>
              </w:rPr>
            </w:pPr>
            <w:r w:rsidRPr="001C6FB3">
              <w:rPr>
                <w:rFonts w:asciiTheme="minorHAnsi" w:hAnsiTheme="minorHAnsi" w:cstheme="minorHAnsi"/>
                <w:szCs w:val="22"/>
                <w:lang w:val="fr-FR"/>
              </w:rPr>
              <w:t>7/17</w:t>
            </w:r>
          </w:p>
        </w:tc>
        <w:tc>
          <w:tcPr>
            <w:tcW w:w="1992" w:type="pct"/>
            <w:tcBorders>
              <w:top w:val="single" w:sz="12" w:space="0" w:color="auto"/>
            </w:tcBorders>
          </w:tcPr>
          <w:p w14:paraId="2F5AB255" w14:textId="77777777" w:rsidR="00782616" w:rsidRPr="001C6FB3" w:rsidRDefault="00782616" w:rsidP="00590032">
            <w:pPr>
              <w:pStyle w:val="Tabletext0"/>
              <w:rPr>
                <w:rFonts w:asciiTheme="minorHAnsi" w:hAnsiTheme="minorHAnsi" w:cstheme="minorHAnsi"/>
                <w:szCs w:val="22"/>
                <w:lang w:val="fr-FR"/>
              </w:rPr>
            </w:pPr>
            <w:r w:rsidRPr="001C6FB3">
              <w:rPr>
                <w:rFonts w:asciiTheme="minorHAnsi" w:hAnsiTheme="minorHAnsi" w:cstheme="minorHAnsi"/>
                <w:szCs w:val="22"/>
                <w:lang w:val="fr-FR"/>
              </w:rPr>
              <w:t>Services applicatifs sécurisés</w:t>
            </w:r>
          </w:p>
        </w:tc>
        <w:tc>
          <w:tcPr>
            <w:tcW w:w="2278" w:type="pct"/>
            <w:tcBorders>
              <w:top w:val="single" w:sz="12" w:space="0" w:color="auto"/>
            </w:tcBorders>
          </w:tcPr>
          <w:p w14:paraId="457834CE" w14:textId="77777777" w:rsidR="00782616" w:rsidRPr="001C6FB3" w:rsidRDefault="00782616" w:rsidP="00590032">
            <w:pPr>
              <w:pStyle w:val="Tabletext0"/>
              <w:rPr>
                <w:rFonts w:asciiTheme="minorHAnsi" w:hAnsiTheme="minorHAnsi" w:cstheme="minorHAnsi"/>
                <w:szCs w:val="22"/>
                <w:lang w:val="fr-FR"/>
              </w:rPr>
            </w:pPr>
            <w:r w:rsidRPr="001C6FB3">
              <w:rPr>
                <w:rFonts w:asciiTheme="minorHAnsi" w:hAnsiTheme="minorHAnsi" w:cstheme="minorHAnsi"/>
                <w:szCs w:val="22"/>
                <w:lang w:val="fr-FR"/>
              </w:rPr>
              <w:t>Révisée (Suite de la Question 7/17)</w:t>
            </w:r>
          </w:p>
        </w:tc>
      </w:tr>
      <w:tr w:rsidR="00782616" w:rsidRPr="001C6FB3" w14:paraId="3AC3713A" w14:textId="77777777" w:rsidTr="00590032">
        <w:trPr>
          <w:jc w:val="center"/>
        </w:trPr>
        <w:tc>
          <w:tcPr>
            <w:tcW w:w="730" w:type="pct"/>
          </w:tcPr>
          <w:p w14:paraId="0C9370BB" w14:textId="43010A1D" w:rsidR="00782616" w:rsidRPr="001C6FB3" w:rsidRDefault="00782616" w:rsidP="00590032">
            <w:pPr>
              <w:pStyle w:val="Tabletext0"/>
              <w:jc w:val="center"/>
              <w:rPr>
                <w:rFonts w:asciiTheme="minorHAnsi" w:hAnsiTheme="minorHAnsi" w:cstheme="minorHAnsi"/>
                <w:szCs w:val="22"/>
                <w:lang w:val="fr-FR"/>
              </w:rPr>
            </w:pPr>
            <w:r w:rsidRPr="001C6FB3">
              <w:rPr>
                <w:rFonts w:asciiTheme="minorHAnsi" w:hAnsiTheme="minorHAnsi" w:cstheme="minorHAnsi"/>
                <w:szCs w:val="22"/>
                <w:lang w:val="fr-FR"/>
              </w:rPr>
              <w:t>10/17</w:t>
            </w:r>
          </w:p>
        </w:tc>
        <w:tc>
          <w:tcPr>
            <w:tcW w:w="1992" w:type="pct"/>
          </w:tcPr>
          <w:p w14:paraId="0F586EF5" w14:textId="77777777" w:rsidR="00782616" w:rsidRPr="001C6FB3" w:rsidRDefault="00782616" w:rsidP="00590032">
            <w:pPr>
              <w:pStyle w:val="Tabletext0"/>
              <w:rPr>
                <w:rFonts w:asciiTheme="minorHAnsi" w:hAnsiTheme="minorHAnsi" w:cstheme="minorHAnsi"/>
                <w:szCs w:val="22"/>
                <w:lang w:val="fr-FR"/>
              </w:rPr>
            </w:pPr>
            <w:r w:rsidRPr="001C6FB3">
              <w:rPr>
                <w:rFonts w:asciiTheme="minorHAnsi" w:hAnsiTheme="minorHAnsi" w:cstheme="minorHAnsi"/>
                <w:szCs w:val="22"/>
                <w:lang w:val="fr-FR"/>
              </w:rPr>
              <w:t>Gestion d'identité numérique, sécurité et services</w:t>
            </w:r>
          </w:p>
        </w:tc>
        <w:tc>
          <w:tcPr>
            <w:tcW w:w="2278" w:type="pct"/>
          </w:tcPr>
          <w:p w14:paraId="4EA5693F" w14:textId="77777777" w:rsidR="00782616" w:rsidRPr="001C6FB3" w:rsidRDefault="00782616" w:rsidP="00590032">
            <w:pPr>
              <w:pStyle w:val="Tabletext0"/>
              <w:rPr>
                <w:rFonts w:asciiTheme="minorHAnsi" w:hAnsiTheme="minorHAnsi" w:cstheme="minorHAnsi"/>
                <w:szCs w:val="22"/>
                <w:lang w:val="fr-FR"/>
              </w:rPr>
            </w:pPr>
            <w:r w:rsidRPr="001C6FB3">
              <w:rPr>
                <w:rFonts w:asciiTheme="minorHAnsi" w:hAnsiTheme="minorHAnsi" w:cstheme="minorHAnsi"/>
                <w:szCs w:val="22"/>
                <w:lang w:val="fr-FR"/>
              </w:rPr>
              <w:t>Révisée (Suite de la Question 10/17 (2025) après regroupement avec la Question 3/17 (2025))</w:t>
            </w:r>
          </w:p>
        </w:tc>
      </w:tr>
      <w:tr w:rsidR="00782616" w:rsidRPr="001C6FB3" w14:paraId="04AA0ECE" w14:textId="77777777" w:rsidTr="00590032">
        <w:trPr>
          <w:jc w:val="center"/>
        </w:trPr>
        <w:tc>
          <w:tcPr>
            <w:tcW w:w="730" w:type="pct"/>
          </w:tcPr>
          <w:p w14:paraId="76DB81A7" w14:textId="77777777" w:rsidR="00782616" w:rsidRPr="001C6FB3" w:rsidRDefault="00782616" w:rsidP="00590032">
            <w:pPr>
              <w:pStyle w:val="Tabletext0"/>
              <w:jc w:val="center"/>
              <w:rPr>
                <w:rFonts w:asciiTheme="minorHAnsi" w:hAnsiTheme="minorHAnsi" w:cstheme="minorHAnsi"/>
                <w:szCs w:val="22"/>
                <w:lang w:val="fr-FR"/>
              </w:rPr>
            </w:pPr>
            <w:r w:rsidRPr="001C6FB3">
              <w:rPr>
                <w:rFonts w:asciiTheme="minorHAnsi" w:hAnsiTheme="minorHAnsi" w:cstheme="minorHAnsi"/>
                <w:szCs w:val="22"/>
                <w:lang w:val="fr-FR"/>
              </w:rPr>
              <w:t>16/17</w:t>
            </w:r>
          </w:p>
        </w:tc>
        <w:tc>
          <w:tcPr>
            <w:tcW w:w="1992" w:type="pct"/>
          </w:tcPr>
          <w:p w14:paraId="5E09DDBA" w14:textId="77777777" w:rsidR="00782616" w:rsidRPr="001C6FB3" w:rsidRDefault="00782616" w:rsidP="00590032">
            <w:pPr>
              <w:pStyle w:val="Tabletext0"/>
              <w:rPr>
                <w:rFonts w:asciiTheme="minorHAnsi" w:hAnsiTheme="minorHAnsi" w:cstheme="minorHAnsi"/>
                <w:szCs w:val="22"/>
                <w:lang w:val="fr-FR"/>
              </w:rPr>
            </w:pPr>
            <w:r w:rsidRPr="001C6FB3">
              <w:rPr>
                <w:rFonts w:asciiTheme="minorHAnsi" w:hAnsiTheme="minorHAnsi" w:cstheme="minorHAnsi"/>
                <w:szCs w:val="22"/>
                <w:lang w:val="fr-FR"/>
              </w:rPr>
              <w:t>Sécurité de l'intelligence artificielle (IA)</w:t>
            </w:r>
          </w:p>
        </w:tc>
        <w:tc>
          <w:tcPr>
            <w:tcW w:w="2278" w:type="pct"/>
          </w:tcPr>
          <w:p w14:paraId="3B8BFE5D" w14:textId="77777777" w:rsidR="00782616" w:rsidRPr="001C6FB3" w:rsidRDefault="00782616" w:rsidP="00590032">
            <w:pPr>
              <w:pStyle w:val="Tabletext0"/>
              <w:rPr>
                <w:rFonts w:asciiTheme="minorHAnsi" w:hAnsiTheme="minorHAnsi" w:cstheme="minorHAnsi"/>
                <w:szCs w:val="22"/>
                <w:lang w:val="fr-FR"/>
              </w:rPr>
            </w:pPr>
            <w:r w:rsidRPr="001C6FB3">
              <w:rPr>
                <w:rFonts w:asciiTheme="minorHAnsi" w:hAnsiTheme="minorHAnsi" w:cstheme="minorHAnsi"/>
                <w:szCs w:val="22"/>
                <w:lang w:val="fr-FR"/>
              </w:rPr>
              <w:t>Nouvelle</w:t>
            </w:r>
          </w:p>
        </w:tc>
      </w:tr>
    </w:tbl>
    <w:p w14:paraId="271EB7D0" w14:textId="00DCC5A2" w:rsidR="00782616" w:rsidRPr="001C6FB3" w:rsidRDefault="00782616" w:rsidP="00782616">
      <w:pPr>
        <w:rPr>
          <w:rFonts w:cstheme="minorHAnsi"/>
          <w:bCs/>
          <w:sz w:val="22"/>
          <w:szCs w:val="22"/>
        </w:rPr>
      </w:pPr>
      <w:r w:rsidRPr="001C6FB3">
        <w:rPr>
          <w:rFonts w:cstheme="minorHAnsi"/>
          <w:bCs/>
          <w:sz w:val="22"/>
          <w:szCs w:val="22"/>
        </w:rPr>
        <w:t>2</w:t>
      </w:r>
      <w:r w:rsidRPr="001C6FB3">
        <w:rPr>
          <w:rFonts w:cstheme="minorHAnsi"/>
          <w:bCs/>
          <w:sz w:val="22"/>
          <w:szCs w:val="22"/>
        </w:rPr>
        <w:tab/>
        <w:t xml:space="preserve">Par conséquent, les Questions dont le titre est indiqué ci-dessus peuvent être considérées comme étant </w:t>
      </w:r>
      <w:r w:rsidRPr="001C6FB3">
        <w:rPr>
          <w:rFonts w:cstheme="minorHAnsi"/>
          <w:b/>
          <w:sz w:val="22"/>
          <w:szCs w:val="22"/>
        </w:rPr>
        <w:t>approuvées</w:t>
      </w:r>
      <w:r w:rsidRPr="001C6FB3">
        <w:rPr>
          <w:rFonts w:cstheme="minorHAnsi"/>
          <w:bCs/>
          <w:sz w:val="22"/>
          <w:szCs w:val="22"/>
        </w:rPr>
        <w:t xml:space="preserve"> conformément au § 7.3.2.3 de la Résolution 1 (Rév. Genève, 2022) de l'AMNT.</w:t>
      </w:r>
    </w:p>
    <w:p w14:paraId="779C60BC" w14:textId="6B98D02E" w:rsidR="001C6FB3" w:rsidRDefault="00782616" w:rsidP="001C6FB3">
      <w:pPr>
        <w:rPr>
          <w:rFonts w:cstheme="minorHAnsi"/>
          <w:sz w:val="22"/>
          <w:szCs w:val="22"/>
        </w:rPr>
      </w:pPr>
      <w:r w:rsidRPr="001C6FB3">
        <w:rPr>
          <w:rFonts w:cstheme="minorHAnsi"/>
          <w:sz w:val="22"/>
          <w:szCs w:val="22"/>
        </w:rPr>
        <w:t>3</w:t>
      </w:r>
      <w:r w:rsidRPr="001C6FB3">
        <w:rPr>
          <w:rFonts w:cstheme="minorHAnsi"/>
          <w:sz w:val="22"/>
          <w:szCs w:val="22"/>
        </w:rPr>
        <w:tab/>
        <w:t>Les textes de ces Questions sont reproduits dans l'Annexe 1 ci-jointe.</w:t>
      </w:r>
    </w:p>
    <w:p w14:paraId="45D40B0A" w14:textId="7A4B7D9A" w:rsidR="001C6FB3" w:rsidRPr="001C6FB3" w:rsidRDefault="00782616" w:rsidP="001C6FB3">
      <w:pPr>
        <w:rPr>
          <w:rFonts w:cstheme="minorHAnsi"/>
          <w:sz w:val="22"/>
          <w:szCs w:val="22"/>
        </w:rPr>
      </w:pPr>
      <w:r w:rsidRPr="001C6FB3">
        <w:rPr>
          <w:rFonts w:cstheme="minorHAnsi"/>
          <w:bCs/>
          <w:sz w:val="22"/>
          <w:szCs w:val="22"/>
        </w:rPr>
        <w:t>Veuillez agréer, Madame, Monsieur, l'assurance de ma considération distinguée.</w:t>
      </w:r>
    </w:p>
    <w:p w14:paraId="558FB742" w14:textId="7B45D4C0" w:rsidR="002937DB" w:rsidRPr="001C6FB3" w:rsidRDefault="00981A45" w:rsidP="001C6FB3">
      <w:pPr>
        <w:keepNext/>
        <w:keepLines/>
        <w:spacing w:before="720"/>
        <w:rPr>
          <w:rFonts w:cstheme="minorHAnsi"/>
          <w:bCs/>
          <w:sz w:val="22"/>
          <w:szCs w:val="22"/>
        </w:rPr>
      </w:pPr>
      <w:r>
        <w:rPr>
          <w:rFonts w:cstheme="minorHAnsi"/>
          <w:bCs/>
          <w:noProof/>
          <w:sz w:val="22"/>
          <w:szCs w:val="22"/>
        </w:rPr>
        <w:drawing>
          <wp:anchor distT="0" distB="0" distL="114300" distR="114300" simplePos="0" relativeHeight="251658240" behindDoc="1" locked="0" layoutInCell="1" allowOverlap="1" wp14:anchorId="40FFD44B" wp14:editId="7CB246D2">
            <wp:simplePos x="0" y="0"/>
            <wp:positionH relativeFrom="margin">
              <wp:align>left</wp:align>
            </wp:positionH>
            <wp:positionV relativeFrom="paragraph">
              <wp:posOffset>62230</wp:posOffset>
            </wp:positionV>
            <wp:extent cx="692186" cy="330217"/>
            <wp:effectExtent l="0" t="0" r="0" b="0"/>
            <wp:wrapNone/>
            <wp:docPr id="1976646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64606" name="Picture 197664606"/>
                    <pic:cNvPicPr/>
                  </pic:nvPicPr>
                  <pic:blipFill>
                    <a:blip r:embed="rId11">
                      <a:extLst>
                        <a:ext uri="{28A0092B-C50C-407E-A947-70E740481C1C}">
                          <a14:useLocalDpi xmlns:a14="http://schemas.microsoft.com/office/drawing/2010/main" val="0"/>
                        </a:ext>
                      </a:extLst>
                    </a:blip>
                    <a:stretch>
                      <a:fillRect/>
                    </a:stretch>
                  </pic:blipFill>
                  <pic:spPr>
                    <a:xfrm>
                      <a:off x="0" y="0"/>
                      <a:ext cx="692186" cy="330217"/>
                    </a:xfrm>
                    <a:prstGeom prst="rect">
                      <a:avLst/>
                    </a:prstGeom>
                  </pic:spPr>
                </pic:pic>
              </a:graphicData>
            </a:graphic>
          </wp:anchor>
        </w:drawing>
      </w:r>
      <w:r w:rsidR="00307FB4" w:rsidRPr="001C6FB3">
        <w:rPr>
          <w:rFonts w:cstheme="minorHAnsi"/>
          <w:bCs/>
          <w:sz w:val="22"/>
          <w:szCs w:val="22"/>
        </w:rPr>
        <w:t>Seizo Onoe</w:t>
      </w:r>
      <w:r w:rsidR="00B60868" w:rsidRPr="001C6FB3">
        <w:rPr>
          <w:rFonts w:cstheme="minorHAnsi"/>
          <w:bCs/>
          <w:sz w:val="22"/>
          <w:szCs w:val="22"/>
        </w:rPr>
        <w:br/>
      </w:r>
      <w:r w:rsidR="00307FB4" w:rsidRPr="001C6FB3">
        <w:rPr>
          <w:rFonts w:cstheme="minorHAnsi"/>
          <w:bCs/>
          <w:sz w:val="22"/>
          <w:szCs w:val="22"/>
        </w:rPr>
        <w:t>Directeur du Bureau de la normalisation</w:t>
      </w:r>
      <w:r w:rsidR="00B60868" w:rsidRPr="001C6FB3">
        <w:rPr>
          <w:rFonts w:cstheme="minorHAnsi"/>
          <w:bCs/>
          <w:sz w:val="22"/>
          <w:szCs w:val="22"/>
        </w:rPr>
        <w:br/>
      </w:r>
      <w:r w:rsidR="00307FB4" w:rsidRPr="001C6FB3">
        <w:rPr>
          <w:rFonts w:cstheme="minorHAnsi"/>
          <w:bCs/>
          <w:sz w:val="22"/>
          <w:szCs w:val="22"/>
        </w:rPr>
        <w:t>des télécommunications</w:t>
      </w:r>
    </w:p>
    <w:p w14:paraId="66D65881" w14:textId="4C66C128" w:rsidR="00782616" w:rsidRPr="001C6FB3" w:rsidRDefault="00782616" w:rsidP="001C6FB3">
      <w:pPr>
        <w:spacing w:before="240"/>
        <w:rPr>
          <w:rFonts w:cstheme="minorHAnsi"/>
          <w:bCs/>
          <w:sz w:val="22"/>
          <w:szCs w:val="22"/>
        </w:rPr>
      </w:pPr>
      <w:proofErr w:type="gramStart"/>
      <w:r w:rsidRPr="001C6FB3">
        <w:rPr>
          <w:rFonts w:cstheme="minorHAnsi"/>
          <w:b/>
          <w:sz w:val="22"/>
          <w:szCs w:val="22"/>
        </w:rPr>
        <w:t>Annexe</w:t>
      </w:r>
      <w:r w:rsidRPr="001C6FB3">
        <w:rPr>
          <w:rFonts w:cstheme="minorHAnsi"/>
          <w:bCs/>
          <w:sz w:val="22"/>
          <w:szCs w:val="22"/>
        </w:rPr>
        <w:t>:</w:t>
      </w:r>
      <w:proofErr w:type="gramEnd"/>
      <w:r w:rsidRPr="001C6FB3">
        <w:rPr>
          <w:rFonts w:cstheme="minorHAnsi"/>
          <w:bCs/>
          <w:sz w:val="22"/>
          <w:szCs w:val="22"/>
        </w:rPr>
        <w:tab/>
        <w:t>1</w:t>
      </w:r>
    </w:p>
    <w:p w14:paraId="601A1E45" w14:textId="77777777" w:rsidR="002937DB" w:rsidRPr="001C6FB3" w:rsidRDefault="002937DB">
      <w:pPr>
        <w:tabs>
          <w:tab w:val="clear" w:pos="794"/>
          <w:tab w:val="clear" w:pos="1191"/>
          <w:tab w:val="clear" w:pos="1588"/>
          <w:tab w:val="clear" w:pos="1985"/>
        </w:tabs>
        <w:overflowPunct/>
        <w:autoSpaceDE/>
        <w:autoSpaceDN/>
        <w:adjustRightInd/>
        <w:spacing w:before="0"/>
        <w:textAlignment w:val="auto"/>
        <w:rPr>
          <w:rFonts w:cstheme="minorHAnsi"/>
          <w:bCs/>
          <w:sz w:val="22"/>
          <w:szCs w:val="22"/>
        </w:rPr>
      </w:pPr>
      <w:r w:rsidRPr="001C6FB3">
        <w:rPr>
          <w:rFonts w:cstheme="minorHAnsi"/>
          <w:bCs/>
          <w:sz w:val="22"/>
          <w:szCs w:val="22"/>
        </w:rPr>
        <w:br w:type="page"/>
      </w:r>
    </w:p>
    <w:p w14:paraId="7C534786" w14:textId="481F1B8B" w:rsidR="00782616" w:rsidRPr="000E6AE7" w:rsidRDefault="00782616" w:rsidP="00782616">
      <w:pPr>
        <w:pStyle w:val="Annextitle0"/>
        <w:rPr>
          <w:lang w:val="fr-FR"/>
        </w:rPr>
      </w:pPr>
      <w:r w:rsidRPr="000E6AE7">
        <w:rPr>
          <w:lang w:val="fr-FR"/>
        </w:rPr>
        <w:lastRenderedPageBreak/>
        <w:t>Annexe 1</w:t>
      </w:r>
      <w:r w:rsidRPr="000E6AE7">
        <w:rPr>
          <w:lang w:val="fr-FR"/>
        </w:rPr>
        <w:br/>
        <w:t>T</w:t>
      </w:r>
      <w:bookmarkStart w:id="2" w:name="_Hlk221617957"/>
      <w:r w:rsidRPr="000E6AE7">
        <w:rPr>
          <w:lang w:val="fr-FR"/>
        </w:rPr>
        <w:t>exte final des Questions nouvelles/révisées de la CE 17</w:t>
      </w:r>
      <w:bookmarkEnd w:id="2"/>
    </w:p>
    <w:p w14:paraId="21EBC8CE" w14:textId="77777777" w:rsidR="00782616" w:rsidRPr="000E6AE7" w:rsidRDefault="00782616" w:rsidP="00782616">
      <w:pPr>
        <w:pStyle w:val="Heading2"/>
      </w:pPr>
      <w:r w:rsidRPr="000E6AE7">
        <w:t>Question 7/17 – Services applicatifs sécurisés</w:t>
      </w:r>
    </w:p>
    <w:p w14:paraId="6D835AAE" w14:textId="77777777" w:rsidR="00782616" w:rsidRPr="000E6AE7" w:rsidRDefault="00782616" w:rsidP="00782616">
      <w:pPr>
        <w:pStyle w:val="Questionhistory"/>
        <w:rPr>
          <w:lang w:val="fr-FR"/>
        </w:rPr>
      </w:pPr>
      <w:bookmarkStart w:id="3" w:name="_Hlk221617979"/>
      <w:r w:rsidRPr="000E6AE7">
        <w:rPr>
          <w:lang w:val="fr-FR"/>
        </w:rPr>
        <w:t>(Suite de la Question 7/17 (2024)</w:t>
      </w:r>
      <w:r w:rsidRPr="000E6AE7">
        <w:rPr>
          <w:rStyle w:val="FootnoteReference"/>
          <w:lang w:val="fr-FR"/>
        </w:rPr>
        <w:footnoteReference w:id="1"/>
      </w:r>
      <w:r w:rsidRPr="000E6AE7">
        <w:rPr>
          <w:lang w:val="fr-FR"/>
        </w:rPr>
        <w:t>)</w:t>
      </w:r>
      <w:bookmarkEnd w:id="3"/>
    </w:p>
    <w:p w14:paraId="633AA8DD" w14:textId="77777777" w:rsidR="00782616" w:rsidRPr="000E6AE7" w:rsidRDefault="00782616" w:rsidP="00782616">
      <w:pPr>
        <w:pStyle w:val="Heading3"/>
      </w:pPr>
      <w:r w:rsidRPr="000E6AE7">
        <w:t>1</w:t>
      </w:r>
      <w:r w:rsidRPr="000E6AE7">
        <w:tab/>
        <w:t>Motifs</w:t>
      </w:r>
    </w:p>
    <w:p w14:paraId="5C6D169A" w14:textId="77777777" w:rsidR="00782616" w:rsidRPr="000E6AE7" w:rsidRDefault="00782616" w:rsidP="00782616">
      <w:r w:rsidRPr="000E6AE7">
        <w:t>Les travaux sur cette Question ont abouti à l'élaboration d'un ensemble de Recommandations sur les jetons de sécurité pour l'authentification/autorisation et les architectures de sécurité pour les messages des services de réseau, à la définition de lignes directrices applicables à un protocole d'authentification sûre fondée sur un mot de passe avec échange de clés et divers services de tiers de confiance (TTP) et à la spécification d'un cadre complet et de mécanismes pour la sécurité des services P2P. Il faut poursuivre les efforts pour mettre à jour et améliorer ces Recommandations relatives à la sécurité afin de répondre aux besoins des nouvelles technologies et des nouveaux services.</w:t>
      </w:r>
    </w:p>
    <w:p w14:paraId="6008F67F" w14:textId="77777777" w:rsidR="00782616" w:rsidRPr="000E6AE7" w:rsidRDefault="00782616" w:rsidP="00782616">
      <w:r w:rsidRPr="000E6AE7">
        <w:t>Le secteur des télécommunications connaît une croissance exponentielle des services de tiers de confiance (TTP). La sécurité des services applicatifs basés sur les télécommunications (par exemple services de réseaux sociaux, services P2P et services TTP) est indispensable pour le développement futur du secteur. Les protocoles applicatifs sécurisés jouent un rôle très important dans la fourniture de services applicatifs sécurisés. La normalisation de solutions de sécurité complètes optimales est essentielle pour les entreprises et les opérateurs de réseau qui travaillent dans un environnement international multifournisseur. De plus, il faut aussi étudier et définir d'autres types de plates-formes et de services applicatifs sécurisés comme les services d'horodatage, les services notariaux sécurisés, les services financiers numériques sécurisés tels que les technologies financières (systèmes bancaires ouverts, prêts entre homologues, envois de fonds, portefeuilles mobiles, assurances), les services OTT sécurisés et les jumeaux numériques; l'utilisation d'assertions de sécurité au lieu d'utiliser des certificats dans les protocoles fondés sur l'infrastructure PKI et les services applicatifs PKI, etc. Les technologies de sécurité comme l'assertion de sécurité et l'assertion de contrôle d'accès deviennent très importantes dans les réseaux de communication.</w:t>
      </w:r>
    </w:p>
    <w:p w14:paraId="52E55D32" w14:textId="77777777" w:rsidR="00782616" w:rsidRPr="000E6AE7" w:rsidRDefault="00782616" w:rsidP="00782616">
      <w:r w:rsidRPr="000E6AE7">
        <w:t xml:space="preserve">À mesure que des services applicatifs apparaissent dans le domaine des télécommunications/TIC, deux nouveaux horizons s'ouvrent et doivent être </w:t>
      </w:r>
      <w:proofErr w:type="gramStart"/>
      <w:r w:rsidRPr="000E6AE7">
        <w:t>explorés:</w:t>
      </w:r>
      <w:proofErr w:type="gramEnd"/>
      <w:r w:rsidRPr="000E6AE7">
        <w:t xml:space="preserve"> les applications produisent et traitent de plus en plus de données et, dans cette optique, il faudra peut-être s'appuyer sur l'intelligence artificielle. Il faut élargir les services applicatifs sécurisés afin de réaliser une étude de marché approfondie, dans l'optique d'examiner tous les aspects opérationnels et techniques de la protection des données, qui s'appuie sur les travaux existants en matière de services d'analyse de données.</w:t>
      </w:r>
    </w:p>
    <w:p w14:paraId="4435390E" w14:textId="77777777" w:rsidR="00782616" w:rsidRPr="000E6AE7" w:rsidRDefault="00782616" w:rsidP="00782616">
      <w:r w:rsidRPr="000E6AE7">
        <w:t xml:space="preserve">Les données sont l'élément le plus fondamental et le plus important des applications et services TIC. La protection des données joue un rôle important dans le cadre du développement à long terme et dans de bonnes conditions des applications et des services TIC pour atténuer les risques pour la sécurité des données tels que les fuites et l'utilisation abusive de données, </w:t>
      </w:r>
      <w:r w:rsidRPr="000E6AE7">
        <w:lastRenderedPageBreak/>
        <w:t xml:space="preserve">l'altération de données, etc. La protection des données désigne un ensemble de mesures techniques et de gestion prises pour empêcher les accès aux données et leur utilisation sans autorisation. Les technologies de protection des données sont des technologies qui visent à protéger les personnes tout en leur permettant de bénéficier des avantages des technologies numériques; il s'agit par exemple de l'apprentissage fédéré, du masquage des données, de la provenance des données, du traçage des données, du </w:t>
      </w:r>
      <w:proofErr w:type="spellStart"/>
      <w:r w:rsidRPr="000E6AE7">
        <w:t>filigranage</w:t>
      </w:r>
      <w:proofErr w:type="spellEnd"/>
      <w:r w:rsidRPr="000E6AE7">
        <w:t xml:space="preserve"> numérique, de la confidentialité différentielle, du calcul multipartite sécurisé, de l'utilisation d'algorithmes de chiffrement et d'autres technologies améliorant la sécurité et la confidentialité des données. Les mesures de gestion de la protection des données peuvent notamment porter sur les systèmes de gestion de la protection des données à l'échelle d'une organisation, les normes institutionnelles, la gestion et la formation du personnel, etc. Les organisations du secteur des TIC doivent généralement mettre au point des systèmes de protection des données adaptés à leurs besoins et adopter les mesures les mieux adéquates et les plus efficaces pour protéger les ressources de données et utiliser les données en toute sécurité, sur la base d'une analyse complète des scénarios, des principes de gouvernance et de conformité, de la stratégie informatique et de la tolérance au risque des applications et des services.</w:t>
      </w:r>
    </w:p>
    <w:p w14:paraId="48DAAB85" w14:textId="77777777" w:rsidR="00782616" w:rsidRPr="000E6AE7" w:rsidRDefault="00782616" w:rsidP="00782616">
      <w:r w:rsidRPr="000E6AE7">
        <w:t xml:space="preserve">Recommandations et Suppléments relevant de la présente Question au 4 décembre </w:t>
      </w:r>
      <w:proofErr w:type="gramStart"/>
      <w:r w:rsidRPr="000E6AE7">
        <w:t>2025:</w:t>
      </w:r>
      <w:proofErr w:type="gramEnd"/>
      <w:r w:rsidRPr="000E6AE7">
        <w:t xml:space="preserve"> Recommandations X.1130, X.1141, X.1142, X.1143, X.1144, X.1145, X.1146, X.1147, X.1148, X.1149, X.1151, X.1152, X.1153, X.1154, X.1155, X.1156, X.1157, X.1158, X.1159, X.1161, X.1162, X.1163, X.1164, X.1282, X.1450, X.1451, X.1452, X.1456, X.1457, X.1470, X.2012, X.2013, X.2050 et Suppléments 17, 21, 22, 38, 39, et 40 aux Recommandations UIT-T de la série X et Rapport technique </w:t>
      </w:r>
      <w:proofErr w:type="spellStart"/>
      <w:r w:rsidRPr="000E6AE7">
        <w:t>XSTR.sgfdm</w:t>
      </w:r>
      <w:proofErr w:type="spellEnd"/>
      <w:r w:rsidRPr="000E6AE7">
        <w:t>.</w:t>
      </w:r>
    </w:p>
    <w:p w14:paraId="07F2FA91" w14:textId="77777777" w:rsidR="00782616" w:rsidRPr="000E6AE7" w:rsidRDefault="00782616" w:rsidP="00782616">
      <w:r w:rsidRPr="000E6AE7">
        <w:t xml:space="preserve">Textes en cours d'élaboration au 11 décembre </w:t>
      </w:r>
      <w:proofErr w:type="gramStart"/>
      <w:r w:rsidRPr="000E6AE7">
        <w:t>2025:</w:t>
      </w:r>
      <w:proofErr w:type="gramEnd"/>
      <w:r w:rsidRPr="000E6AE7">
        <w:t xml:space="preserve"> X.fr-</w:t>
      </w:r>
      <w:proofErr w:type="spellStart"/>
      <w:r w:rsidRPr="000E6AE7">
        <w:t>vsasi</w:t>
      </w:r>
      <w:proofErr w:type="spellEnd"/>
      <w:r w:rsidRPr="000E6AE7">
        <w:t xml:space="preserve">, </w:t>
      </w:r>
      <w:proofErr w:type="spellStart"/>
      <w:r w:rsidRPr="000E6AE7">
        <w:t>X.ias</w:t>
      </w:r>
      <w:proofErr w:type="spellEnd"/>
      <w:r w:rsidRPr="000E6AE7">
        <w:t xml:space="preserve">, </w:t>
      </w:r>
      <w:proofErr w:type="spellStart"/>
      <w:proofErr w:type="gramStart"/>
      <w:r w:rsidRPr="000E6AE7">
        <w:t>X.ig</w:t>
      </w:r>
      <w:proofErr w:type="gramEnd"/>
      <w:r w:rsidRPr="000E6AE7">
        <w:t>-dw</w:t>
      </w:r>
      <w:proofErr w:type="spellEnd"/>
      <w:r w:rsidRPr="000E6AE7">
        <w:t xml:space="preserve">, </w:t>
      </w:r>
      <w:proofErr w:type="spellStart"/>
      <w:r w:rsidRPr="000E6AE7">
        <w:t>X.sec-grp-mov</w:t>
      </w:r>
      <w:proofErr w:type="spellEnd"/>
      <w:r w:rsidRPr="000E6AE7">
        <w:t xml:space="preserve">, </w:t>
      </w:r>
      <w:proofErr w:type="spellStart"/>
      <w:proofErr w:type="gramStart"/>
      <w:r w:rsidRPr="000E6AE7">
        <w:t>X.sgfems</w:t>
      </w:r>
      <w:proofErr w:type="spellEnd"/>
      <w:proofErr w:type="gramEnd"/>
      <w:r w:rsidRPr="000E6AE7">
        <w:t xml:space="preserve">, </w:t>
      </w:r>
      <w:proofErr w:type="spellStart"/>
      <w:proofErr w:type="gramStart"/>
      <w:r w:rsidRPr="000E6AE7">
        <w:t>X.sgrtem</w:t>
      </w:r>
      <w:proofErr w:type="spellEnd"/>
      <w:proofErr w:type="gramEnd"/>
      <w:r w:rsidRPr="000E6AE7">
        <w:t xml:space="preserve">, </w:t>
      </w:r>
      <w:proofErr w:type="spellStart"/>
      <w:proofErr w:type="gramStart"/>
      <w:r w:rsidRPr="000E6AE7">
        <w:t>X.Supd</w:t>
      </w:r>
      <w:proofErr w:type="spellEnd"/>
      <w:proofErr w:type="gramEnd"/>
      <w:r w:rsidRPr="000E6AE7">
        <w:t xml:space="preserve">, </w:t>
      </w:r>
      <w:proofErr w:type="spellStart"/>
      <w:proofErr w:type="gramStart"/>
      <w:r w:rsidRPr="000E6AE7">
        <w:t>X.srgsc</w:t>
      </w:r>
      <w:proofErr w:type="spellEnd"/>
      <w:proofErr w:type="gramEnd"/>
      <w:r w:rsidRPr="000E6AE7">
        <w:t xml:space="preserve">, </w:t>
      </w:r>
      <w:proofErr w:type="spellStart"/>
      <w:proofErr w:type="gramStart"/>
      <w:r w:rsidRPr="000E6AE7">
        <w:t>X.srgsdcs</w:t>
      </w:r>
      <w:proofErr w:type="spellEnd"/>
      <w:proofErr w:type="gramEnd"/>
      <w:r w:rsidRPr="000E6AE7">
        <w:t>, X.tc-</w:t>
      </w:r>
      <w:proofErr w:type="spellStart"/>
      <w:r w:rsidRPr="000E6AE7">
        <w:t>ifd</w:t>
      </w:r>
      <w:proofErr w:type="spellEnd"/>
      <w:r w:rsidRPr="000E6AE7">
        <w:t xml:space="preserve">, </w:t>
      </w:r>
      <w:proofErr w:type="spellStart"/>
      <w:proofErr w:type="gramStart"/>
      <w:r w:rsidRPr="000E6AE7">
        <w:t>X.vide</w:t>
      </w:r>
      <w:proofErr w:type="spellEnd"/>
      <w:proofErr w:type="gramEnd"/>
      <w:r w:rsidRPr="000E6AE7">
        <w:t xml:space="preserve"> et Rapport technique </w:t>
      </w:r>
      <w:proofErr w:type="spellStart"/>
      <w:r w:rsidRPr="000E6AE7">
        <w:t>XSTR.dpama</w:t>
      </w:r>
      <w:proofErr w:type="spellEnd"/>
      <w:r w:rsidRPr="000E6AE7">
        <w:t>.</w:t>
      </w:r>
    </w:p>
    <w:p w14:paraId="0F8339B6" w14:textId="77777777" w:rsidR="00782616" w:rsidRPr="000E6AE7" w:rsidRDefault="00782616" w:rsidP="00782616">
      <w:pPr>
        <w:pStyle w:val="Heading3"/>
      </w:pPr>
      <w:r w:rsidRPr="000E6AE7">
        <w:t>2</w:t>
      </w:r>
      <w:r w:rsidRPr="000E6AE7">
        <w:tab/>
        <w:t>Question</w:t>
      </w:r>
    </w:p>
    <w:p w14:paraId="3849B4F6" w14:textId="77777777" w:rsidR="00782616" w:rsidRPr="000E6AE7" w:rsidRDefault="00782616" w:rsidP="00782616">
      <w:pPr>
        <w:rPr>
          <w:b/>
        </w:rPr>
      </w:pPr>
      <w:r w:rsidRPr="000E6AE7">
        <w:t>Les sujets à étudier sont notamment les suivants (la liste n'est pas exhaustive</w:t>
      </w:r>
      <w:proofErr w:type="gramStart"/>
      <w:r w:rsidRPr="000E6AE7">
        <w:t>):</w:t>
      </w:r>
      <w:proofErr w:type="gramEnd"/>
    </w:p>
    <w:p w14:paraId="7EB023E5" w14:textId="77777777" w:rsidR="00782616" w:rsidRPr="000E6AE7" w:rsidRDefault="00782616" w:rsidP="00782616">
      <w:pPr>
        <w:pStyle w:val="enumlev1"/>
      </w:pPr>
      <w:r w:rsidRPr="000E6AE7">
        <w:t>–</w:t>
      </w:r>
      <w:r w:rsidRPr="000E6AE7">
        <w:tab/>
        <w:t xml:space="preserve">Comment identifier et traiter les menaces qui pèsent sur les services applicatifs </w:t>
      </w:r>
      <w:proofErr w:type="gramStart"/>
      <w:r w:rsidRPr="000E6AE7">
        <w:t>sécurisés?</w:t>
      </w:r>
      <w:proofErr w:type="gramEnd"/>
    </w:p>
    <w:p w14:paraId="465E02ED" w14:textId="77777777" w:rsidR="00782616" w:rsidRPr="000E6AE7" w:rsidRDefault="00782616" w:rsidP="00782616">
      <w:pPr>
        <w:pStyle w:val="enumlev1"/>
      </w:pPr>
      <w:r w:rsidRPr="000E6AE7">
        <w:t>–</w:t>
      </w:r>
      <w:r w:rsidRPr="000E6AE7">
        <w:tab/>
        <w:t xml:space="preserve">Quelles technologies de sécurité peuvent être utilisées pour la fourniture de services applicatifs </w:t>
      </w:r>
      <w:proofErr w:type="gramStart"/>
      <w:r w:rsidRPr="000E6AE7">
        <w:t>sécurisés?</w:t>
      </w:r>
      <w:proofErr w:type="gramEnd"/>
    </w:p>
    <w:p w14:paraId="1FA305F5" w14:textId="77777777" w:rsidR="00782616" w:rsidRPr="000E6AE7" w:rsidRDefault="00782616" w:rsidP="00782616">
      <w:pPr>
        <w:pStyle w:val="enumlev1"/>
      </w:pPr>
      <w:r w:rsidRPr="000E6AE7">
        <w:t>–</w:t>
      </w:r>
      <w:r w:rsidRPr="000E6AE7">
        <w:tab/>
        <w:t xml:space="preserve">Comment assurer et maintenir une interconnectivité sécurisée entre les services </w:t>
      </w:r>
      <w:proofErr w:type="gramStart"/>
      <w:r w:rsidRPr="000E6AE7">
        <w:t>applicatifs?</w:t>
      </w:r>
      <w:proofErr w:type="gramEnd"/>
    </w:p>
    <w:p w14:paraId="4C2842E6" w14:textId="77777777" w:rsidR="00782616" w:rsidRPr="000E6AE7" w:rsidRDefault="00782616" w:rsidP="00782616">
      <w:pPr>
        <w:pStyle w:val="enumlev1"/>
      </w:pPr>
      <w:r w:rsidRPr="000E6AE7">
        <w:t>–</w:t>
      </w:r>
      <w:r w:rsidRPr="000E6AE7">
        <w:tab/>
        <w:t xml:space="preserve">Quels protocoles ou techniques de sécurité sont nécessaires pour les services applicatifs </w:t>
      </w:r>
      <w:proofErr w:type="gramStart"/>
      <w:r w:rsidRPr="000E6AE7">
        <w:t>sécurisés?</w:t>
      </w:r>
      <w:proofErr w:type="gramEnd"/>
    </w:p>
    <w:p w14:paraId="3F9B428D" w14:textId="77777777" w:rsidR="00782616" w:rsidRPr="000E6AE7" w:rsidRDefault="00782616" w:rsidP="00782616">
      <w:pPr>
        <w:pStyle w:val="enumlev1"/>
      </w:pPr>
      <w:r w:rsidRPr="000E6AE7">
        <w:t>–</w:t>
      </w:r>
      <w:r w:rsidRPr="000E6AE7">
        <w:tab/>
        <w:t xml:space="preserve">Quels protocoles ou techniques de sécurité sont nécessaires pour les nouveaux services applicatifs sécurisés, y compris les plates-formes de services, les services financiers numériques et les services </w:t>
      </w:r>
      <w:proofErr w:type="gramStart"/>
      <w:r w:rsidRPr="000E6AE7">
        <w:t>OTT?</w:t>
      </w:r>
      <w:proofErr w:type="gramEnd"/>
    </w:p>
    <w:p w14:paraId="425502A0" w14:textId="77777777" w:rsidR="00782616" w:rsidRPr="000E6AE7" w:rsidRDefault="00782616" w:rsidP="00782616">
      <w:pPr>
        <w:pStyle w:val="enumlev1"/>
      </w:pPr>
      <w:r w:rsidRPr="000E6AE7">
        <w:t>–</w:t>
      </w:r>
      <w:r w:rsidRPr="000E6AE7">
        <w:tab/>
        <w:t xml:space="preserve">Quelles mesures de protection des données sont nécessaires pour atténuer les risques pour la sécurité des données dans les applications et services </w:t>
      </w:r>
      <w:proofErr w:type="gramStart"/>
      <w:r w:rsidRPr="000E6AE7">
        <w:t>TIC?</w:t>
      </w:r>
      <w:proofErr w:type="gramEnd"/>
    </w:p>
    <w:p w14:paraId="52528113" w14:textId="77777777" w:rsidR="00782616" w:rsidRPr="000E6AE7" w:rsidRDefault="00782616" w:rsidP="00782616">
      <w:pPr>
        <w:pStyle w:val="enumlev1"/>
      </w:pPr>
      <w:r w:rsidRPr="000E6AE7">
        <w:t>–</w:t>
      </w:r>
      <w:r w:rsidRPr="000E6AE7">
        <w:tab/>
        <w:t xml:space="preserve">Quelles sont les solutions de sécurité globales pour les services applicatifs sécurisés et pour leurs </w:t>
      </w:r>
      <w:proofErr w:type="gramStart"/>
      <w:r w:rsidRPr="000E6AE7">
        <w:t>applications?</w:t>
      </w:r>
      <w:proofErr w:type="gramEnd"/>
    </w:p>
    <w:p w14:paraId="422EA4A6" w14:textId="77777777" w:rsidR="00782616" w:rsidRPr="000E6AE7" w:rsidRDefault="00782616" w:rsidP="00782616">
      <w:pPr>
        <w:pStyle w:val="Heading3"/>
      </w:pPr>
      <w:r w:rsidRPr="000E6AE7">
        <w:t>3</w:t>
      </w:r>
      <w:r w:rsidRPr="000E6AE7">
        <w:tab/>
        <w:t>Tâches</w:t>
      </w:r>
    </w:p>
    <w:p w14:paraId="126F399E" w14:textId="77777777" w:rsidR="00782616" w:rsidRPr="000E6AE7" w:rsidRDefault="00782616" w:rsidP="00782616">
      <w:r w:rsidRPr="000E6AE7">
        <w:t>Les tâches sont notamment les suivantes (la liste n'est pas exhaustive</w:t>
      </w:r>
      <w:proofErr w:type="gramStart"/>
      <w:r w:rsidRPr="000E6AE7">
        <w:t>):</w:t>
      </w:r>
      <w:proofErr w:type="gramEnd"/>
    </w:p>
    <w:p w14:paraId="5002168C" w14:textId="77777777" w:rsidR="00782616" w:rsidRPr="000E6AE7" w:rsidRDefault="00782616" w:rsidP="00782616">
      <w:pPr>
        <w:pStyle w:val="enumlev1"/>
      </w:pPr>
      <w:r w:rsidRPr="000E6AE7">
        <w:t>–</w:t>
      </w:r>
      <w:r w:rsidRPr="000E6AE7">
        <w:tab/>
        <w:t>En collaboration avec d'autres commissions d'études de l'UIT</w:t>
      </w:r>
      <w:r w:rsidRPr="000E6AE7">
        <w:noBreakHyphen/>
        <w:t xml:space="preserve">T et d'autres organismes de normalisation, notamment l'ISO/CEI JTC 1/SC 27, élaborer un ensemble complet de </w:t>
      </w:r>
      <w:r w:rsidRPr="000E6AE7">
        <w:lastRenderedPageBreak/>
        <w:t>Recommandations définissant des solutions de sécurité complètes pour les services applicatifs sécurisés.</w:t>
      </w:r>
    </w:p>
    <w:p w14:paraId="7B27E2E1" w14:textId="77777777" w:rsidR="00782616" w:rsidRPr="000E6AE7" w:rsidRDefault="00782616" w:rsidP="00782616">
      <w:pPr>
        <w:pStyle w:val="enumlev1"/>
      </w:pPr>
      <w:r w:rsidRPr="000E6AE7">
        <w:t>–</w:t>
      </w:r>
      <w:r w:rsidRPr="000E6AE7">
        <w:tab/>
        <w:t>Examiner les Recommandations/normes existantes de l'UIT</w:t>
      </w:r>
      <w:r w:rsidRPr="000E6AE7">
        <w:noBreakHyphen/>
        <w:t>T et de l'ISO/CEI dans le domaine des services applicatifs sécurisés.</w:t>
      </w:r>
    </w:p>
    <w:p w14:paraId="4437D2C4" w14:textId="77777777" w:rsidR="00782616" w:rsidRPr="000E6AE7" w:rsidRDefault="00782616" w:rsidP="00782616">
      <w:pPr>
        <w:pStyle w:val="enumlev1"/>
      </w:pPr>
      <w:r w:rsidRPr="000E6AE7">
        <w:t>–</w:t>
      </w:r>
      <w:r w:rsidRPr="000E6AE7">
        <w:tab/>
        <w:t>Mener des études complémentaires pour définir les aspects de sécurité des services applicatifs sécurisés existants ou nouveaux, y compris les services financiers numériques et les services OTT.</w:t>
      </w:r>
    </w:p>
    <w:p w14:paraId="2C9D7AF4" w14:textId="77777777" w:rsidR="00782616" w:rsidRPr="000E6AE7" w:rsidRDefault="00782616" w:rsidP="00782616">
      <w:pPr>
        <w:pStyle w:val="enumlev1"/>
      </w:pPr>
      <w:r w:rsidRPr="000E6AE7">
        <w:t>–</w:t>
      </w:r>
      <w:r w:rsidRPr="000E6AE7">
        <w:tab/>
        <w:t>Étudier et recenser les problèmes et menaces de sécurité dans les services applicatifs sécurisés.</w:t>
      </w:r>
    </w:p>
    <w:p w14:paraId="30829CA3" w14:textId="77777777" w:rsidR="00782616" w:rsidRPr="000E6AE7" w:rsidRDefault="00782616" w:rsidP="00782616">
      <w:pPr>
        <w:pStyle w:val="enumlev1"/>
      </w:pPr>
      <w:r w:rsidRPr="000E6AE7">
        <w:t>–</w:t>
      </w:r>
      <w:r w:rsidRPr="000E6AE7">
        <w:tab/>
        <w:t>Étudier et recenser les risques liés à la sécurité des données dans les applications et services TIC.</w:t>
      </w:r>
    </w:p>
    <w:p w14:paraId="1DBFE352" w14:textId="77777777" w:rsidR="00782616" w:rsidRPr="000E6AE7" w:rsidRDefault="00782616" w:rsidP="00782616">
      <w:pPr>
        <w:pStyle w:val="enumlev1"/>
      </w:pPr>
      <w:r w:rsidRPr="000E6AE7">
        <w:t>–</w:t>
      </w:r>
      <w:r w:rsidRPr="000E6AE7">
        <w:tab/>
        <w:t>Étudier et définir les mécanismes de sécurité pour les services applicatifs sécurisés.</w:t>
      </w:r>
    </w:p>
    <w:p w14:paraId="65808CEA" w14:textId="77777777" w:rsidR="00782616" w:rsidRPr="000E6AE7" w:rsidRDefault="00782616" w:rsidP="00782616">
      <w:pPr>
        <w:pStyle w:val="enumlev1"/>
      </w:pPr>
      <w:bookmarkStart w:id="4" w:name="_Hlk221108672"/>
      <w:r w:rsidRPr="000E6AE7">
        <w:t>–</w:t>
      </w:r>
      <w:r w:rsidRPr="000E6AE7">
        <w:tab/>
        <w:t>Étudier et développer des aspects liés à la sécurité de l'IA agentique telle qu'appliquée aux applications et services, y compris la sécurité des agents intelligents en lien avec des applications et services tels que les applications web, les services d'opérateur, le commerce électronique ou les services financiers numériques.</w:t>
      </w:r>
    </w:p>
    <w:p w14:paraId="0FAADBD4" w14:textId="77777777" w:rsidR="00782616" w:rsidRPr="000E6AE7" w:rsidRDefault="00782616" w:rsidP="00782616">
      <w:pPr>
        <w:pStyle w:val="enumlev1"/>
      </w:pPr>
      <w:r w:rsidRPr="000E6AE7">
        <w:t>–</w:t>
      </w:r>
      <w:r w:rsidRPr="000E6AE7">
        <w:tab/>
        <w:t>Étudier et mettre au point des architectures, cadres, modèles et mesures de protection des données pour les services applicatifs sécurisés et de protection des données de l'IA agentique.</w:t>
      </w:r>
    </w:p>
    <w:bookmarkEnd w:id="4"/>
    <w:p w14:paraId="28C0204B" w14:textId="77777777" w:rsidR="00782616" w:rsidRPr="000E6AE7" w:rsidRDefault="00782616" w:rsidP="00782616">
      <w:r w:rsidRPr="000E6AE7">
        <w:t>L'état actuel d'avancement des travaux au titre de cette Question est indiqué dans le programme de travail de la CE 17 (</w:t>
      </w:r>
      <w:hyperlink r:id="rId12" w:history="1">
        <w:r w:rsidRPr="000E6AE7">
          <w:rPr>
            <w:rStyle w:val="Hyperlink"/>
          </w:rPr>
          <w:t>https://www.itu.int/ITU-T/workprog/wp_search.aspx?sp=18&amp;q=7/17</w:t>
        </w:r>
      </w:hyperlink>
      <w:r w:rsidRPr="000E6AE7">
        <w:t>).</w:t>
      </w:r>
    </w:p>
    <w:p w14:paraId="6DA3B3A3" w14:textId="77777777" w:rsidR="00782616" w:rsidRPr="000E6AE7" w:rsidRDefault="00782616" w:rsidP="00782616">
      <w:pPr>
        <w:pStyle w:val="Heading3"/>
      </w:pPr>
      <w:r w:rsidRPr="000E6AE7">
        <w:t>4</w:t>
      </w:r>
      <w:r w:rsidRPr="000E6AE7">
        <w:tab/>
        <w:t>Relations</w:t>
      </w:r>
    </w:p>
    <w:p w14:paraId="3C2F5E9D" w14:textId="77777777" w:rsidR="00782616" w:rsidRPr="000E6AE7" w:rsidRDefault="00782616" w:rsidP="00782616">
      <w:pPr>
        <w:pStyle w:val="Headingb0"/>
        <w:rPr>
          <w:lang w:val="fr-FR"/>
        </w:rPr>
      </w:pPr>
      <w:proofErr w:type="gramStart"/>
      <w:r w:rsidRPr="000E6AE7">
        <w:rPr>
          <w:lang w:val="fr-FR"/>
        </w:rPr>
        <w:t>Recommandations:</w:t>
      </w:r>
      <w:proofErr w:type="gramEnd"/>
    </w:p>
    <w:p w14:paraId="004D842E" w14:textId="77777777" w:rsidR="00782616" w:rsidRPr="000E6AE7" w:rsidRDefault="00782616" w:rsidP="00782616">
      <w:pPr>
        <w:pStyle w:val="enumlev1"/>
      </w:pPr>
      <w:r w:rsidRPr="000E6AE7">
        <w:t>–</w:t>
      </w:r>
      <w:r w:rsidRPr="000E6AE7">
        <w:tab/>
        <w:t>Série X.800 et autres Recommandations se rapportant à la sécurité</w:t>
      </w:r>
    </w:p>
    <w:p w14:paraId="38D495B4" w14:textId="77777777" w:rsidR="00782616" w:rsidRPr="000E6AE7" w:rsidRDefault="00782616" w:rsidP="00782616">
      <w:pPr>
        <w:pStyle w:val="Headingb0"/>
        <w:rPr>
          <w:lang w:val="fr-FR"/>
        </w:rPr>
      </w:pPr>
      <w:proofErr w:type="gramStart"/>
      <w:r w:rsidRPr="000E6AE7">
        <w:rPr>
          <w:lang w:val="fr-FR"/>
        </w:rPr>
        <w:t>Questions:</w:t>
      </w:r>
      <w:proofErr w:type="gramEnd"/>
    </w:p>
    <w:p w14:paraId="4E7FEEB0" w14:textId="77777777" w:rsidR="00782616" w:rsidRPr="000E6AE7" w:rsidRDefault="00782616" w:rsidP="00782616">
      <w:pPr>
        <w:pStyle w:val="enumlev1"/>
      </w:pPr>
      <w:r w:rsidRPr="000E6AE7">
        <w:t>–</w:t>
      </w:r>
      <w:r w:rsidRPr="000E6AE7">
        <w:tab/>
        <w:t>Toutes les Questions de la CE 17 de l'UIT-T</w:t>
      </w:r>
    </w:p>
    <w:p w14:paraId="1CF4A510" w14:textId="77777777" w:rsidR="00782616" w:rsidRPr="000E6AE7" w:rsidRDefault="00782616" w:rsidP="00782616">
      <w:pPr>
        <w:pStyle w:val="Headingb0"/>
        <w:rPr>
          <w:lang w:val="fr-FR"/>
        </w:rPr>
      </w:pPr>
      <w:r w:rsidRPr="000E6AE7">
        <w:rPr>
          <w:lang w:val="fr-FR"/>
        </w:rPr>
        <w:t xml:space="preserve">Commissions </w:t>
      </w:r>
      <w:proofErr w:type="gramStart"/>
      <w:r w:rsidRPr="000E6AE7">
        <w:rPr>
          <w:lang w:val="fr-FR"/>
        </w:rPr>
        <w:t>d'études:</w:t>
      </w:r>
      <w:proofErr w:type="gramEnd"/>
    </w:p>
    <w:p w14:paraId="706D2975" w14:textId="77777777" w:rsidR="00782616" w:rsidRPr="000E6AE7" w:rsidRDefault="00782616" w:rsidP="00782616">
      <w:pPr>
        <w:pStyle w:val="enumlev1"/>
      </w:pPr>
      <w:r w:rsidRPr="000E6AE7">
        <w:t>–</w:t>
      </w:r>
      <w:r w:rsidRPr="000E6AE7">
        <w:tab/>
        <w:t>CE 2 de l'UIT-T</w:t>
      </w:r>
    </w:p>
    <w:p w14:paraId="26DC54C2" w14:textId="77777777" w:rsidR="00782616" w:rsidRPr="000E6AE7" w:rsidRDefault="00782616" w:rsidP="00782616">
      <w:pPr>
        <w:pStyle w:val="enumlev1"/>
      </w:pPr>
      <w:r w:rsidRPr="000E6AE7">
        <w:t>–</w:t>
      </w:r>
      <w:r w:rsidRPr="000E6AE7">
        <w:tab/>
        <w:t>CE 11 de l'UIT-T</w:t>
      </w:r>
    </w:p>
    <w:p w14:paraId="6DAC55A3" w14:textId="77777777" w:rsidR="00782616" w:rsidRPr="000E6AE7" w:rsidRDefault="00782616" w:rsidP="00782616">
      <w:pPr>
        <w:pStyle w:val="enumlev1"/>
      </w:pPr>
      <w:r w:rsidRPr="000E6AE7">
        <w:t>–</w:t>
      </w:r>
      <w:r w:rsidRPr="000E6AE7">
        <w:tab/>
        <w:t>CE 13 de l'UIT-T</w:t>
      </w:r>
    </w:p>
    <w:p w14:paraId="075E5324" w14:textId="77777777" w:rsidR="00782616" w:rsidRPr="000E6AE7" w:rsidRDefault="00782616" w:rsidP="00782616">
      <w:pPr>
        <w:pStyle w:val="enumlev1"/>
      </w:pPr>
      <w:r w:rsidRPr="000E6AE7">
        <w:t>–</w:t>
      </w:r>
      <w:r w:rsidRPr="000E6AE7">
        <w:tab/>
        <w:t>CE 20 de l'UIT-T</w:t>
      </w:r>
    </w:p>
    <w:p w14:paraId="48A8488C" w14:textId="77777777" w:rsidR="00782616" w:rsidRPr="000E6AE7" w:rsidRDefault="00782616" w:rsidP="00782616">
      <w:pPr>
        <w:pStyle w:val="enumlev1"/>
      </w:pPr>
      <w:r w:rsidRPr="000E6AE7">
        <w:t>–</w:t>
      </w:r>
      <w:r w:rsidRPr="000E6AE7">
        <w:tab/>
        <w:t>CE 21 de l'UIT-T</w:t>
      </w:r>
    </w:p>
    <w:p w14:paraId="7AF3ECBC" w14:textId="77777777" w:rsidR="00782616" w:rsidRPr="000E6AE7" w:rsidRDefault="00782616" w:rsidP="00782616">
      <w:pPr>
        <w:pStyle w:val="Headingb0"/>
        <w:rPr>
          <w:lang w:val="fr-FR"/>
        </w:rPr>
      </w:pPr>
      <w:r w:rsidRPr="000E6AE7">
        <w:rPr>
          <w:lang w:val="fr-FR"/>
        </w:rPr>
        <w:t xml:space="preserve">Organismes de </w:t>
      </w:r>
      <w:proofErr w:type="gramStart"/>
      <w:r w:rsidRPr="000E6AE7">
        <w:rPr>
          <w:lang w:val="fr-FR"/>
        </w:rPr>
        <w:t>normalisation:</w:t>
      </w:r>
      <w:proofErr w:type="gramEnd"/>
    </w:p>
    <w:p w14:paraId="7ACDEC3E" w14:textId="77777777" w:rsidR="00782616" w:rsidRPr="000E6AE7" w:rsidRDefault="00782616" w:rsidP="00782616">
      <w:pPr>
        <w:pStyle w:val="enumlev1"/>
      </w:pPr>
      <w:r w:rsidRPr="000E6AE7">
        <w:t>–</w:t>
      </w:r>
      <w:r w:rsidRPr="000E6AE7">
        <w:tab/>
        <w:t>IETF</w:t>
      </w:r>
    </w:p>
    <w:p w14:paraId="48ED01C8" w14:textId="77777777" w:rsidR="00782616" w:rsidRPr="000E6AE7" w:rsidRDefault="00782616" w:rsidP="00782616">
      <w:pPr>
        <w:pStyle w:val="enumlev1"/>
      </w:pPr>
      <w:r w:rsidRPr="000E6AE7">
        <w:t>–</w:t>
      </w:r>
      <w:r w:rsidRPr="000E6AE7">
        <w:tab/>
        <w:t>ETSI</w:t>
      </w:r>
    </w:p>
    <w:p w14:paraId="476A27DA" w14:textId="77777777" w:rsidR="00782616" w:rsidRPr="000E6AE7" w:rsidRDefault="00782616" w:rsidP="00782616">
      <w:pPr>
        <w:pStyle w:val="enumlev1"/>
      </w:pPr>
      <w:r w:rsidRPr="000E6AE7">
        <w:t>–</w:t>
      </w:r>
      <w:r w:rsidRPr="000E6AE7">
        <w:tab/>
        <w:t>GSMA</w:t>
      </w:r>
    </w:p>
    <w:p w14:paraId="4E87BA00" w14:textId="77777777" w:rsidR="00782616" w:rsidRPr="000E6AE7" w:rsidRDefault="00782616" w:rsidP="00782616">
      <w:pPr>
        <w:pStyle w:val="enumlev1"/>
      </w:pPr>
      <w:r w:rsidRPr="000E6AE7">
        <w:t>–</w:t>
      </w:r>
      <w:r w:rsidRPr="000E6AE7">
        <w:tab/>
        <w:t>ISO/CEI JTC 1/SC 27 et ISO/CEI JTC 1/SC 42</w:t>
      </w:r>
    </w:p>
    <w:p w14:paraId="47F769BE" w14:textId="77777777" w:rsidR="00782616" w:rsidRPr="000E6AE7" w:rsidRDefault="00782616" w:rsidP="00782616">
      <w:pPr>
        <w:pStyle w:val="enumlev1"/>
      </w:pPr>
      <w:r w:rsidRPr="000E6AE7">
        <w:t>–</w:t>
      </w:r>
      <w:r w:rsidRPr="000E6AE7">
        <w:tab/>
        <w:t>ISO/TC 68 et ISO/TC 307</w:t>
      </w:r>
    </w:p>
    <w:p w14:paraId="79A06C65" w14:textId="77777777" w:rsidR="00782616" w:rsidRPr="000E6AE7" w:rsidRDefault="00782616" w:rsidP="00782616">
      <w:pPr>
        <w:pStyle w:val="enumlev1"/>
      </w:pPr>
      <w:r w:rsidRPr="000E6AE7">
        <w:t>–</w:t>
      </w:r>
      <w:r w:rsidRPr="000E6AE7">
        <w:tab/>
      </w:r>
      <w:proofErr w:type="spellStart"/>
      <w:r w:rsidRPr="000E6AE7">
        <w:t>Kantara</w:t>
      </w:r>
      <w:proofErr w:type="spellEnd"/>
      <w:r w:rsidRPr="000E6AE7">
        <w:t xml:space="preserve"> Initiative</w:t>
      </w:r>
    </w:p>
    <w:p w14:paraId="1A6B5EBF" w14:textId="77777777" w:rsidR="00782616" w:rsidRPr="000E6AE7" w:rsidRDefault="00782616" w:rsidP="00782616">
      <w:pPr>
        <w:pStyle w:val="enumlev1"/>
      </w:pPr>
      <w:r w:rsidRPr="000E6AE7">
        <w:t>–</w:t>
      </w:r>
      <w:r w:rsidRPr="000E6AE7">
        <w:tab/>
        <w:t>OASIS</w:t>
      </w:r>
    </w:p>
    <w:p w14:paraId="241E8933" w14:textId="77777777" w:rsidR="00782616" w:rsidRPr="000E6AE7" w:rsidRDefault="00782616" w:rsidP="00782616">
      <w:pPr>
        <w:pStyle w:val="enumlev1"/>
      </w:pPr>
      <w:r w:rsidRPr="000E6AE7">
        <w:lastRenderedPageBreak/>
        <w:t>–</w:t>
      </w:r>
      <w:r w:rsidRPr="000E6AE7">
        <w:tab/>
        <w:t>OMA</w:t>
      </w:r>
    </w:p>
    <w:p w14:paraId="42822BC4" w14:textId="77777777" w:rsidR="00782616" w:rsidRPr="000E6AE7" w:rsidRDefault="00782616" w:rsidP="00782616">
      <w:pPr>
        <w:pStyle w:val="enumlev1"/>
      </w:pPr>
      <w:r w:rsidRPr="000E6AE7">
        <w:t>–</w:t>
      </w:r>
      <w:r w:rsidRPr="000E6AE7">
        <w:tab/>
        <w:t>W3C</w:t>
      </w:r>
    </w:p>
    <w:p w14:paraId="16D5C790" w14:textId="77777777" w:rsidR="00782616" w:rsidRPr="000E6AE7" w:rsidRDefault="00782616" w:rsidP="00782616">
      <w:pPr>
        <w:pStyle w:val="Headingb0"/>
        <w:rPr>
          <w:lang w:val="fr-FR"/>
        </w:rPr>
      </w:pPr>
      <w:r w:rsidRPr="000E6AE7">
        <w:rPr>
          <w:lang w:val="fr-FR"/>
        </w:rPr>
        <w:t xml:space="preserve">Autres </w:t>
      </w:r>
      <w:proofErr w:type="gramStart"/>
      <w:r w:rsidRPr="000E6AE7">
        <w:rPr>
          <w:lang w:val="fr-FR"/>
        </w:rPr>
        <w:t>organismes:</w:t>
      </w:r>
      <w:proofErr w:type="gramEnd"/>
    </w:p>
    <w:p w14:paraId="22558C1F" w14:textId="77777777" w:rsidR="00782616" w:rsidRPr="000E6AE7" w:rsidRDefault="00782616" w:rsidP="00782616">
      <w:pPr>
        <w:pStyle w:val="enumlev1"/>
      </w:pPr>
      <w:r w:rsidRPr="000E6AE7">
        <w:t>–</w:t>
      </w:r>
      <w:r w:rsidRPr="000E6AE7">
        <w:tab/>
        <w:t>Conseil de l'Europe</w:t>
      </w:r>
    </w:p>
    <w:p w14:paraId="46ED4C91" w14:textId="77777777" w:rsidR="00782616" w:rsidRPr="00022558" w:rsidRDefault="00782616" w:rsidP="00782616">
      <w:pPr>
        <w:pStyle w:val="enumlev1"/>
        <w:rPr>
          <w:lang w:val="en-GB"/>
        </w:rPr>
      </w:pPr>
      <w:r w:rsidRPr="00022558">
        <w:rPr>
          <w:lang w:val="en-GB"/>
        </w:rPr>
        <w:t>–</w:t>
      </w:r>
      <w:r w:rsidRPr="00022558">
        <w:rPr>
          <w:lang w:val="en-GB"/>
        </w:rPr>
        <w:tab/>
        <w:t>ENISA</w:t>
      </w:r>
    </w:p>
    <w:p w14:paraId="189F1F36" w14:textId="77777777" w:rsidR="00782616" w:rsidRPr="00022558" w:rsidRDefault="00782616" w:rsidP="00782616">
      <w:pPr>
        <w:pStyle w:val="enumlev1"/>
        <w:rPr>
          <w:lang w:val="en-GB"/>
        </w:rPr>
      </w:pPr>
      <w:r w:rsidRPr="00022558">
        <w:rPr>
          <w:lang w:val="en-GB"/>
        </w:rPr>
        <w:t>–</w:t>
      </w:r>
      <w:r w:rsidRPr="00022558">
        <w:rPr>
          <w:lang w:val="en-GB"/>
        </w:rPr>
        <w:tab/>
        <w:t>Fast Identity Online (FIDO) Alliance</w:t>
      </w:r>
    </w:p>
    <w:p w14:paraId="2B7D0780" w14:textId="77777777" w:rsidR="00782616" w:rsidRPr="000E6AE7" w:rsidRDefault="00782616" w:rsidP="00782616">
      <w:pPr>
        <w:pStyle w:val="Headingb0"/>
        <w:rPr>
          <w:lang w:val="fr-FR"/>
        </w:rPr>
      </w:pPr>
      <w:r w:rsidRPr="000E6AE7">
        <w:rPr>
          <w:lang w:val="fr-FR"/>
        </w:rPr>
        <w:t xml:space="preserve">Grandes orientations du </w:t>
      </w:r>
      <w:proofErr w:type="gramStart"/>
      <w:r w:rsidRPr="000E6AE7">
        <w:rPr>
          <w:lang w:val="fr-FR"/>
        </w:rPr>
        <w:t>SMSI:</w:t>
      </w:r>
      <w:proofErr w:type="gramEnd"/>
    </w:p>
    <w:p w14:paraId="76958BC5" w14:textId="77777777" w:rsidR="00782616" w:rsidRPr="000E6AE7" w:rsidRDefault="00782616" w:rsidP="00782616">
      <w:pPr>
        <w:pStyle w:val="enumlev1"/>
      </w:pPr>
      <w:r w:rsidRPr="000E6AE7">
        <w:t>–</w:t>
      </w:r>
      <w:r w:rsidRPr="000E6AE7">
        <w:tab/>
        <w:t>C5</w:t>
      </w:r>
    </w:p>
    <w:p w14:paraId="621FEF56" w14:textId="77777777" w:rsidR="00782616" w:rsidRPr="000E6AE7" w:rsidRDefault="00782616" w:rsidP="00782616">
      <w:pPr>
        <w:pStyle w:val="Headingb0"/>
        <w:rPr>
          <w:lang w:val="fr-FR"/>
        </w:rPr>
      </w:pPr>
      <w:r w:rsidRPr="000E6AE7">
        <w:rPr>
          <w:lang w:val="fr-FR"/>
        </w:rPr>
        <w:t xml:space="preserve">Objectifs de développement </w:t>
      </w:r>
      <w:proofErr w:type="gramStart"/>
      <w:r w:rsidRPr="000E6AE7">
        <w:rPr>
          <w:lang w:val="fr-FR"/>
        </w:rPr>
        <w:t>durable:</w:t>
      </w:r>
      <w:proofErr w:type="gramEnd"/>
    </w:p>
    <w:p w14:paraId="7E2DB04C" w14:textId="77777777" w:rsidR="00782616" w:rsidRPr="000E6AE7" w:rsidRDefault="00782616" w:rsidP="00782616">
      <w:pPr>
        <w:pStyle w:val="enumlev1"/>
      </w:pPr>
      <w:r w:rsidRPr="000E6AE7">
        <w:t>–</w:t>
      </w:r>
      <w:r w:rsidRPr="000E6AE7">
        <w:tab/>
        <w:t>8, 9, 11</w:t>
      </w:r>
    </w:p>
    <w:p w14:paraId="39D14FB1" w14:textId="77777777" w:rsidR="00782616" w:rsidRPr="000E6AE7" w:rsidRDefault="00782616" w:rsidP="00782616">
      <w:r w:rsidRPr="000E6AE7">
        <w:br w:type="page"/>
      </w:r>
    </w:p>
    <w:p w14:paraId="2DEB0B59" w14:textId="77777777" w:rsidR="00782616" w:rsidRPr="000E6AE7" w:rsidRDefault="00782616" w:rsidP="00782616">
      <w:pPr>
        <w:pStyle w:val="Heading2"/>
      </w:pPr>
      <w:bookmarkStart w:id="5" w:name="_Hlk220922732"/>
      <w:r w:rsidRPr="000E6AE7">
        <w:lastRenderedPageBreak/>
        <w:t>Question 10/17 – Gestion d'identité numérique, sécurité et services</w:t>
      </w:r>
    </w:p>
    <w:p w14:paraId="2D1F2B34" w14:textId="77777777" w:rsidR="00782616" w:rsidRPr="000E6AE7" w:rsidRDefault="00782616" w:rsidP="00782616">
      <w:pPr>
        <w:pStyle w:val="Questionhistory"/>
        <w:rPr>
          <w:rFonts w:eastAsia="Times New Roman"/>
          <w:lang w:val="fr-FR"/>
        </w:rPr>
      </w:pPr>
      <w:r w:rsidRPr="000E6AE7">
        <w:rPr>
          <w:rFonts w:eastAsia="Times New Roman"/>
          <w:lang w:val="fr-FR"/>
        </w:rPr>
        <w:t xml:space="preserve">(Suite de la Question </w:t>
      </w:r>
      <w:r w:rsidRPr="000E6AE7">
        <w:rPr>
          <w:lang w:val="fr-FR"/>
        </w:rPr>
        <w:t>10/17 (2025) après regroupement avec la Question 3/17 (2025)</w:t>
      </w:r>
      <w:r w:rsidRPr="000E6AE7">
        <w:rPr>
          <w:rFonts w:eastAsia="Times New Roman"/>
          <w:lang w:val="fr-FR"/>
        </w:rPr>
        <w:t>)</w:t>
      </w:r>
      <w:r w:rsidRPr="000E6AE7">
        <w:rPr>
          <w:rStyle w:val="FootnoteReference"/>
          <w:rFonts w:eastAsia="Times New Roman"/>
          <w:lang w:val="fr-FR"/>
        </w:rPr>
        <w:footnoteReference w:id="2"/>
      </w:r>
    </w:p>
    <w:p w14:paraId="1FC92383" w14:textId="77777777" w:rsidR="00782616" w:rsidRPr="000E6AE7" w:rsidRDefault="00782616" w:rsidP="00782616">
      <w:pPr>
        <w:pStyle w:val="Heading3"/>
      </w:pPr>
      <w:r w:rsidRPr="000E6AE7">
        <w:t>1</w:t>
      </w:r>
      <w:r w:rsidRPr="000E6AE7">
        <w:tab/>
        <w:t>Motivation</w:t>
      </w:r>
    </w:p>
    <w:p w14:paraId="02642638" w14:textId="77777777" w:rsidR="00782616" w:rsidRPr="000E6AE7" w:rsidRDefault="00782616" w:rsidP="00782616">
      <w:r w:rsidRPr="000E6AE7">
        <w:t>La gestion d'identité (</w:t>
      </w:r>
      <w:proofErr w:type="spellStart"/>
      <w:r w:rsidRPr="000E6AE7">
        <w:t>IdM</w:t>
      </w:r>
      <w:proofErr w:type="spellEnd"/>
      <w:r w:rsidRPr="000E6AE7">
        <w:t xml:space="preserve">) concerne la création, la tenue à jour, l'utilisation et la suppression des justificatifs, identificateurs et attributs. Elle est essentielle pour établir la confiance entre les utilisateurs, les organisations, les dispositifs et les services. Une entité unique peut détenir de multiples identités, chacune étant associée à des exigences différentes en matière de sécurité. Les approches de gestion </w:t>
      </w:r>
      <w:proofErr w:type="spellStart"/>
      <w:r w:rsidRPr="000E6AE7">
        <w:t>IdM</w:t>
      </w:r>
      <w:proofErr w:type="spellEnd"/>
      <w:r w:rsidRPr="000E6AE7">
        <w:t xml:space="preserve"> peuvent être centralisées, décentralisées ou hybrides, selon le système.</w:t>
      </w:r>
    </w:p>
    <w:p w14:paraId="571AECB6" w14:textId="77777777" w:rsidR="00782616" w:rsidRPr="000E6AE7" w:rsidRDefault="00782616" w:rsidP="00782616">
      <w:r w:rsidRPr="000E6AE7">
        <w:t>Conformément à la mesure 10 adoptée par l'AMNT-24, la Commission d'études 17 est chargée de poursuivre l'élaboration des Recommandations, Suppléments et rapports techniques nécessaires en matière de gestion d'identité et de justificatifs vérifiables, compte tenu de l'importance des travaux de normalisation concernant les identités et justificatifs numériques en cours dans un certain nombre d'organisations de normalisation. La Commission d'études 17 est également encouragée à poursuivre l'étude de nouveaux domaines relatifs aux questions de normalisation en matière de gestion d'identité et de justificatifs vérifiables, ainsi qu'à coordonner et à promouvoir les activités de normalisation.</w:t>
      </w:r>
    </w:p>
    <w:p w14:paraId="3EF7EF11" w14:textId="77777777" w:rsidR="00782616" w:rsidRPr="000E6AE7" w:rsidRDefault="00782616" w:rsidP="00782616">
      <w:r w:rsidRPr="000E6AE7">
        <w:t>L'identité numérique</w:t>
      </w:r>
      <w:r w:rsidRPr="000E6AE7">
        <w:rPr>
          <w:rStyle w:val="FootnoteReference"/>
        </w:rPr>
        <w:footnoteReference w:id="3"/>
      </w:r>
      <w:r w:rsidRPr="000E6AE7">
        <w:t xml:space="preserve"> définit "ce qu'est" l'identité, tandis que l'</w:t>
      </w:r>
      <w:proofErr w:type="spellStart"/>
      <w:r w:rsidRPr="000E6AE7">
        <w:t>IdM</w:t>
      </w:r>
      <w:proofErr w:type="spellEnd"/>
      <w:r w:rsidRPr="000E6AE7">
        <w:t xml:space="preserve"> se concentre sur "comment" cette identité est gérée. Les modèles d'identité décentralisée (DID) aident les utilisateurs à contrôler leur identité en ligne.</w:t>
      </w:r>
    </w:p>
    <w:p w14:paraId="489B2DB3" w14:textId="77777777" w:rsidR="00782616" w:rsidRPr="000E6AE7" w:rsidRDefault="00782616" w:rsidP="00782616">
      <w:r w:rsidRPr="000E6AE7">
        <w:t>Un portefeuille d'identité numérique permet de stocker et de partager de manière sécurisée des données d'identité, donnant ainsi les moyens aux utilisateurs de gérer leurs informations.</w:t>
      </w:r>
    </w:p>
    <w:p w14:paraId="043513A8" w14:textId="77777777" w:rsidR="00782616" w:rsidRPr="000E6AE7" w:rsidRDefault="00782616" w:rsidP="00782616">
      <w:r w:rsidRPr="000E6AE7">
        <w:t xml:space="preserve">La gestion </w:t>
      </w:r>
      <w:proofErr w:type="spellStart"/>
      <w:r w:rsidRPr="000E6AE7">
        <w:t>IdM</w:t>
      </w:r>
      <w:proofErr w:type="spellEnd"/>
      <w:r w:rsidRPr="000E6AE7">
        <w:t xml:space="preserve"> garantit des échanges de données de manière sécurisée sur les réseaux publics (par exemple, réseaux en nuage, IMT-2020, IMT-2030) et renforce la sécurité en limitant l'accès aux données sensibles. Alors que l'utilisation de l'Internet progresse, il est nécessaire de disposer de normes pour faire appliquer les politiques d'accès en vue de protéger les utilisateurs en ligne.</w:t>
      </w:r>
    </w:p>
    <w:p w14:paraId="033FCF87" w14:textId="77777777" w:rsidR="00782616" w:rsidRPr="000E6AE7" w:rsidRDefault="00782616" w:rsidP="00782616">
      <w:r w:rsidRPr="000E6AE7">
        <w:t xml:space="preserve">Les systèmes utilisant l'IA ont besoin de normes de gestion sécurisée des identités. L'identité d'un agent correspond aux attributs, rôles et permissions uniques et vérifiables d'un agent IA. Les domaines clés appelant des travaux de normalisation sont les </w:t>
      </w:r>
      <w:proofErr w:type="gramStart"/>
      <w:r w:rsidRPr="000E6AE7">
        <w:t>suivants:</w:t>
      </w:r>
      <w:proofErr w:type="gramEnd"/>
    </w:p>
    <w:p w14:paraId="42092A10" w14:textId="77777777" w:rsidR="00782616" w:rsidRPr="000E6AE7" w:rsidRDefault="00782616" w:rsidP="00782616">
      <w:r w:rsidRPr="000E6AE7">
        <w:t>–</w:t>
      </w:r>
      <w:r w:rsidRPr="000E6AE7">
        <w:tab/>
        <w:t xml:space="preserve">Cadre applicable à l'identité </w:t>
      </w:r>
      <w:proofErr w:type="gramStart"/>
      <w:r w:rsidRPr="000E6AE7">
        <w:t>d'agent:</w:t>
      </w:r>
      <w:proofErr w:type="gramEnd"/>
    </w:p>
    <w:p w14:paraId="749F6E3F" w14:textId="77777777" w:rsidR="00782616" w:rsidRPr="000E6AE7" w:rsidRDefault="00782616" w:rsidP="00782616">
      <w:pPr>
        <w:pStyle w:val="enumlev2"/>
      </w:pPr>
      <w:r w:rsidRPr="000E6AE7">
        <w:t>•</w:t>
      </w:r>
      <w:r w:rsidRPr="000E6AE7">
        <w:tab/>
        <w:t xml:space="preserve">Identificateurs (ID) uniques pour garantir la traçabilité (par exemple, identificateurs UUID, solutions fondées sur la chaîne de blocs). </w:t>
      </w:r>
    </w:p>
    <w:p w14:paraId="23554DD7" w14:textId="77777777" w:rsidR="00782616" w:rsidRPr="000E6AE7" w:rsidRDefault="00782616" w:rsidP="00782616">
      <w:pPr>
        <w:pStyle w:val="enumlev2"/>
      </w:pPr>
      <w:r w:rsidRPr="000E6AE7">
        <w:t>•</w:t>
      </w:r>
      <w:r w:rsidRPr="000E6AE7">
        <w:tab/>
        <w:t>Mécanismes d'authentification sécurisée (par exemple, signatures cryptographiques).</w:t>
      </w:r>
    </w:p>
    <w:p w14:paraId="1A97FAC3" w14:textId="77777777" w:rsidR="00782616" w:rsidRPr="000E6AE7" w:rsidRDefault="00782616" w:rsidP="00782616">
      <w:pPr>
        <w:pStyle w:val="enumlev2"/>
      </w:pPr>
      <w:r w:rsidRPr="000E6AE7">
        <w:t>•</w:t>
      </w:r>
      <w:r w:rsidRPr="000E6AE7">
        <w:tab/>
        <w:t>Métadonnées pour les attributs d'agent (par exemple, créateur, capacités).</w:t>
      </w:r>
    </w:p>
    <w:p w14:paraId="537BD385" w14:textId="77777777" w:rsidR="00782616" w:rsidRPr="000E6AE7" w:rsidRDefault="00782616" w:rsidP="00782616">
      <w:pPr>
        <w:keepNext/>
        <w:keepLines/>
      </w:pPr>
      <w:r w:rsidRPr="000E6AE7">
        <w:lastRenderedPageBreak/>
        <w:t>–</w:t>
      </w:r>
      <w:r w:rsidRPr="000E6AE7">
        <w:tab/>
      </w:r>
      <w:proofErr w:type="gramStart"/>
      <w:r w:rsidRPr="000E6AE7">
        <w:t>Interopérabilité:</w:t>
      </w:r>
      <w:proofErr w:type="gramEnd"/>
    </w:p>
    <w:p w14:paraId="506E767F" w14:textId="77777777" w:rsidR="00782616" w:rsidRPr="000E6AE7" w:rsidRDefault="00782616" w:rsidP="00782616">
      <w:pPr>
        <w:pStyle w:val="enumlev2"/>
        <w:keepNext/>
        <w:keepLines/>
      </w:pPr>
      <w:r w:rsidRPr="000E6AE7">
        <w:t>•</w:t>
      </w:r>
      <w:r w:rsidRPr="000E6AE7">
        <w:tab/>
        <w:t>Protocoles types pour la communication avec les agents (par exemple, MCP, A2A).</w:t>
      </w:r>
    </w:p>
    <w:p w14:paraId="38C4D688" w14:textId="77777777" w:rsidR="00782616" w:rsidRPr="000E6AE7" w:rsidRDefault="00782616" w:rsidP="00782616">
      <w:pPr>
        <w:pStyle w:val="enumlev2"/>
      </w:pPr>
      <w:r w:rsidRPr="000E6AE7">
        <w:t>•</w:t>
      </w:r>
      <w:r w:rsidRPr="000E6AE7">
        <w:tab/>
        <w:t>Interfaces API pour l'intégration dans les outils et plates-formes.</w:t>
      </w:r>
    </w:p>
    <w:p w14:paraId="7266E490" w14:textId="77777777" w:rsidR="00782616" w:rsidRPr="000E6AE7" w:rsidRDefault="00782616" w:rsidP="00782616">
      <w:pPr>
        <w:pStyle w:val="enumlev2"/>
      </w:pPr>
      <w:r w:rsidRPr="000E6AE7">
        <w:t>•</w:t>
      </w:r>
      <w:r w:rsidRPr="000E6AE7">
        <w:tab/>
        <w:t>Compatibilité inter-plates-formes.</w:t>
      </w:r>
    </w:p>
    <w:p w14:paraId="705B5B40" w14:textId="77777777" w:rsidR="00782616" w:rsidRPr="000E6AE7" w:rsidRDefault="00782616" w:rsidP="00782616">
      <w:r w:rsidRPr="000E6AE7">
        <w:t>Avec l'essor de l'IA agentique, la normalisation est essentielle pour garantir la confiance, la responsabilité et l'interopérabilité.</w:t>
      </w:r>
    </w:p>
    <w:p w14:paraId="7BC898AA" w14:textId="77777777" w:rsidR="00782616" w:rsidRPr="000E6AE7" w:rsidRDefault="00782616" w:rsidP="00782616">
      <w:pPr>
        <w:pStyle w:val="enumlev1"/>
      </w:pPr>
      <w:r w:rsidRPr="000E6AE7">
        <w:t>–</w:t>
      </w:r>
      <w:r w:rsidRPr="000E6AE7">
        <w:tab/>
        <w:t>Les fonctions de connaissance de votre agent (KYA) augmentent la transparence comme le fait la fonction KYC pour les personnes.</w:t>
      </w:r>
    </w:p>
    <w:p w14:paraId="599599AF" w14:textId="77777777" w:rsidR="00782616" w:rsidRPr="000E6AE7" w:rsidRDefault="00782616" w:rsidP="00782616">
      <w:pPr>
        <w:pStyle w:val="enumlev1"/>
      </w:pPr>
      <w:r w:rsidRPr="000E6AE7">
        <w:t>–</w:t>
      </w:r>
      <w:r w:rsidRPr="000E6AE7">
        <w:tab/>
        <w:t>L'identité d'agent et les identités DID permettent une confiance vérifiable.</w:t>
      </w:r>
    </w:p>
    <w:p w14:paraId="5B35A604" w14:textId="77777777" w:rsidR="00782616" w:rsidRPr="000E6AE7" w:rsidRDefault="00782616" w:rsidP="00782616">
      <w:pPr>
        <w:pStyle w:val="enumlev1"/>
      </w:pPr>
      <w:r w:rsidRPr="000E6AE7">
        <w:t>–</w:t>
      </w:r>
      <w:r w:rsidRPr="000E6AE7">
        <w:tab/>
        <w:t>Les modèles de fédération prennent en charge la collaboration sécurisée entre domaines.</w:t>
      </w:r>
    </w:p>
    <w:p w14:paraId="342EC052" w14:textId="77777777" w:rsidR="00782616" w:rsidRPr="000E6AE7" w:rsidRDefault="00782616" w:rsidP="00782616">
      <w:pPr>
        <w:pStyle w:val="enumlev1"/>
      </w:pPr>
      <w:r w:rsidRPr="000E6AE7">
        <w:t>–</w:t>
      </w:r>
      <w:r w:rsidRPr="000E6AE7">
        <w:tab/>
        <w:t>La liaison des identités d'agent et des identités humaines garantit l'établissement des responsabilités.</w:t>
      </w:r>
    </w:p>
    <w:p w14:paraId="0094CD9A" w14:textId="77777777" w:rsidR="00782616" w:rsidRPr="000E6AE7" w:rsidRDefault="00782616" w:rsidP="00782616">
      <w:pPr>
        <w:pStyle w:val="enumlev1"/>
      </w:pPr>
      <w:r w:rsidRPr="000E6AE7">
        <w:t>–</w:t>
      </w:r>
      <w:r w:rsidRPr="000E6AE7">
        <w:tab/>
        <w:t>La gouvernance établit des garde-fous pour assurer une utilisation conforme.</w:t>
      </w:r>
    </w:p>
    <w:p w14:paraId="67A04F2E" w14:textId="77777777" w:rsidR="00782616" w:rsidRPr="000E6AE7" w:rsidRDefault="00782616" w:rsidP="00782616">
      <w:r w:rsidRPr="000E6AE7">
        <w:t>En l'absence de normes, l'IA agentique est exposée aux risques que sont la fragmentation, l'utilisation abusive et l'absence de confiance. Les normes appuient une croissance sûre et responsable.</w:t>
      </w:r>
    </w:p>
    <w:p w14:paraId="0C0A876F" w14:textId="77777777" w:rsidR="00782616" w:rsidRPr="000E6AE7" w:rsidRDefault="00782616" w:rsidP="00782616">
      <w:r w:rsidRPr="000E6AE7">
        <w:t xml:space="preserve">Dans le contexte des télécommunications et des TIC, la gestion </w:t>
      </w:r>
      <w:proofErr w:type="spellStart"/>
      <w:r w:rsidRPr="000E6AE7">
        <w:t>IdM</w:t>
      </w:r>
      <w:proofErr w:type="spellEnd"/>
      <w:r w:rsidRPr="000E6AE7">
        <w:t xml:space="preserve"> permet de contrôler l'accès, de mettre à jour les permissions et de prendre en charge la délégation. Elle permet de renforcer la sécurité, d'éviter les fraudes et d'instaurer la confiance des utilisateurs. L'interopérabilité est essentielle pour les communications et les échanges de données à l'échelle mondiale.</w:t>
      </w:r>
    </w:p>
    <w:p w14:paraId="0AFA6599" w14:textId="77777777" w:rsidR="00782616" w:rsidRPr="000E6AE7" w:rsidRDefault="00782616" w:rsidP="00782616">
      <w:r w:rsidRPr="000E6AE7">
        <w:t xml:space="preserve">La biométrie permet de renforcer la vérification de l'identité pour des applications telles que le commerce électronique et la </w:t>
      </w:r>
      <w:proofErr w:type="spellStart"/>
      <w:r w:rsidRPr="000E6AE7">
        <w:t>cybersanté</w:t>
      </w:r>
      <w:proofErr w:type="spellEnd"/>
      <w:r w:rsidRPr="000E6AE7">
        <w:t xml:space="preserve">, mais elle pose des difficultés sur le plan de la protection des données et de la sécurité. La </w:t>
      </w:r>
      <w:proofErr w:type="spellStart"/>
      <w:r w:rsidRPr="000E6AE7">
        <w:t>télébiométrie</w:t>
      </w:r>
      <w:proofErr w:type="spellEnd"/>
      <w:r w:rsidRPr="000E6AE7">
        <w:t xml:space="preserve"> pour les services mobiles et Internet exige des méthodes d'authentification sécurisées et conviviales.</w:t>
      </w:r>
    </w:p>
    <w:p w14:paraId="431861DE" w14:textId="77777777" w:rsidR="00782616" w:rsidRPr="000E6AE7" w:rsidRDefault="00782616" w:rsidP="00782616">
      <w:r w:rsidRPr="000E6AE7">
        <w:t>Les organisations de télécommunication utilisent des actifs essentiels comme l'information, les installations, les réseaux et les supports de transmission, et il est donc essentiel d'assurer une sécurité forte. La Recommandation UIT-T X.1051 donne des lignes directrices sur les contrôles et bonnes pratiques en matière de sécurité pour la gestion de la sécurité de l'information, tandis que les Recommandations UIT-T de la série X.1050 portent sur les domaines de la gestion de la sécurité de l'information que sont la gestion des risques, la gestion des actifs, la gouvernance et les mesures à prendre en cas d'incident.</w:t>
      </w:r>
    </w:p>
    <w:p w14:paraId="196F5FD6" w14:textId="77777777" w:rsidR="00782616" w:rsidRPr="000E6AE7" w:rsidRDefault="00782616" w:rsidP="00782616">
      <w:r w:rsidRPr="000E6AE7">
        <w:t>De nouveaux domaines relatifs aux services de sécurité des télécommunications/TIC, comme les centres de cyberdéfense/centres de cybersécurité (CDC/CSC), les diverses équipes d'intervention en cas d'incident (IRT) (y compris les équipes CIRT utilisant des outils d'IA), ainsi que la gestion de la sécurité de l'IA et sa gouvernance, exigent une attention constante. La gestion du cycle de vie des contrôles de sécurité, la protection de la sécurité des informations d'identification personnelle (PII) et le renforcement des capacités humaines en matière de sécurité restent des priorités.</w:t>
      </w:r>
    </w:p>
    <w:p w14:paraId="60BC5494" w14:textId="77777777" w:rsidR="00782616" w:rsidRPr="000E6AE7" w:rsidRDefault="00782616" w:rsidP="00782616">
      <w:r w:rsidRPr="000E6AE7">
        <w:t>La collaboration avec le JTC 1 de l'ISO/CEI permet de renforcer la comptabilité à l'échelle mondiale, tandis que les normes nationales aident à favoriser la mise en œuvre au niveau local. À la différence de la gestion de réseau, les travaux correspondants visent avant tout à préserver les actifs et les processus des entreprises grâce à une gestion globale de la sécurité de l'information.</w:t>
      </w:r>
    </w:p>
    <w:p w14:paraId="3405A8AE" w14:textId="77777777" w:rsidR="00782616" w:rsidRPr="000E6AE7" w:rsidRDefault="00782616" w:rsidP="00782616">
      <w:pPr>
        <w:keepNext/>
        <w:keepLines/>
      </w:pPr>
      <w:r w:rsidRPr="000E6AE7">
        <w:lastRenderedPageBreak/>
        <w:t>La normalisation est indispensable pour gérer l'IA de manière sécurisée et fiable et en tout confiance.</w:t>
      </w:r>
    </w:p>
    <w:p w14:paraId="5824D8CD" w14:textId="77777777" w:rsidR="00782616" w:rsidRPr="000E6AE7" w:rsidRDefault="00782616" w:rsidP="00782616">
      <w:pPr>
        <w:pStyle w:val="enumlev1"/>
        <w:keepNext/>
        <w:keepLines/>
      </w:pPr>
      <w:r w:rsidRPr="000E6AE7">
        <w:t>–</w:t>
      </w:r>
      <w:r w:rsidRPr="000E6AE7">
        <w:tab/>
        <w:t xml:space="preserve">IA au service de la </w:t>
      </w:r>
      <w:proofErr w:type="gramStart"/>
      <w:r w:rsidRPr="000E6AE7">
        <w:t>sécurité:</w:t>
      </w:r>
      <w:proofErr w:type="gramEnd"/>
      <w:r w:rsidRPr="000E6AE7">
        <w:t xml:space="preserve"> garantir l'utilisation cohérente de l'IA pour la cyberdéfense.</w:t>
      </w:r>
    </w:p>
    <w:p w14:paraId="189E1627" w14:textId="77777777" w:rsidR="00782616" w:rsidRPr="000E6AE7" w:rsidRDefault="00782616" w:rsidP="00782616">
      <w:pPr>
        <w:pStyle w:val="enumlev1"/>
        <w:keepNext/>
        <w:keepLines/>
      </w:pPr>
      <w:r w:rsidRPr="000E6AE7">
        <w:t>–</w:t>
      </w:r>
      <w:r w:rsidRPr="000E6AE7">
        <w:tab/>
        <w:t xml:space="preserve">Sécurité au service de </w:t>
      </w:r>
      <w:proofErr w:type="gramStart"/>
      <w:r w:rsidRPr="000E6AE7">
        <w:t>l'IA:</w:t>
      </w:r>
      <w:proofErr w:type="gramEnd"/>
      <w:r w:rsidRPr="000E6AE7">
        <w:t xml:space="preserve"> définir des exigences de sécurité tout au long du cycle de vie.</w:t>
      </w:r>
    </w:p>
    <w:p w14:paraId="03C49C4E" w14:textId="77777777" w:rsidR="00782616" w:rsidRPr="000E6AE7" w:rsidRDefault="00782616" w:rsidP="00782616">
      <w:pPr>
        <w:pStyle w:val="enumlev1"/>
      </w:pPr>
      <w:r w:rsidRPr="000E6AE7">
        <w:t>–</w:t>
      </w:r>
      <w:r w:rsidRPr="000E6AE7">
        <w:tab/>
      </w:r>
      <w:proofErr w:type="gramStart"/>
      <w:r w:rsidRPr="000E6AE7">
        <w:t>Fiabilité:</w:t>
      </w:r>
      <w:proofErr w:type="gramEnd"/>
      <w:r w:rsidRPr="000E6AE7">
        <w:t xml:space="preserve"> instaurer la confiance dans les modèles et la sûreté.</w:t>
      </w:r>
    </w:p>
    <w:p w14:paraId="28AD106A" w14:textId="77777777" w:rsidR="00782616" w:rsidRPr="000E6AE7" w:rsidRDefault="00782616" w:rsidP="00782616">
      <w:pPr>
        <w:pStyle w:val="enumlev1"/>
      </w:pPr>
      <w:r w:rsidRPr="000E6AE7">
        <w:t>–</w:t>
      </w:r>
      <w:r w:rsidRPr="000E6AE7">
        <w:tab/>
      </w:r>
      <w:proofErr w:type="gramStart"/>
      <w:r w:rsidRPr="000E6AE7">
        <w:t>Résilience:</w:t>
      </w:r>
      <w:proofErr w:type="gramEnd"/>
      <w:r w:rsidRPr="000E6AE7">
        <w:t xml:space="preserve"> appuyer la supervision et la gouvernance par l'homme.</w:t>
      </w:r>
    </w:p>
    <w:p w14:paraId="125B6F34" w14:textId="77777777" w:rsidR="00782616" w:rsidRPr="000E6AE7" w:rsidRDefault="00782616" w:rsidP="00782616">
      <w:pPr>
        <w:pStyle w:val="enumlev1"/>
      </w:pPr>
      <w:r w:rsidRPr="000E6AE7">
        <w:t>–</w:t>
      </w:r>
      <w:r w:rsidRPr="000E6AE7">
        <w:tab/>
      </w:r>
      <w:proofErr w:type="gramStart"/>
      <w:r w:rsidRPr="000E6AE7">
        <w:t>Assurance:</w:t>
      </w:r>
      <w:proofErr w:type="gramEnd"/>
      <w:r w:rsidRPr="000E6AE7">
        <w:t xml:space="preserve"> permettre la certification des systèmes d'IA.</w:t>
      </w:r>
    </w:p>
    <w:p w14:paraId="58C5D64F" w14:textId="77777777" w:rsidR="00782616" w:rsidRPr="000E6AE7" w:rsidRDefault="00782616" w:rsidP="00782616">
      <w:r w:rsidRPr="000E6AE7">
        <w:t>Parce qu'elles réduisent les risques de fragmentation et d'utilisation abusive, les normes permettent une adoption en toute sécurité.</w:t>
      </w:r>
    </w:p>
    <w:p w14:paraId="38BB8C49" w14:textId="77777777" w:rsidR="00782616" w:rsidRPr="000E6AE7" w:rsidRDefault="00782616" w:rsidP="00782616">
      <w:r w:rsidRPr="000E6AE7">
        <w:t>Recommandations et Suppléments relevant de la présente Question au 11 décembre 2025: X.1080.0, X.1080.1, X.1080.2, X.1081, X.1082, X.1083, X.1084, X.1085, X.1086, X.1087, X.1088, X.1089, X.1090, X.1091, X.1092, X.1093, X.1094, X.1095, X.1250, X.1251, X.1252, X.1253, X.1254, X.1255, X.1256, X.1257, X.1258, X.1261 (avec la CE 2), X.1275, X.1276, X.1277, X.1277.2, X.1278, X.1278.2, X.1279, X.1280, X.1281, X.1282, X.1283, X.1284, X.1285 et Suppléments 7, 35, 41, 42, E.409 (conjointement avec la CE 2), X.1051, X.1052, X.1053, X.1054, X.1055, X.1056, X.1057, X.1058, X.1059, X.1060, X.1061, X.1062 et Suppléments 13, 27, 32, 34, 36, 44 aux Recommandations UIT-T de la série X.</w:t>
      </w:r>
    </w:p>
    <w:p w14:paraId="0E01A277" w14:textId="77777777" w:rsidR="00782616" w:rsidRPr="000E6AE7" w:rsidRDefault="00782616" w:rsidP="00782616">
      <w:r w:rsidRPr="000E6AE7">
        <w:t xml:space="preserve">Textes en cours d'élaboration au 11 décembre </w:t>
      </w:r>
      <w:proofErr w:type="gramStart"/>
      <w:r w:rsidRPr="000E6AE7">
        <w:t>2025:</w:t>
      </w:r>
      <w:proofErr w:type="gramEnd"/>
      <w:r w:rsidRPr="000E6AE7">
        <w:t xml:space="preserve"> X.1250rév, X.1254rév, X.1280rév, X.1281.Amd1, X.1901(</w:t>
      </w:r>
      <w:proofErr w:type="spellStart"/>
      <w:r w:rsidRPr="000E6AE7">
        <w:t>X.aas</w:t>
      </w:r>
      <w:proofErr w:type="spellEnd"/>
      <w:r w:rsidRPr="000E6AE7">
        <w:t xml:space="preserve">), </w:t>
      </w:r>
      <w:proofErr w:type="spellStart"/>
      <w:proofErr w:type="gramStart"/>
      <w:r w:rsidRPr="000E6AE7">
        <w:t>X.accsadlt</w:t>
      </w:r>
      <w:proofErr w:type="spellEnd"/>
      <w:proofErr w:type="gramEnd"/>
      <w:r w:rsidRPr="000E6AE7">
        <w:t>, X.1096(</w:t>
      </w:r>
      <w:proofErr w:type="spellStart"/>
      <w:r w:rsidRPr="000E6AE7">
        <w:t>X.bvm</w:t>
      </w:r>
      <w:proofErr w:type="spellEnd"/>
      <w:r w:rsidRPr="000E6AE7">
        <w:t>), X.1268(</w:t>
      </w:r>
      <w:proofErr w:type="spellStart"/>
      <w:r w:rsidRPr="000E6AE7">
        <w:t>X.oob</w:t>
      </w:r>
      <w:proofErr w:type="spellEnd"/>
      <w:r w:rsidRPr="000E6AE7">
        <w:t>-pacs), X.2310(</w:t>
      </w:r>
      <w:proofErr w:type="spellStart"/>
      <w:proofErr w:type="gramStart"/>
      <w:r w:rsidRPr="000E6AE7">
        <w:t>X.srdidm</w:t>
      </w:r>
      <w:proofErr w:type="spellEnd"/>
      <w:proofErr w:type="gramEnd"/>
      <w:r w:rsidRPr="000E6AE7">
        <w:t>), X.1097(</w:t>
      </w:r>
      <w:proofErr w:type="spellStart"/>
      <w:r w:rsidRPr="000E6AE7">
        <w:t>X.tas</w:t>
      </w:r>
      <w:proofErr w:type="spellEnd"/>
      <w:r w:rsidRPr="000E6AE7">
        <w:t>), X.1098(</w:t>
      </w:r>
      <w:proofErr w:type="spellStart"/>
      <w:r w:rsidRPr="000E6AE7">
        <w:t>X.tis</w:t>
      </w:r>
      <w:proofErr w:type="spellEnd"/>
      <w:r w:rsidRPr="000E6AE7">
        <w:t xml:space="preserve">), </w:t>
      </w:r>
      <w:proofErr w:type="spellStart"/>
      <w:proofErr w:type="gramStart"/>
      <w:r w:rsidRPr="000E6AE7">
        <w:t>X.vctp</w:t>
      </w:r>
      <w:proofErr w:type="spellEnd"/>
      <w:proofErr w:type="gramEnd"/>
      <w:r w:rsidRPr="000E6AE7">
        <w:t xml:space="preserve">, </w:t>
      </w:r>
      <w:proofErr w:type="spellStart"/>
      <w:proofErr w:type="gramStart"/>
      <w:r w:rsidRPr="000E6AE7">
        <w:t>X.sfdiw</w:t>
      </w:r>
      <w:proofErr w:type="spellEnd"/>
      <w:proofErr w:type="gramEnd"/>
      <w:r w:rsidRPr="000E6AE7">
        <w:t xml:space="preserve">, </w:t>
      </w:r>
      <w:proofErr w:type="spellStart"/>
      <w:r w:rsidRPr="000E6AE7">
        <w:t>X.sup-divs</w:t>
      </w:r>
      <w:proofErr w:type="spellEnd"/>
      <w:r w:rsidRPr="000E6AE7">
        <w:t xml:space="preserve">, </w:t>
      </w:r>
      <w:proofErr w:type="spellStart"/>
      <w:r w:rsidRPr="000E6AE7">
        <w:t>X.STR.SIMRegBio</w:t>
      </w:r>
      <w:proofErr w:type="spellEnd"/>
      <w:r w:rsidRPr="000E6AE7">
        <w:t xml:space="preserve">, X.1053rév, </w:t>
      </w:r>
      <w:proofErr w:type="spellStart"/>
      <w:r w:rsidRPr="000E6AE7">
        <w:t>X.cdc-csirt</w:t>
      </w:r>
      <w:proofErr w:type="spellEnd"/>
      <w:r w:rsidRPr="000E6AE7">
        <w:t xml:space="preserve">, </w:t>
      </w:r>
      <w:proofErr w:type="spellStart"/>
      <w:r w:rsidRPr="000E6AE7">
        <w:t>X.gsm-cdc</w:t>
      </w:r>
      <w:proofErr w:type="spellEnd"/>
      <w:r w:rsidRPr="000E6AE7">
        <w:t>, X.C2M2, X-</w:t>
      </w:r>
      <w:proofErr w:type="spellStart"/>
      <w:r w:rsidRPr="000E6AE7">
        <w:t>srm</w:t>
      </w:r>
      <w:proofErr w:type="spellEnd"/>
      <w:r w:rsidRPr="000E6AE7">
        <w:t xml:space="preserve">-sup, </w:t>
      </w:r>
      <w:proofErr w:type="spellStart"/>
      <w:proofErr w:type="gramStart"/>
      <w:r w:rsidRPr="000E6AE7">
        <w:t>X.AIssc</w:t>
      </w:r>
      <w:proofErr w:type="gramEnd"/>
      <w:r w:rsidRPr="000E6AE7">
        <w:t>-sm</w:t>
      </w:r>
      <w:proofErr w:type="spellEnd"/>
      <w:r w:rsidRPr="000E6AE7">
        <w:t xml:space="preserve">, et </w:t>
      </w:r>
      <w:proofErr w:type="spellStart"/>
      <w:proofErr w:type="gramStart"/>
      <w:r w:rsidRPr="000E6AE7">
        <w:t>TR.Aismf</w:t>
      </w:r>
      <w:proofErr w:type="spellEnd"/>
      <w:proofErr w:type="gramEnd"/>
      <w:r w:rsidRPr="000E6AE7">
        <w:t>.</w:t>
      </w:r>
    </w:p>
    <w:p w14:paraId="6FC26FD1" w14:textId="77777777" w:rsidR="00782616" w:rsidRPr="000E6AE7" w:rsidRDefault="00782616" w:rsidP="00782616">
      <w:pPr>
        <w:pStyle w:val="Heading3"/>
      </w:pPr>
      <w:r w:rsidRPr="000E6AE7">
        <w:t>2</w:t>
      </w:r>
      <w:r w:rsidRPr="000E6AE7">
        <w:tab/>
        <w:t>Questions</w:t>
      </w:r>
    </w:p>
    <w:p w14:paraId="114894CC" w14:textId="77777777" w:rsidR="00782616" w:rsidRPr="000E6AE7" w:rsidRDefault="00782616" w:rsidP="00782616">
      <w:r w:rsidRPr="000E6AE7">
        <w:t>Les sujets à étudier au titre de la présente Question sont notamment les suivants (la liste n'est pas exhaustive</w:t>
      </w:r>
      <w:proofErr w:type="gramStart"/>
      <w:r w:rsidRPr="000E6AE7">
        <w:t>):</w:t>
      </w:r>
      <w:proofErr w:type="gramEnd"/>
    </w:p>
    <w:p w14:paraId="288110EE" w14:textId="77777777" w:rsidR="00782616" w:rsidRPr="000E6AE7" w:rsidRDefault="00782616" w:rsidP="00782616">
      <w:pPr>
        <w:pStyle w:val="enumlev1"/>
      </w:pPr>
      <w:r w:rsidRPr="000E6AE7">
        <w:t>1)</w:t>
      </w:r>
      <w:r w:rsidRPr="000E6AE7">
        <w:tab/>
      </w:r>
      <w:bookmarkStart w:id="6" w:name="_Hlk221269885"/>
      <w:r w:rsidRPr="000E6AE7">
        <w:t xml:space="preserve">Quelles sont les composantes, les exigences et les considérations essentielles pour créer un cadre </w:t>
      </w:r>
      <w:proofErr w:type="spellStart"/>
      <w:r w:rsidRPr="000E6AE7">
        <w:t>IdM</w:t>
      </w:r>
      <w:proofErr w:type="spellEnd"/>
      <w:r w:rsidRPr="000E6AE7">
        <w:t xml:space="preserve"> sécurisé, centré sur l'utilisateur et compatible avec le nuage, prenant en charge les portefeuilles numériques, les identités DID, les justificatifs vérifiables, les technologies de registre distribué, le nuage, les IMT-2020/IMT-2030, les dispositifs mobiles et l'intégration avec les technologies de sécurité (par exemple, authentification MFA, IA) pour prévenir les </w:t>
      </w:r>
      <w:proofErr w:type="gramStart"/>
      <w:r w:rsidRPr="000E6AE7">
        <w:t>menaces?</w:t>
      </w:r>
      <w:proofErr w:type="gramEnd"/>
    </w:p>
    <w:p w14:paraId="7A73447D" w14:textId="77777777" w:rsidR="00782616" w:rsidRPr="000E6AE7" w:rsidRDefault="00782616" w:rsidP="00782616">
      <w:pPr>
        <w:pStyle w:val="enumlev1"/>
      </w:pPr>
      <w:r w:rsidRPr="000E6AE7">
        <w:t>2)</w:t>
      </w:r>
      <w:r w:rsidRPr="000E6AE7">
        <w:tab/>
        <w:t xml:space="preserve">De quelle manière les systèmes </w:t>
      </w:r>
      <w:proofErr w:type="spellStart"/>
      <w:r w:rsidRPr="000E6AE7">
        <w:t>IdM</w:t>
      </w:r>
      <w:proofErr w:type="spellEnd"/>
      <w:r w:rsidRPr="000E6AE7">
        <w:t xml:space="preserve"> peuvent-ils garantir l'interopérabilité entre les plates</w:t>
      </w:r>
      <w:r w:rsidRPr="000E6AE7">
        <w:noBreakHyphen/>
        <w:t xml:space="preserve">formes, y compris la fédération entre les systèmes, les services, les dispositifs, l'IoT et les </w:t>
      </w:r>
      <w:proofErr w:type="gramStart"/>
      <w:r w:rsidRPr="000E6AE7">
        <w:t>applications?</w:t>
      </w:r>
      <w:proofErr w:type="gramEnd"/>
    </w:p>
    <w:p w14:paraId="33175AEF" w14:textId="77777777" w:rsidR="00782616" w:rsidRPr="000E6AE7" w:rsidRDefault="00782616" w:rsidP="00782616">
      <w:pPr>
        <w:pStyle w:val="enumlev1"/>
      </w:pPr>
      <w:r w:rsidRPr="000E6AE7">
        <w:t>3)</w:t>
      </w:r>
      <w:r w:rsidRPr="000E6AE7">
        <w:tab/>
        <w:t xml:space="preserve">Quels sont les besoins pour protéger et partager les informations PII, y compris la mise en œuvre efficace de la </w:t>
      </w:r>
      <w:proofErr w:type="gramStart"/>
      <w:r w:rsidRPr="000E6AE7">
        <w:t>gestion?</w:t>
      </w:r>
      <w:proofErr w:type="gramEnd"/>
    </w:p>
    <w:p w14:paraId="22084F7A" w14:textId="77777777" w:rsidR="00782616" w:rsidRPr="000E6AE7" w:rsidRDefault="00782616" w:rsidP="00782616">
      <w:pPr>
        <w:pStyle w:val="enumlev1"/>
      </w:pPr>
      <w:r w:rsidRPr="000E6AE7">
        <w:t>4)</w:t>
      </w:r>
      <w:r w:rsidRPr="000E6AE7">
        <w:tab/>
        <w:t xml:space="preserve">De quelle manière les utilisateurs peuvent-ils contrôler les relations fondées sur l'identité et de quelle manière la confiance et les relations améliorent-elles la récupération des comptes, la sécurité des utilisateurs et l'expérience utilisateur dans les relations avec les parties </w:t>
      </w:r>
      <w:proofErr w:type="gramStart"/>
      <w:r w:rsidRPr="000E6AE7">
        <w:t>utilisatrices?</w:t>
      </w:r>
      <w:proofErr w:type="gramEnd"/>
    </w:p>
    <w:p w14:paraId="33DDCE31" w14:textId="77777777" w:rsidR="00782616" w:rsidRPr="000E6AE7" w:rsidRDefault="00782616" w:rsidP="00782616">
      <w:pPr>
        <w:pStyle w:val="enumlev1"/>
      </w:pPr>
      <w:r w:rsidRPr="000E6AE7">
        <w:t>5)</w:t>
      </w:r>
      <w:r w:rsidRPr="000E6AE7">
        <w:tab/>
        <w:t xml:space="preserve">De quelle manière la gestion </w:t>
      </w:r>
      <w:proofErr w:type="spellStart"/>
      <w:r w:rsidRPr="000E6AE7">
        <w:t>IdM</w:t>
      </w:r>
      <w:proofErr w:type="spellEnd"/>
      <w:r w:rsidRPr="000E6AE7">
        <w:t xml:space="preserve"> peut-elle prendre en charge la vérification de l'âge, protéger les mineurs en ligne et assurer la vérification des attributs d'identité tels que l'âge, le lieu de résidence et la localisation à l'aide des identités </w:t>
      </w:r>
      <w:proofErr w:type="gramStart"/>
      <w:r w:rsidRPr="000E6AE7">
        <w:t>DID?</w:t>
      </w:r>
      <w:proofErr w:type="gramEnd"/>
    </w:p>
    <w:p w14:paraId="5F3C0398" w14:textId="77777777" w:rsidR="00782616" w:rsidRPr="000E6AE7" w:rsidRDefault="00782616" w:rsidP="00782616">
      <w:pPr>
        <w:pStyle w:val="enumlev1"/>
      </w:pPr>
      <w:r w:rsidRPr="000E6AE7">
        <w:t>6)</w:t>
      </w:r>
      <w:r w:rsidRPr="000E6AE7">
        <w:tab/>
        <w:t xml:space="preserve">De quelle manière les registres de confiance peuvent-ils permettre la gestion des accès et des identités (IAM) </w:t>
      </w:r>
      <w:proofErr w:type="gramStart"/>
      <w:r w:rsidRPr="000E6AE7">
        <w:t>sécurisée?</w:t>
      </w:r>
      <w:proofErr w:type="gramEnd"/>
    </w:p>
    <w:p w14:paraId="1C62B73C" w14:textId="77777777" w:rsidR="00782616" w:rsidRPr="000E6AE7" w:rsidRDefault="00782616" w:rsidP="00782616">
      <w:pPr>
        <w:pStyle w:val="enumlev1"/>
      </w:pPr>
      <w:r w:rsidRPr="000E6AE7">
        <w:lastRenderedPageBreak/>
        <w:t>7)</w:t>
      </w:r>
      <w:r w:rsidRPr="000E6AE7">
        <w:tab/>
        <w:t xml:space="preserve">Comment l'authentification fondée sur une infrastructure PKI peut-elle être effectuée de manière interopérable et </w:t>
      </w:r>
      <w:proofErr w:type="gramStart"/>
      <w:r w:rsidRPr="000E6AE7">
        <w:t>sécurisée?</w:t>
      </w:r>
      <w:proofErr w:type="gramEnd"/>
    </w:p>
    <w:p w14:paraId="121C4A8C" w14:textId="77777777" w:rsidR="00782616" w:rsidRPr="000E6AE7" w:rsidRDefault="00782616" w:rsidP="00782616">
      <w:pPr>
        <w:pStyle w:val="enumlev1"/>
      </w:pPr>
      <w:r w:rsidRPr="000E6AE7">
        <w:t>8)</w:t>
      </w:r>
      <w:r w:rsidRPr="000E6AE7">
        <w:tab/>
        <w:t xml:space="preserve">De quelle manière de systèmes </w:t>
      </w:r>
      <w:proofErr w:type="spellStart"/>
      <w:r w:rsidRPr="000E6AE7">
        <w:t>IdM</w:t>
      </w:r>
      <w:proofErr w:type="spellEnd"/>
      <w:r w:rsidRPr="000E6AE7">
        <w:t xml:space="preserve"> sans mot de passe peuvent-ils améliorer l'expérience utilisateur et la </w:t>
      </w:r>
      <w:proofErr w:type="gramStart"/>
      <w:r w:rsidRPr="000E6AE7">
        <w:t>sécurité?</w:t>
      </w:r>
      <w:proofErr w:type="gramEnd"/>
    </w:p>
    <w:p w14:paraId="626496DA" w14:textId="77777777" w:rsidR="00782616" w:rsidRPr="000E6AE7" w:rsidRDefault="00782616" w:rsidP="00782616">
      <w:pPr>
        <w:pStyle w:val="enumlev1"/>
      </w:pPr>
      <w:r w:rsidRPr="000E6AE7">
        <w:t>9)</w:t>
      </w:r>
      <w:r w:rsidRPr="000E6AE7">
        <w:tab/>
        <w:t xml:space="preserve">Quelles sont les exigences </w:t>
      </w:r>
      <w:proofErr w:type="spellStart"/>
      <w:r w:rsidRPr="000E6AE7">
        <w:t>IdM</w:t>
      </w:r>
      <w:proofErr w:type="spellEnd"/>
      <w:r w:rsidRPr="000E6AE7">
        <w:t xml:space="preserve"> propres aux fournisseurs de services et comment la gestion </w:t>
      </w:r>
      <w:proofErr w:type="spellStart"/>
      <w:r w:rsidRPr="000E6AE7">
        <w:t>IdM</w:t>
      </w:r>
      <w:proofErr w:type="spellEnd"/>
      <w:r w:rsidRPr="000E6AE7">
        <w:t xml:space="preserve"> peut-elle protéger contre les </w:t>
      </w:r>
      <w:proofErr w:type="gramStart"/>
      <w:r w:rsidRPr="000E6AE7">
        <w:t>cyberattaques?</w:t>
      </w:r>
      <w:proofErr w:type="gramEnd"/>
    </w:p>
    <w:p w14:paraId="47FC19AA" w14:textId="77777777" w:rsidR="00782616" w:rsidRPr="000E6AE7" w:rsidRDefault="00782616" w:rsidP="00782616">
      <w:pPr>
        <w:pStyle w:val="enumlev1"/>
      </w:pPr>
      <w:r w:rsidRPr="000E6AE7">
        <w:t>10)</w:t>
      </w:r>
      <w:r w:rsidRPr="000E6AE7">
        <w:tab/>
        <w:t xml:space="preserve">Quels sont les exigences et les mécanismes de garantie d'identité pour l'authentification et la fédération, y compris la mise en correspondance et l'interfonctionnement de méthodes différentes dans les </w:t>
      </w:r>
      <w:proofErr w:type="gramStart"/>
      <w:r w:rsidRPr="000E6AE7">
        <w:t>réseaux?</w:t>
      </w:r>
      <w:proofErr w:type="gramEnd"/>
    </w:p>
    <w:p w14:paraId="2D715AE3" w14:textId="77777777" w:rsidR="00782616" w:rsidRPr="000E6AE7" w:rsidRDefault="00782616" w:rsidP="00782616">
      <w:pPr>
        <w:pStyle w:val="enumlev1"/>
      </w:pPr>
      <w:r w:rsidRPr="000E6AE7">
        <w:t>11)</w:t>
      </w:r>
      <w:r w:rsidRPr="000E6AE7">
        <w:tab/>
        <w:t xml:space="preserve">Quelles sont les exigences applicables à l'intégration des mécanismes </w:t>
      </w:r>
      <w:proofErr w:type="spellStart"/>
      <w:r w:rsidRPr="000E6AE7">
        <w:t>IdM</w:t>
      </w:r>
      <w:proofErr w:type="spellEnd"/>
      <w:r w:rsidRPr="000E6AE7">
        <w:t xml:space="preserve"> et de confiance pour assurer la </w:t>
      </w:r>
      <w:proofErr w:type="gramStart"/>
      <w:r w:rsidRPr="000E6AE7">
        <w:t>sécurité?</w:t>
      </w:r>
      <w:proofErr w:type="gramEnd"/>
    </w:p>
    <w:p w14:paraId="70B87EEB" w14:textId="77777777" w:rsidR="00782616" w:rsidRPr="000E6AE7" w:rsidRDefault="00782616" w:rsidP="00782616">
      <w:pPr>
        <w:pStyle w:val="enumlev1"/>
      </w:pPr>
      <w:r w:rsidRPr="000E6AE7">
        <w:t>12)</w:t>
      </w:r>
      <w:r w:rsidRPr="000E6AE7">
        <w:tab/>
        <w:t xml:space="preserve">Comment peut-on utiliser la biométrie en tant qu'élément d'une authentification forte et de la couche de confiance pour permettre des interactions de confiance sur les réseaux, y compris l'intégration dans des cadres et les exigences en matière d'identité de confiance pour des réseaux évolués sécurisés très </w:t>
      </w:r>
      <w:proofErr w:type="gramStart"/>
      <w:r w:rsidRPr="000E6AE7">
        <w:t>performants?</w:t>
      </w:r>
      <w:proofErr w:type="gramEnd"/>
      <w:r w:rsidRPr="000E6AE7">
        <w:t xml:space="preserve"> </w:t>
      </w:r>
    </w:p>
    <w:p w14:paraId="70E9F002" w14:textId="77777777" w:rsidR="00782616" w:rsidRPr="000E6AE7" w:rsidRDefault="00782616" w:rsidP="00782616">
      <w:pPr>
        <w:pStyle w:val="enumlev1"/>
      </w:pPr>
      <w:r w:rsidRPr="000E6AE7">
        <w:t>13)</w:t>
      </w:r>
      <w:r w:rsidRPr="000E6AE7">
        <w:tab/>
        <w:t>Quelles sont les exigences pour l'évaluation des techniques de sécurité et de protection des données opérationnelles et techniques dans le cadre de la biométrie, y compris l'évaluation de l'efficacité contre les risques et la mise au point de systèmes conformes aux exigences de sécurité (par exemple, pour l'informatique en nuage</w:t>
      </w:r>
      <w:proofErr w:type="gramStart"/>
      <w:r w:rsidRPr="000E6AE7">
        <w:t>)?</w:t>
      </w:r>
      <w:proofErr w:type="gramEnd"/>
    </w:p>
    <w:p w14:paraId="59A979A1" w14:textId="77777777" w:rsidR="00782616" w:rsidRPr="000E6AE7" w:rsidRDefault="00782616" w:rsidP="00782616">
      <w:pPr>
        <w:pStyle w:val="enumlev1"/>
      </w:pPr>
      <w:r w:rsidRPr="000E6AE7">
        <w:t>14)</w:t>
      </w:r>
      <w:r w:rsidRPr="000E6AE7">
        <w:tab/>
        <w:t xml:space="preserve">Comment peut-on améliorer l'identification et l'authentification des utilisateurs en termes de sécurité et de sûreté en utilisant des modèles biométriques </w:t>
      </w:r>
      <w:proofErr w:type="gramStart"/>
      <w:r w:rsidRPr="000E6AE7">
        <w:t>interopérables?</w:t>
      </w:r>
      <w:proofErr w:type="gramEnd"/>
    </w:p>
    <w:p w14:paraId="55AC0DE6" w14:textId="77777777" w:rsidR="00782616" w:rsidRPr="000E6AE7" w:rsidRDefault="00782616" w:rsidP="00782616">
      <w:pPr>
        <w:pStyle w:val="enumlev1"/>
      </w:pPr>
      <w:r w:rsidRPr="000E6AE7">
        <w:t>15)</w:t>
      </w:r>
      <w:r w:rsidRPr="000E6AE7">
        <w:tab/>
        <w:t xml:space="preserve">Comment les métriques biologiques peuvent-ils être transmis entre des systèmes biologiques et des machines, tout en assurant l'interfonctionnement avec les protocoles existants de machine à </w:t>
      </w:r>
      <w:proofErr w:type="gramStart"/>
      <w:r w:rsidRPr="000E6AE7">
        <w:t>machine?</w:t>
      </w:r>
      <w:proofErr w:type="gramEnd"/>
    </w:p>
    <w:p w14:paraId="449E066C" w14:textId="77777777" w:rsidR="00782616" w:rsidRPr="000E6AE7" w:rsidRDefault="00782616" w:rsidP="00782616">
      <w:pPr>
        <w:pStyle w:val="enumlev1"/>
      </w:pPr>
      <w:r w:rsidRPr="000E6AE7">
        <w:t>16)</w:t>
      </w:r>
      <w:r w:rsidRPr="000E6AE7">
        <w:tab/>
        <w:t xml:space="preserve">Comment les </w:t>
      </w:r>
      <w:proofErr w:type="spellStart"/>
      <w:r w:rsidRPr="000E6AE7">
        <w:t>biosignaux</w:t>
      </w:r>
      <w:proofErr w:type="spellEnd"/>
      <w:r w:rsidRPr="000E6AE7">
        <w:t xml:space="preserve"> peuvent-ils être utilisés pour les applications </w:t>
      </w:r>
      <w:proofErr w:type="spellStart"/>
      <w:r w:rsidRPr="000E6AE7">
        <w:t>télébiométriques</w:t>
      </w:r>
      <w:proofErr w:type="spellEnd"/>
      <w:r w:rsidRPr="000E6AE7">
        <w:t xml:space="preserve">, y compris les utilisations potentielles, et quelles sont les exigences pour permettre le traitement sécurisé des données biométriques pour la </w:t>
      </w:r>
      <w:proofErr w:type="spellStart"/>
      <w:r w:rsidRPr="000E6AE7">
        <w:t>télébiométrie</w:t>
      </w:r>
      <w:proofErr w:type="spellEnd"/>
      <w:r w:rsidRPr="000E6AE7">
        <w:t xml:space="preserve"> (par exemple, </w:t>
      </w:r>
      <w:proofErr w:type="spellStart"/>
      <w:r w:rsidRPr="000E6AE7">
        <w:t>cybersanté</w:t>
      </w:r>
      <w:proofErr w:type="spellEnd"/>
      <w:proofErr w:type="gramStart"/>
      <w:r w:rsidRPr="000E6AE7">
        <w:t>)?</w:t>
      </w:r>
      <w:proofErr w:type="gramEnd"/>
    </w:p>
    <w:p w14:paraId="7D693D37" w14:textId="779C72A7" w:rsidR="00782616" w:rsidRPr="000E6AE7" w:rsidRDefault="00782616" w:rsidP="00782616">
      <w:pPr>
        <w:pStyle w:val="enumlev1"/>
      </w:pPr>
      <w:r w:rsidRPr="000E6AE7">
        <w:t>17)</w:t>
      </w:r>
      <w:r w:rsidRPr="000E6AE7">
        <w:tab/>
        <w:t xml:space="preserve">Quelles sont les incidences de l'IA sur la biométrie et la gestion </w:t>
      </w:r>
      <w:proofErr w:type="gramStart"/>
      <w:r w:rsidRPr="000E6AE7">
        <w:t>d'identité?</w:t>
      </w:r>
      <w:proofErr w:type="gramEnd"/>
    </w:p>
    <w:p w14:paraId="495E5AF8" w14:textId="77777777" w:rsidR="00782616" w:rsidRPr="000E6AE7" w:rsidRDefault="00782616" w:rsidP="00782616">
      <w:pPr>
        <w:pStyle w:val="enumlev1"/>
      </w:pPr>
      <w:r w:rsidRPr="000E6AE7">
        <w:t>18)</w:t>
      </w:r>
      <w:r w:rsidRPr="000E6AE7">
        <w:tab/>
        <w:t xml:space="preserve">Quel type de système devrait prendre en charge le dispositif de sécurité d'une organisation dans le </w:t>
      </w:r>
      <w:proofErr w:type="spellStart"/>
      <w:r w:rsidRPr="000E6AE7">
        <w:t>cyberenvironnement</w:t>
      </w:r>
      <w:proofErr w:type="spellEnd"/>
      <w:r w:rsidRPr="000E6AE7">
        <w:t xml:space="preserve"> actuel, y compris les fonctions de gouvernance essentielles pour la stratégie de sécurité, la gestion opérationnelle et les exigences pour les mécanismes </w:t>
      </w:r>
      <w:proofErr w:type="spellStart"/>
      <w:r w:rsidRPr="000E6AE7">
        <w:t>IdM</w:t>
      </w:r>
      <w:proofErr w:type="spellEnd"/>
      <w:r w:rsidRPr="000E6AE7">
        <w:t xml:space="preserve"> et de </w:t>
      </w:r>
      <w:proofErr w:type="gramStart"/>
      <w:r w:rsidRPr="000E6AE7">
        <w:t>confiance?</w:t>
      </w:r>
      <w:proofErr w:type="gramEnd"/>
    </w:p>
    <w:p w14:paraId="43D4BCD4" w14:textId="77777777" w:rsidR="00782616" w:rsidRPr="000E6AE7" w:rsidRDefault="00782616" w:rsidP="00782616">
      <w:pPr>
        <w:pStyle w:val="enumlev1"/>
      </w:pPr>
      <w:r w:rsidRPr="000E6AE7">
        <w:t>19)</w:t>
      </w:r>
      <w:r w:rsidRPr="000E6AE7">
        <w:tab/>
        <w:t xml:space="preserve">De quelle manière les questions liées à la gestion de la sécurité propres aux organisations de télécommunication devraient-elles être identifiées, y compris la mesure, la gestion pour les organisations (par exemple, pour les PME) et les difficultés rencontrées dans la mise en œuvre des normes de gestion de la </w:t>
      </w:r>
      <w:proofErr w:type="gramStart"/>
      <w:r w:rsidRPr="000E6AE7">
        <w:t>sécurité?</w:t>
      </w:r>
      <w:proofErr w:type="gramEnd"/>
    </w:p>
    <w:p w14:paraId="535CD799" w14:textId="77777777" w:rsidR="00782616" w:rsidRPr="000E6AE7" w:rsidRDefault="00782616" w:rsidP="00782616">
      <w:pPr>
        <w:pStyle w:val="enumlev1"/>
      </w:pPr>
      <w:r w:rsidRPr="000E6AE7">
        <w:t>20)</w:t>
      </w:r>
      <w:r w:rsidRPr="000E6AE7">
        <w:tab/>
        <w:t xml:space="preserve">De quelle manière les concepts, les principes et les bonnes pratiques concernant la gouvernance de la sécurité (y compris, l'IA pour la sécurité) devraient-ils être appliqués pour donner des orientations en matière de services de sécurité dans les organisations, par exemple, les centres CDC/CSC et les différents types </w:t>
      </w:r>
      <w:proofErr w:type="gramStart"/>
      <w:r w:rsidRPr="000E6AE7">
        <w:t>d'IRT?</w:t>
      </w:r>
      <w:proofErr w:type="gramEnd"/>
    </w:p>
    <w:p w14:paraId="2BC7E678" w14:textId="64038F47" w:rsidR="00782616" w:rsidRPr="000E6AE7" w:rsidRDefault="00782616" w:rsidP="00782616">
      <w:pPr>
        <w:pStyle w:val="enumlev1"/>
      </w:pPr>
      <w:r w:rsidRPr="000E6AE7">
        <w:t>21)</w:t>
      </w:r>
      <w:r w:rsidRPr="000E6AE7">
        <w:tab/>
        <w:t>Comment mettre en place correctement une gestion de la sécurité de l'information pour les organisations de télécommunication en utilisant les normes existantes (UIT-T, ISO/CEI, etc.</w:t>
      </w:r>
      <w:proofErr w:type="gramStart"/>
      <w:r w:rsidRPr="000E6AE7">
        <w:t>)?</w:t>
      </w:r>
      <w:proofErr w:type="gramEnd"/>
    </w:p>
    <w:p w14:paraId="2EE153ED" w14:textId="44755325" w:rsidR="00782616" w:rsidRPr="000E6AE7" w:rsidRDefault="00782616" w:rsidP="00782616">
      <w:pPr>
        <w:pStyle w:val="enumlev1"/>
      </w:pPr>
      <w:r w:rsidRPr="000E6AE7">
        <w:lastRenderedPageBreak/>
        <w:t>22)</w:t>
      </w:r>
      <w:r w:rsidRPr="000E6AE7">
        <w:tab/>
        <w:t xml:space="preserve">Comment une organisation devrait-elle procéder pour renforcer les capacités et les compétences de son personnel en matière de </w:t>
      </w:r>
      <w:proofErr w:type="gramStart"/>
      <w:r w:rsidRPr="000E6AE7">
        <w:t>sécurité?</w:t>
      </w:r>
      <w:proofErr w:type="gramEnd"/>
    </w:p>
    <w:p w14:paraId="155D65C5" w14:textId="30ABA8BE" w:rsidR="00782616" w:rsidRPr="000E6AE7" w:rsidRDefault="00782616" w:rsidP="00782616">
      <w:pPr>
        <w:pStyle w:val="enumlev1"/>
      </w:pPr>
      <w:r w:rsidRPr="000E6AE7">
        <w:t>23)</w:t>
      </w:r>
      <w:r w:rsidRPr="000E6AE7">
        <w:tab/>
        <w:t xml:space="preserve">Comment une organisation devrait-elle procéder pour identifier les relations entre les centres CDC et les équipes </w:t>
      </w:r>
      <w:proofErr w:type="gramStart"/>
      <w:r w:rsidRPr="000E6AE7">
        <w:t>CSIRT?</w:t>
      </w:r>
      <w:proofErr w:type="gramEnd"/>
    </w:p>
    <w:p w14:paraId="3B15F2A9" w14:textId="77777777" w:rsidR="00782616" w:rsidRPr="000E6AE7" w:rsidRDefault="00782616" w:rsidP="00782616">
      <w:pPr>
        <w:pStyle w:val="enumlev1"/>
      </w:pPr>
      <w:r w:rsidRPr="000E6AE7">
        <w:t>24)</w:t>
      </w:r>
      <w:r w:rsidRPr="000E6AE7">
        <w:tab/>
        <w:t xml:space="preserve">Comment une organisation devrait-elle procéder pour faire une comparaison des niveaux de maturité en matière de cybersécurité, rendre ces niveaux mesurables et gérer les risques pour la chaîne d'approvisionnement </w:t>
      </w:r>
      <w:proofErr w:type="gramStart"/>
      <w:r w:rsidRPr="000E6AE7">
        <w:t>logicielle?</w:t>
      </w:r>
      <w:proofErr w:type="gramEnd"/>
    </w:p>
    <w:p w14:paraId="540B0ACB" w14:textId="5A9C13AD" w:rsidR="00782616" w:rsidRPr="000E6AE7" w:rsidRDefault="00782616" w:rsidP="00782616">
      <w:pPr>
        <w:pStyle w:val="enumlev1"/>
      </w:pPr>
      <w:r w:rsidRPr="000E6AE7">
        <w:t>25)</w:t>
      </w:r>
      <w:r w:rsidRPr="000E6AE7">
        <w:tab/>
        <w:t xml:space="preserve">Quels cadres permettent l'interopérabilité mondiale pour les portefeuilles d'identités numériques au sein d'écosystèmes d'identités décentralisées, y compris les exigences pour l'application des politiques d'accès fondées sur les préférences des </w:t>
      </w:r>
      <w:proofErr w:type="gramStart"/>
      <w:r w:rsidRPr="000E6AE7">
        <w:t>utilisateurs?</w:t>
      </w:r>
      <w:proofErr w:type="gramEnd"/>
    </w:p>
    <w:p w14:paraId="46A9FFF0" w14:textId="77777777" w:rsidR="00782616" w:rsidRPr="000E6AE7" w:rsidRDefault="00782616" w:rsidP="00782616">
      <w:pPr>
        <w:pStyle w:val="enumlev1"/>
      </w:pPr>
      <w:r w:rsidRPr="000E6AE7">
        <w:t>26)</w:t>
      </w:r>
      <w:r w:rsidRPr="000E6AE7">
        <w:tab/>
        <w:t xml:space="preserve">Quelles sont les exigences pour élargir la gestion d'identité numérique afin de prendre en charge la gestion des entités d'IA agentique, y compris la définition de l'identité (attributs, justificatifs, rôles), le cycle de vie (création, rattachement, délégation, révocation, résiliation), les mécanismes d'authentification (par exemple, identités DID, </w:t>
      </w:r>
      <w:proofErr w:type="spellStart"/>
      <w:r w:rsidRPr="000E6AE7">
        <w:t>Passkey</w:t>
      </w:r>
      <w:proofErr w:type="spellEnd"/>
      <w:r w:rsidRPr="000E6AE7">
        <w:t xml:space="preserve">), les flux de délégation, l'utilisation </w:t>
      </w:r>
      <w:proofErr w:type="spellStart"/>
      <w:r w:rsidRPr="000E6AE7">
        <w:t>interdomaine</w:t>
      </w:r>
      <w:proofErr w:type="spellEnd"/>
      <w:r w:rsidRPr="000E6AE7">
        <w:t>, les protocoles de fédération, les cadres de confiance, l'association avec le propriétaire/contrôleur, les modèles de responsabilité, les structures de surveillance, la conformité aux règles de protection de la vie privée/protection des informations PPI/de vérifiabilité et les normes applicables aux niveaux de garantie?</w:t>
      </w:r>
    </w:p>
    <w:p w14:paraId="02CC6D23" w14:textId="77777777" w:rsidR="00782616" w:rsidRPr="000E6AE7" w:rsidRDefault="00782616" w:rsidP="00782616">
      <w:pPr>
        <w:pStyle w:val="enumlev1"/>
      </w:pPr>
      <w:r w:rsidRPr="000E6AE7">
        <w:t>27)</w:t>
      </w:r>
      <w:r w:rsidRPr="000E6AE7">
        <w:tab/>
        <w:t xml:space="preserve">Quels sont les modèles de données pour les justificatifs vérifiables, y compris le schéma standard des attributs liés à l'identité (par exemple, nom, rôle, organisation, rattachement d'agent) et les métadonnées concernant la délivrance, l'expiration, la révocation et le niveau de </w:t>
      </w:r>
      <w:proofErr w:type="gramStart"/>
      <w:r w:rsidRPr="000E6AE7">
        <w:t>garantie?</w:t>
      </w:r>
      <w:proofErr w:type="gramEnd"/>
    </w:p>
    <w:p w14:paraId="77838E1C" w14:textId="77777777" w:rsidR="00782616" w:rsidRPr="000E6AE7" w:rsidRDefault="00782616" w:rsidP="00782616">
      <w:pPr>
        <w:pStyle w:val="enumlev1"/>
      </w:pPr>
      <w:r w:rsidRPr="000E6AE7">
        <w:t>28)</w:t>
      </w:r>
      <w:r w:rsidRPr="000E6AE7">
        <w:tab/>
        <w:t xml:space="preserve">Quels sont les formats et signatures des justificatifs vérifiables, y compris les suites cryptographiques communes (par exemple, JSON-LD, JWT, BBS+ pour la divulgation sélective) et la prise en charge des algorithmes post-quantiques dans le </w:t>
      </w:r>
      <w:proofErr w:type="gramStart"/>
      <w:r w:rsidRPr="000E6AE7">
        <w:t>futur?</w:t>
      </w:r>
      <w:proofErr w:type="gramEnd"/>
    </w:p>
    <w:p w14:paraId="0CEFC36F" w14:textId="77777777" w:rsidR="00782616" w:rsidRPr="000E6AE7" w:rsidRDefault="00782616" w:rsidP="00782616">
      <w:pPr>
        <w:pStyle w:val="enumlev1"/>
      </w:pPr>
      <w:r w:rsidRPr="000E6AE7">
        <w:t>29)</w:t>
      </w:r>
      <w:r w:rsidRPr="000E6AE7">
        <w:tab/>
        <w:t xml:space="preserve">Quels sont les méthodes et identificateurs DID, y compris l'utilisation normalisée des identités DID (par exemple, </w:t>
      </w:r>
      <w:proofErr w:type="spellStart"/>
      <w:proofErr w:type="gramStart"/>
      <w:r w:rsidRPr="000E6AE7">
        <w:t>DID:web</w:t>
      </w:r>
      <w:proofErr w:type="spellEnd"/>
      <w:proofErr w:type="gramEnd"/>
      <w:r w:rsidRPr="000E6AE7">
        <w:t xml:space="preserve">, </w:t>
      </w:r>
      <w:proofErr w:type="spellStart"/>
      <w:proofErr w:type="gramStart"/>
      <w:r w:rsidRPr="000E6AE7">
        <w:t>DID:</w:t>
      </w:r>
      <w:proofErr w:type="gramEnd"/>
      <w:r w:rsidRPr="000E6AE7">
        <w:t>key</w:t>
      </w:r>
      <w:proofErr w:type="spellEnd"/>
      <w:r w:rsidRPr="000E6AE7">
        <w:t xml:space="preserve">) pour les émetteurs, les détenteurs et les agents, avec des règles de résolution pour l'interopérabilité </w:t>
      </w:r>
      <w:proofErr w:type="spellStart"/>
      <w:proofErr w:type="gramStart"/>
      <w:r w:rsidRPr="000E6AE7">
        <w:t>interdomaine</w:t>
      </w:r>
      <w:proofErr w:type="spellEnd"/>
      <w:r w:rsidRPr="000E6AE7">
        <w:t>?</w:t>
      </w:r>
      <w:proofErr w:type="gramEnd"/>
    </w:p>
    <w:p w14:paraId="65293C15" w14:textId="77777777" w:rsidR="00782616" w:rsidRPr="000E6AE7" w:rsidRDefault="00782616" w:rsidP="00782616">
      <w:pPr>
        <w:pStyle w:val="enumlev1"/>
      </w:pPr>
      <w:r w:rsidRPr="000E6AE7">
        <w:t>30)</w:t>
      </w:r>
      <w:r w:rsidRPr="000E6AE7">
        <w:tab/>
        <w:t xml:space="preserve">Quels sont les cadres de rattachement et de confiance, y compris la manière dont les justificatifs vérifiables lient une identité à une personne, une organisation ou un agent IA, les politiques relatives aux niveaux de garantie (de faible à </w:t>
      </w:r>
      <w:proofErr w:type="spellStart"/>
      <w:r w:rsidRPr="000E6AE7">
        <w:t>élevé</w:t>
      </w:r>
      <w:proofErr w:type="spellEnd"/>
      <w:r w:rsidRPr="000E6AE7">
        <w:t xml:space="preserve">) et les modèles de </w:t>
      </w:r>
      <w:proofErr w:type="gramStart"/>
      <w:r w:rsidRPr="000E6AE7">
        <w:t>responsabilité?</w:t>
      </w:r>
      <w:proofErr w:type="gramEnd"/>
    </w:p>
    <w:p w14:paraId="79F2EBC2" w14:textId="77777777" w:rsidR="00782616" w:rsidRPr="000E6AE7" w:rsidRDefault="00782616" w:rsidP="00782616">
      <w:pPr>
        <w:pStyle w:val="enumlev1"/>
      </w:pPr>
      <w:r w:rsidRPr="000E6AE7">
        <w:t>31)</w:t>
      </w:r>
      <w:r w:rsidRPr="000E6AE7">
        <w:tab/>
        <w:t xml:space="preserve">Quels devraient être les protocoles interopérables (par exemple, OIDC4VC, </w:t>
      </w:r>
      <w:proofErr w:type="spellStart"/>
      <w:r w:rsidRPr="000E6AE7">
        <w:t>DIDComm</w:t>
      </w:r>
      <w:proofErr w:type="spellEnd"/>
      <w:r w:rsidRPr="000E6AE7">
        <w:t xml:space="preserve">, CHAPI) pour la délivrance, la présentation, la vérification et les formats </w:t>
      </w:r>
      <w:bookmarkEnd w:id="6"/>
      <w:r w:rsidRPr="000E6AE7">
        <w:t>de présentation types pour différents contextes (mobile, entre agent, fédéré</w:t>
      </w:r>
      <w:proofErr w:type="gramStart"/>
      <w:r w:rsidRPr="000E6AE7">
        <w:t>)?</w:t>
      </w:r>
      <w:proofErr w:type="gramEnd"/>
    </w:p>
    <w:p w14:paraId="774B7486" w14:textId="77777777" w:rsidR="00782616" w:rsidRPr="000E6AE7" w:rsidRDefault="00782616" w:rsidP="00782616">
      <w:pPr>
        <w:pStyle w:val="Heading3"/>
      </w:pPr>
      <w:r w:rsidRPr="000E6AE7">
        <w:t>3</w:t>
      </w:r>
      <w:r w:rsidRPr="000E6AE7">
        <w:tab/>
        <w:t>Tâches</w:t>
      </w:r>
    </w:p>
    <w:p w14:paraId="24C22D0C" w14:textId="77777777" w:rsidR="00782616" w:rsidRPr="000E6AE7" w:rsidRDefault="00782616" w:rsidP="00782616">
      <w:r w:rsidRPr="000E6AE7">
        <w:t xml:space="preserve">Les tâches se rapportant à cette Question sont les </w:t>
      </w:r>
      <w:proofErr w:type="gramStart"/>
      <w:r w:rsidRPr="000E6AE7">
        <w:t>suivantes:</w:t>
      </w:r>
      <w:proofErr w:type="gramEnd"/>
    </w:p>
    <w:p w14:paraId="4846DC48" w14:textId="77777777" w:rsidR="00782616" w:rsidRPr="000E6AE7" w:rsidRDefault="00782616" w:rsidP="00782616">
      <w:pPr>
        <w:pStyle w:val="enumlev1"/>
      </w:pPr>
      <w:r w:rsidRPr="000E6AE7">
        <w:t>–</w:t>
      </w:r>
      <w:r w:rsidRPr="000E6AE7">
        <w:tab/>
        <w:t xml:space="preserve">Élaborer un cadre </w:t>
      </w:r>
      <w:proofErr w:type="spellStart"/>
      <w:r w:rsidRPr="000E6AE7">
        <w:t>IdM</w:t>
      </w:r>
      <w:proofErr w:type="spellEnd"/>
      <w:r w:rsidRPr="000E6AE7">
        <w:t xml:space="preserve"> sécurisé centré sur l'utilisateur intégrant la chaîne de blocs, les portefeuilles numériques, les identités DID, les justificatifs vérifiables, l'authentification MFA, l'IA, le chiffrement, l'infrastructure PKI, l'authentification sans mot de passe et la prise en charge des systèmes en nuage, IMT-2020/IMT-2030, mobiles et IoT, tout en mettant l'accent sur le contrôle par l'utilisateur, le respect de la vie privée, l'interopérabilité, la fédération et la protection contre les cyberattaques. </w:t>
      </w:r>
    </w:p>
    <w:p w14:paraId="617D9577" w14:textId="77777777" w:rsidR="00782616" w:rsidRPr="000E6AE7" w:rsidRDefault="00782616" w:rsidP="00782616">
      <w:pPr>
        <w:pStyle w:val="enumlev1"/>
      </w:pPr>
      <w:r w:rsidRPr="000E6AE7">
        <w:tab/>
        <w:t xml:space="preserve">Cette tâche correspond aux sujets 1, 2, 7, 8, 9, 10 et 11 </w:t>
      </w:r>
      <w:proofErr w:type="gramStart"/>
      <w:r w:rsidRPr="000E6AE7">
        <w:t>figurant</w:t>
      </w:r>
      <w:proofErr w:type="gramEnd"/>
      <w:r w:rsidRPr="000E6AE7">
        <w:t xml:space="preserve"> dans la Section 2 ci-dessus.</w:t>
      </w:r>
    </w:p>
    <w:p w14:paraId="29DBD1DF" w14:textId="77777777" w:rsidR="00782616" w:rsidRPr="000E6AE7" w:rsidRDefault="00782616" w:rsidP="00782616">
      <w:pPr>
        <w:pStyle w:val="enumlev1"/>
      </w:pPr>
      <w:r w:rsidRPr="000E6AE7">
        <w:lastRenderedPageBreak/>
        <w:t>–</w:t>
      </w:r>
      <w:r w:rsidRPr="000E6AE7">
        <w:tab/>
        <w:t>Définir les exigences pour protéger, partager et gérer les informations PII, y compris la vérification de l'âge, le respect de la vie privée des personnes mineures, la vérification des attributs (par exemple, âge, localisation) et les politiques d'accès fondées sur les préférences de l'utilisateur.</w:t>
      </w:r>
    </w:p>
    <w:p w14:paraId="710F111B" w14:textId="77777777" w:rsidR="00782616" w:rsidRPr="000E6AE7" w:rsidRDefault="00782616" w:rsidP="00782616">
      <w:pPr>
        <w:pStyle w:val="enumlev1"/>
      </w:pPr>
      <w:r w:rsidRPr="000E6AE7">
        <w:tab/>
        <w:t xml:space="preserve">Cette tâche correspond aux sujets 3 et 5 </w:t>
      </w:r>
      <w:proofErr w:type="gramStart"/>
      <w:r w:rsidRPr="000E6AE7">
        <w:t>figurant</w:t>
      </w:r>
      <w:proofErr w:type="gramEnd"/>
      <w:r w:rsidRPr="000E6AE7">
        <w:t xml:space="preserve"> dans la Section 2 ci-dessus.</w:t>
      </w:r>
    </w:p>
    <w:p w14:paraId="6A102261" w14:textId="77777777" w:rsidR="00782616" w:rsidRPr="000E6AE7" w:rsidRDefault="00782616" w:rsidP="00782616">
      <w:pPr>
        <w:pStyle w:val="enumlev1"/>
      </w:pPr>
      <w:r w:rsidRPr="000E6AE7">
        <w:t>–</w:t>
      </w:r>
      <w:r w:rsidRPr="000E6AE7">
        <w:tab/>
        <w:t>Établir des registres et des mécanismes de confiance pour la gestion IAM, y compris l'intégration de réseaux de confiance pour assurer de manière robuste la récupération des comptes, la sécurité et une expérience utilisateur conviviale dans les relations avec les parties utilisatrices.</w:t>
      </w:r>
    </w:p>
    <w:p w14:paraId="0803E0E6" w14:textId="77777777" w:rsidR="00782616" w:rsidRPr="000E6AE7" w:rsidRDefault="00782616" w:rsidP="00782616">
      <w:pPr>
        <w:pStyle w:val="enumlev1"/>
      </w:pPr>
      <w:r w:rsidRPr="000E6AE7">
        <w:tab/>
        <w:t xml:space="preserve">Cette tâche correspond aux sujets 4 et 6 </w:t>
      </w:r>
      <w:proofErr w:type="gramStart"/>
      <w:r w:rsidRPr="000E6AE7">
        <w:t>figurant</w:t>
      </w:r>
      <w:proofErr w:type="gramEnd"/>
      <w:r w:rsidRPr="000E6AE7">
        <w:t xml:space="preserve"> dans la Section 2 ci-dessus.</w:t>
      </w:r>
    </w:p>
    <w:p w14:paraId="17D77C1F" w14:textId="77777777" w:rsidR="00782616" w:rsidRPr="000E6AE7" w:rsidRDefault="00782616" w:rsidP="00782616">
      <w:pPr>
        <w:pStyle w:val="enumlev1"/>
      </w:pPr>
      <w:r w:rsidRPr="000E6AE7">
        <w:t>–</w:t>
      </w:r>
      <w:r w:rsidRPr="000E6AE7">
        <w:tab/>
        <w:t>Spécifier les exigences et les mécanismes de garantie d'identité pour l'authentification et la fédération, y compris la mise en correspondance et l'interfonctionnement entre réseaux, les profils d'identité, la réputation et les besoins des fournisseurs de services.</w:t>
      </w:r>
    </w:p>
    <w:p w14:paraId="40C17D50" w14:textId="77777777" w:rsidR="00782616" w:rsidRPr="000E6AE7" w:rsidRDefault="00782616" w:rsidP="00782616">
      <w:pPr>
        <w:pStyle w:val="enumlev1"/>
      </w:pPr>
      <w:r w:rsidRPr="000E6AE7">
        <w:tab/>
        <w:t xml:space="preserve">Cette tâche correspond aux sujets 4 et 5 </w:t>
      </w:r>
      <w:proofErr w:type="gramStart"/>
      <w:r w:rsidRPr="000E6AE7">
        <w:t>figurant</w:t>
      </w:r>
      <w:proofErr w:type="gramEnd"/>
      <w:r w:rsidRPr="000E6AE7">
        <w:t xml:space="preserve"> dans la Section 2 ci-dessus.</w:t>
      </w:r>
    </w:p>
    <w:p w14:paraId="59F14DE9" w14:textId="77777777" w:rsidR="00782616" w:rsidRPr="000E6AE7" w:rsidRDefault="00782616" w:rsidP="00782616">
      <w:pPr>
        <w:pStyle w:val="enumlev1"/>
      </w:pPr>
      <w:r w:rsidRPr="000E6AE7">
        <w:t>–</w:t>
      </w:r>
      <w:r w:rsidRPr="000E6AE7">
        <w:tab/>
        <w:t xml:space="preserve">Analyser l'interopérabilité, la compatibilité des normes (par exemple, UIT-T, ISO/CEI) et la gouvernance pour les systèmes </w:t>
      </w:r>
      <w:proofErr w:type="spellStart"/>
      <w:r w:rsidRPr="000E6AE7">
        <w:t>IdM</w:t>
      </w:r>
      <w:proofErr w:type="spellEnd"/>
      <w:r w:rsidRPr="000E6AE7">
        <w:t>, y compris les modèles fédérés/décentralisés, pour faire le lien entre les réseaux et réduire les difficultés pour les plates-formes, dispositifs et applications.</w:t>
      </w:r>
    </w:p>
    <w:p w14:paraId="1946DA69" w14:textId="77777777" w:rsidR="00782616" w:rsidRPr="000E6AE7" w:rsidRDefault="00782616" w:rsidP="00782616">
      <w:pPr>
        <w:pStyle w:val="enumlev1"/>
      </w:pPr>
      <w:r w:rsidRPr="000E6AE7">
        <w:tab/>
        <w:t xml:space="preserve">Cette tâche correspond aux sujets 2 et 10 </w:t>
      </w:r>
      <w:proofErr w:type="gramStart"/>
      <w:r w:rsidRPr="000E6AE7">
        <w:t>figurant</w:t>
      </w:r>
      <w:proofErr w:type="gramEnd"/>
      <w:r w:rsidRPr="000E6AE7">
        <w:t xml:space="preserve"> dans la Section 2 ci-dessus.</w:t>
      </w:r>
    </w:p>
    <w:p w14:paraId="4E359DCC" w14:textId="77777777" w:rsidR="00782616" w:rsidRPr="000E6AE7" w:rsidRDefault="00782616" w:rsidP="00782616">
      <w:pPr>
        <w:pStyle w:val="enumlev1"/>
      </w:pPr>
      <w:r w:rsidRPr="000E6AE7">
        <w:t>–</w:t>
      </w:r>
      <w:r w:rsidRPr="000E6AE7">
        <w:tab/>
        <w:t xml:space="preserve">Intégrer la biométrie dans la gestion </w:t>
      </w:r>
      <w:proofErr w:type="spellStart"/>
      <w:r w:rsidRPr="000E6AE7">
        <w:t>IdM</w:t>
      </w:r>
      <w:proofErr w:type="spellEnd"/>
      <w:r w:rsidRPr="000E6AE7">
        <w:t xml:space="preserve"> pour permettre une authentification forte dans des réseaux sécurisés très performants, y compris l'évaluation des risques de sécurité, des techniques de protection opérationnelle/protection des données, et cadres interopérables (centralisés/décentralisés avec des justificatifs vérifiables). </w:t>
      </w:r>
    </w:p>
    <w:p w14:paraId="79F38907" w14:textId="77777777" w:rsidR="00782616" w:rsidRPr="000E6AE7" w:rsidRDefault="00782616" w:rsidP="00782616">
      <w:pPr>
        <w:pStyle w:val="enumlev1"/>
      </w:pPr>
      <w:r w:rsidRPr="000E6AE7">
        <w:tab/>
        <w:t xml:space="preserve">Cette tâche correspond aux sujets 12, 13 et 14 </w:t>
      </w:r>
      <w:proofErr w:type="gramStart"/>
      <w:r w:rsidRPr="000E6AE7">
        <w:t>figurant</w:t>
      </w:r>
      <w:proofErr w:type="gramEnd"/>
      <w:r w:rsidRPr="000E6AE7">
        <w:t xml:space="preserve"> dans la Section 2 ci-dessus.</w:t>
      </w:r>
    </w:p>
    <w:p w14:paraId="0EDCBD4B" w14:textId="77777777" w:rsidR="00782616" w:rsidRPr="000E6AE7" w:rsidRDefault="00782616" w:rsidP="00782616">
      <w:pPr>
        <w:pStyle w:val="enumlev1"/>
      </w:pPr>
      <w:r w:rsidRPr="000E6AE7">
        <w:t>–</w:t>
      </w:r>
      <w:r w:rsidRPr="000E6AE7">
        <w:tab/>
        <w:t xml:space="preserve">Étudier des protocoles permettant le traitement sécurisé des données biométriques pour la </w:t>
      </w:r>
      <w:proofErr w:type="spellStart"/>
      <w:r w:rsidRPr="000E6AE7">
        <w:t>télébiométrie</w:t>
      </w:r>
      <w:proofErr w:type="spellEnd"/>
      <w:r w:rsidRPr="000E6AE7">
        <w:t xml:space="preserve">, y compris l'interopérabilité B2M/M2M, les </w:t>
      </w:r>
      <w:proofErr w:type="spellStart"/>
      <w:r w:rsidRPr="000E6AE7">
        <w:t>biosignaux</w:t>
      </w:r>
      <w:proofErr w:type="spellEnd"/>
      <w:r w:rsidRPr="000E6AE7">
        <w:t xml:space="preserve"> pour les applications (par exemple, authentification, identification, surveillance de la </w:t>
      </w:r>
      <w:proofErr w:type="spellStart"/>
      <w:r w:rsidRPr="000E6AE7">
        <w:t>cybersanté</w:t>
      </w:r>
      <w:proofErr w:type="spellEnd"/>
      <w:r w:rsidRPr="000E6AE7">
        <w:t>) et les cadres pour les environnements en nuage/de stockage des données.</w:t>
      </w:r>
    </w:p>
    <w:p w14:paraId="4556A184" w14:textId="77777777" w:rsidR="00782616" w:rsidRPr="000E6AE7" w:rsidRDefault="00782616" w:rsidP="00782616">
      <w:pPr>
        <w:pStyle w:val="enumlev1"/>
      </w:pPr>
      <w:r w:rsidRPr="000E6AE7">
        <w:tab/>
        <w:t xml:space="preserve">Cette tâche correspond aux sujets 15 et 16 </w:t>
      </w:r>
      <w:proofErr w:type="gramStart"/>
      <w:r w:rsidRPr="000E6AE7">
        <w:t>figurant</w:t>
      </w:r>
      <w:proofErr w:type="gramEnd"/>
      <w:r w:rsidRPr="000E6AE7">
        <w:t xml:space="preserve"> dans la Section 2 ci-dessus.</w:t>
      </w:r>
    </w:p>
    <w:p w14:paraId="277F126E" w14:textId="77777777" w:rsidR="00782616" w:rsidRPr="000E6AE7" w:rsidRDefault="00782616" w:rsidP="00782616">
      <w:pPr>
        <w:pStyle w:val="enumlev1"/>
      </w:pPr>
      <w:r w:rsidRPr="000E6AE7">
        <w:t>–</w:t>
      </w:r>
      <w:r w:rsidRPr="000E6AE7">
        <w:tab/>
        <w:t xml:space="preserve">Évaluer les incidences de l'IA sur la biométrie et la gestion </w:t>
      </w:r>
      <w:proofErr w:type="spellStart"/>
      <w:r w:rsidRPr="000E6AE7">
        <w:t>IdM</w:t>
      </w:r>
      <w:proofErr w:type="spellEnd"/>
      <w:r w:rsidRPr="000E6AE7">
        <w:t>, y compris les exigences pour élargir la gestion d'identité numérique afin de prendre en charge la gestion des entités d'IA agentique (par exemple, attributs, justificatifs, rôle, cycle de vie, authentification, délégation, fédération, confiance, responsabilités, conformité aux règles de protection de la vie privée et niveaux de garantie).</w:t>
      </w:r>
    </w:p>
    <w:p w14:paraId="50F2D8C2" w14:textId="77777777" w:rsidR="00782616" w:rsidRPr="000E6AE7" w:rsidRDefault="00782616" w:rsidP="00782616">
      <w:pPr>
        <w:pStyle w:val="enumlev1"/>
      </w:pPr>
      <w:r w:rsidRPr="000E6AE7">
        <w:tab/>
        <w:t xml:space="preserve">Cette tâche correspond aux sujets 17 et 26 </w:t>
      </w:r>
      <w:proofErr w:type="gramStart"/>
      <w:r w:rsidRPr="000E6AE7">
        <w:t>figurant</w:t>
      </w:r>
      <w:proofErr w:type="gramEnd"/>
      <w:r w:rsidRPr="000E6AE7">
        <w:t xml:space="preserve"> dans la Section 2 ci-dessus.</w:t>
      </w:r>
    </w:p>
    <w:p w14:paraId="0F72594E" w14:textId="77777777" w:rsidR="00782616" w:rsidRPr="000E6AE7" w:rsidRDefault="00782616" w:rsidP="00782616">
      <w:pPr>
        <w:pStyle w:val="enumlev1"/>
      </w:pPr>
      <w:r w:rsidRPr="000E6AE7">
        <w:t>–</w:t>
      </w:r>
      <w:r w:rsidRPr="000E6AE7">
        <w:tab/>
        <w:t xml:space="preserve">Étudier et élaborer des cadres pour l'interopérabilité des portefeuilles d'identités numériques dans des écosystèmes décentralisés, y compris des normes mondiales, l'application des préférences des utilisateurs et l'intégration de la gestion </w:t>
      </w:r>
      <w:proofErr w:type="spellStart"/>
      <w:r w:rsidRPr="000E6AE7">
        <w:t>IdM</w:t>
      </w:r>
      <w:proofErr w:type="spellEnd"/>
      <w:r w:rsidRPr="000E6AE7">
        <w:t xml:space="preserve"> en tant que service.</w:t>
      </w:r>
    </w:p>
    <w:p w14:paraId="30D8BC1C" w14:textId="77777777" w:rsidR="00782616" w:rsidRPr="000E6AE7" w:rsidRDefault="00782616" w:rsidP="00782616">
      <w:pPr>
        <w:pStyle w:val="enumlev1"/>
      </w:pPr>
      <w:r w:rsidRPr="000E6AE7">
        <w:tab/>
        <w:t>Cette tâche correspond au sujet 25 figurant dans la Section 2 ci-dessus.</w:t>
      </w:r>
    </w:p>
    <w:p w14:paraId="05B54F8C" w14:textId="77777777" w:rsidR="00782616" w:rsidRPr="000E6AE7" w:rsidRDefault="00782616" w:rsidP="00782616">
      <w:pPr>
        <w:pStyle w:val="enumlev1"/>
        <w:keepNext/>
        <w:keepLines/>
      </w:pPr>
      <w:r w:rsidRPr="000E6AE7">
        <w:lastRenderedPageBreak/>
        <w:t>–</w:t>
      </w:r>
      <w:r w:rsidRPr="000E6AE7">
        <w:tab/>
        <w:t xml:space="preserve">Définir un modèle de données complet pour les justificatifs, des formats, des signatures (par exemple, JSON-LD, JWT, BBS+, post-quantique), des méthodes/identificateurs DID (par exemple, </w:t>
      </w:r>
      <w:proofErr w:type="spellStart"/>
      <w:proofErr w:type="gramStart"/>
      <w:r w:rsidRPr="000E6AE7">
        <w:t>DID:web</w:t>
      </w:r>
      <w:proofErr w:type="spellEnd"/>
      <w:proofErr w:type="gramEnd"/>
      <w:r w:rsidRPr="000E6AE7">
        <w:t xml:space="preserve">, </w:t>
      </w:r>
      <w:proofErr w:type="spellStart"/>
      <w:proofErr w:type="gramStart"/>
      <w:r w:rsidRPr="000E6AE7">
        <w:t>DID:</w:t>
      </w:r>
      <w:proofErr w:type="gramEnd"/>
      <w:r w:rsidRPr="000E6AE7">
        <w:t>key</w:t>
      </w:r>
      <w:proofErr w:type="spellEnd"/>
      <w:r w:rsidRPr="000E6AE7">
        <w:t xml:space="preserve">), des cadres de rattachement/confiance (par exemple, niveaux de garantie, responsabilité) et des protocoles interopérables (par exemple OIDC4VC, </w:t>
      </w:r>
      <w:proofErr w:type="spellStart"/>
      <w:r w:rsidRPr="000E6AE7">
        <w:t>DIDComm</w:t>
      </w:r>
      <w:proofErr w:type="spellEnd"/>
      <w:r w:rsidRPr="000E6AE7">
        <w:t>, CHAPI) pour la délivrance, la présentation et la vérification selon les contextes.</w:t>
      </w:r>
    </w:p>
    <w:p w14:paraId="17B96B61" w14:textId="77777777" w:rsidR="00782616" w:rsidRPr="000E6AE7" w:rsidRDefault="00782616" w:rsidP="00782616">
      <w:pPr>
        <w:pStyle w:val="enumlev1"/>
      </w:pPr>
      <w:r w:rsidRPr="000E6AE7">
        <w:tab/>
        <w:t xml:space="preserve">Cette tâche correspond aux sujets 27, 28, 29,30 et 31 </w:t>
      </w:r>
      <w:proofErr w:type="gramStart"/>
      <w:r w:rsidRPr="000E6AE7">
        <w:t>figurant</w:t>
      </w:r>
      <w:proofErr w:type="gramEnd"/>
      <w:r w:rsidRPr="000E6AE7">
        <w:t xml:space="preserve"> dans la Section 2 ci-dessus.</w:t>
      </w:r>
    </w:p>
    <w:p w14:paraId="3F592096" w14:textId="77777777" w:rsidR="00782616" w:rsidRPr="000E6AE7" w:rsidRDefault="00782616" w:rsidP="00782616">
      <w:pPr>
        <w:pStyle w:val="enumlev1"/>
      </w:pPr>
      <w:r w:rsidRPr="000E6AE7">
        <w:t>–</w:t>
      </w:r>
      <w:r w:rsidRPr="000E6AE7">
        <w:tab/>
        <w:t>Identifier les systèmes, les fonctions de gouvernance et les mécanismes de confiance (par exemple, identité DID, justificatifs vérifiables) pour renforcer le dispositif de sécurité de l'organisation, y compris l'intégration avec le centre CDC/CSC, l'authentification/l'autorisation/le contrôle d'accès et la coordination pour le partage d'informations sur les cyberattaques.</w:t>
      </w:r>
    </w:p>
    <w:p w14:paraId="5943E4BF" w14:textId="77777777" w:rsidR="00782616" w:rsidRPr="000E6AE7" w:rsidRDefault="00782616" w:rsidP="00782616">
      <w:pPr>
        <w:pStyle w:val="enumlev1"/>
      </w:pPr>
      <w:r w:rsidRPr="000E6AE7">
        <w:tab/>
        <w:t xml:space="preserve">Cette tâche correspond aux sujets 11, 18 et 23 </w:t>
      </w:r>
      <w:proofErr w:type="gramStart"/>
      <w:r w:rsidRPr="000E6AE7">
        <w:t>figurant</w:t>
      </w:r>
      <w:proofErr w:type="gramEnd"/>
      <w:r w:rsidRPr="000E6AE7">
        <w:t xml:space="preserve"> dans la Section 2 ci-dessus.</w:t>
      </w:r>
    </w:p>
    <w:p w14:paraId="1CAB4D74" w14:textId="77777777" w:rsidR="00782616" w:rsidRPr="000E6AE7" w:rsidRDefault="00782616" w:rsidP="00782616">
      <w:pPr>
        <w:pStyle w:val="enumlev1"/>
      </w:pPr>
      <w:r w:rsidRPr="000E6AE7">
        <w:t>–</w:t>
      </w:r>
      <w:r w:rsidRPr="000E6AE7">
        <w:tab/>
        <w:t>Déterminer de quelle manière les organisations de télécommunication (y compris les PME) devraient identifier, mesurer, gérer et comparer les problèmes, les niveaux de maturité, les difficultés rencontrées dans la mise en œuvre des normes et les risques (par exemple, dans la chaîne d'approvisionnement logicielle) en matière de sécurité, en utilisant les normes existantes (UIT-T, ISO/CEI).</w:t>
      </w:r>
    </w:p>
    <w:p w14:paraId="72C71B5A" w14:textId="77777777" w:rsidR="00782616" w:rsidRPr="000E6AE7" w:rsidRDefault="00782616" w:rsidP="00782616">
      <w:pPr>
        <w:pStyle w:val="enumlev1"/>
      </w:pPr>
      <w:r w:rsidRPr="000E6AE7">
        <w:tab/>
        <w:t xml:space="preserve">Cette tâche correspond aux sujets 19, 21 et 24 </w:t>
      </w:r>
      <w:proofErr w:type="gramStart"/>
      <w:r w:rsidRPr="000E6AE7">
        <w:t>figurant</w:t>
      </w:r>
      <w:proofErr w:type="gramEnd"/>
      <w:r w:rsidRPr="000E6AE7">
        <w:t xml:space="preserve"> dans la Section 2 ci-dessus.</w:t>
      </w:r>
    </w:p>
    <w:p w14:paraId="5B713F15" w14:textId="77777777" w:rsidR="00782616" w:rsidRPr="000E6AE7" w:rsidRDefault="00782616" w:rsidP="00782616">
      <w:pPr>
        <w:pStyle w:val="enumlev1"/>
      </w:pPr>
      <w:r w:rsidRPr="000E6AE7">
        <w:t>–</w:t>
      </w:r>
      <w:r w:rsidRPr="000E6AE7">
        <w:tab/>
        <w:t>Appliquer des principes (y compris l'IA au service de la sécurité) et des bonnes pratiques de gouvernance pour donner des orientations en matière de services dans les organisations (par exemple, les centres CDC/CSC, IRT), y compris les relations entre les CDC et les équipes CSIRT.</w:t>
      </w:r>
    </w:p>
    <w:p w14:paraId="228DFE58" w14:textId="77777777" w:rsidR="00782616" w:rsidRPr="000E6AE7" w:rsidRDefault="00782616" w:rsidP="00782616">
      <w:pPr>
        <w:pStyle w:val="enumlev1"/>
      </w:pPr>
      <w:r w:rsidRPr="000E6AE7">
        <w:tab/>
        <w:t xml:space="preserve">Cette tâche correspond aux sujets 20 et 23 </w:t>
      </w:r>
      <w:proofErr w:type="gramStart"/>
      <w:r w:rsidRPr="000E6AE7">
        <w:t>figurant</w:t>
      </w:r>
      <w:proofErr w:type="gramEnd"/>
      <w:r w:rsidRPr="000E6AE7">
        <w:t xml:space="preserve"> dans la Section 2 ci-dessus.</w:t>
      </w:r>
    </w:p>
    <w:p w14:paraId="3C633728" w14:textId="77777777" w:rsidR="00782616" w:rsidRPr="000E6AE7" w:rsidRDefault="00782616" w:rsidP="00782616">
      <w:pPr>
        <w:pStyle w:val="enumlev1"/>
      </w:pPr>
      <w:r w:rsidRPr="000E6AE7">
        <w:t>–</w:t>
      </w:r>
      <w:r w:rsidRPr="000E6AE7">
        <w:tab/>
        <w:t>Mettre en œuvre la gestion de la sécurité de l'information et le renforcement des capacités du personnel dans les organisations de télécommunication, en se concentrant sur la gestion efficace des informations PII et sur le renforcement des compétences.</w:t>
      </w:r>
    </w:p>
    <w:p w14:paraId="4547D46B" w14:textId="77777777" w:rsidR="00782616" w:rsidRPr="000E6AE7" w:rsidRDefault="00782616" w:rsidP="00782616">
      <w:pPr>
        <w:pStyle w:val="enumlev1"/>
      </w:pPr>
      <w:r w:rsidRPr="000E6AE7">
        <w:tab/>
        <w:t xml:space="preserve">Cette tâche correspond aux sujets 3, 21 et 22 </w:t>
      </w:r>
      <w:proofErr w:type="gramStart"/>
      <w:r w:rsidRPr="000E6AE7">
        <w:t>figurant</w:t>
      </w:r>
      <w:proofErr w:type="gramEnd"/>
      <w:r w:rsidRPr="000E6AE7">
        <w:t xml:space="preserve"> dans la Section 2 ci-dessus.</w:t>
      </w:r>
    </w:p>
    <w:p w14:paraId="6FACF35F" w14:textId="77777777" w:rsidR="00782616" w:rsidRPr="000E6AE7" w:rsidRDefault="00782616" w:rsidP="00782616">
      <w:pPr>
        <w:pStyle w:val="enumlev1"/>
      </w:pPr>
      <w:r w:rsidRPr="000E6AE7">
        <w:t>–</w:t>
      </w:r>
      <w:r w:rsidRPr="000E6AE7">
        <w:tab/>
        <w:t xml:space="preserve">Évaluer la conception des systèmes </w:t>
      </w:r>
      <w:proofErr w:type="spellStart"/>
      <w:r w:rsidRPr="000E6AE7">
        <w:t>IdM</w:t>
      </w:r>
      <w:proofErr w:type="spellEnd"/>
      <w:r w:rsidRPr="000E6AE7">
        <w:t xml:space="preserve"> associés aux centres CDT/CSC pour garantir des fonctionnalités robustes, y compris l'identification des risques/menaces en matière de sécurité, les protocoles sécurisés, l'éducation des utilisateurs et l'alignement sur les normes du secteur.</w:t>
      </w:r>
    </w:p>
    <w:p w14:paraId="59016FEF" w14:textId="77777777" w:rsidR="00782616" w:rsidRPr="000E6AE7" w:rsidRDefault="00782616" w:rsidP="00782616">
      <w:pPr>
        <w:pStyle w:val="enumlev1"/>
      </w:pPr>
      <w:r w:rsidRPr="000E6AE7">
        <w:tab/>
        <w:t xml:space="preserve">Cette tâche correspond aux sujets 18, 19 et 21 </w:t>
      </w:r>
      <w:proofErr w:type="gramStart"/>
      <w:r w:rsidRPr="000E6AE7">
        <w:t>figurant</w:t>
      </w:r>
      <w:proofErr w:type="gramEnd"/>
      <w:r w:rsidRPr="000E6AE7">
        <w:t xml:space="preserve"> dans la Section 2 ci-dessus.</w:t>
      </w:r>
    </w:p>
    <w:p w14:paraId="272FF75F" w14:textId="77777777" w:rsidR="00782616" w:rsidRPr="000E6AE7" w:rsidRDefault="00782616" w:rsidP="00782616">
      <w:r w:rsidRPr="000E6AE7">
        <w:t>L'état actuel d'avancement des travaux au titre de cette Question est indiqué dans le programme de travail de la CE 17 (</w:t>
      </w:r>
      <w:hyperlink r:id="rId13" w:history="1">
        <w:r w:rsidRPr="000E6AE7">
          <w:rPr>
            <w:rStyle w:val="Hyperlink"/>
          </w:rPr>
          <w:t>https://www.itu.int/ITU-T/workprog/wp_search.aspx?sp=18&amp;q=10/17</w:t>
        </w:r>
      </w:hyperlink>
      <w:r w:rsidRPr="000E6AE7">
        <w:t>).</w:t>
      </w:r>
    </w:p>
    <w:p w14:paraId="7631BF4A" w14:textId="77777777" w:rsidR="00782616" w:rsidRPr="000E6AE7" w:rsidRDefault="00782616" w:rsidP="00782616">
      <w:pPr>
        <w:pStyle w:val="Heading3"/>
      </w:pPr>
      <w:r w:rsidRPr="000E6AE7">
        <w:t>4</w:t>
      </w:r>
      <w:r w:rsidRPr="000E6AE7">
        <w:tab/>
        <w:t>Relations</w:t>
      </w:r>
    </w:p>
    <w:p w14:paraId="6D847A88" w14:textId="77777777" w:rsidR="00782616" w:rsidRPr="000E6AE7" w:rsidRDefault="00782616" w:rsidP="00782616">
      <w:pPr>
        <w:pStyle w:val="Headingb0"/>
        <w:rPr>
          <w:lang w:val="fr-FR"/>
        </w:rPr>
      </w:pPr>
      <w:proofErr w:type="gramStart"/>
      <w:r w:rsidRPr="000E6AE7">
        <w:rPr>
          <w:lang w:val="fr-FR"/>
        </w:rPr>
        <w:t>Recommandations:</w:t>
      </w:r>
      <w:proofErr w:type="gramEnd"/>
    </w:p>
    <w:p w14:paraId="0E5DAEF7" w14:textId="77777777" w:rsidR="00782616" w:rsidRPr="000E6AE7" w:rsidRDefault="00782616" w:rsidP="00782616">
      <w:pPr>
        <w:pStyle w:val="enumlev1"/>
      </w:pPr>
      <w:r w:rsidRPr="000E6AE7">
        <w:t>–</w:t>
      </w:r>
      <w:r w:rsidRPr="000E6AE7">
        <w:tab/>
        <w:t>Séries X et Y</w:t>
      </w:r>
    </w:p>
    <w:p w14:paraId="3B0E0170" w14:textId="77777777" w:rsidR="00782616" w:rsidRPr="000E6AE7" w:rsidRDefault="00782616" w:rsidP="00782616">
      <w:pPr>
        <w:pStyle w:val="enumlev1"/>
      </w:pPr>
      <w:r w:rsidRPr="000E6AE7">
        <w:t>–</w:t>
      </w:r>
      <w:r w:rsidRPr="000E6AE7">
        <w:tab/>
        <w:t>Recommandations UIT-T X.200, X.273, X.274, X.509, X.680, X.805 et X.1051</w:t>
      </w:r>
    </w:p>
    <w:p w14:paraId="2359F903" w14:textId="77777777" w:rsidR="00782616" w:rsidRPr="000E6AE7" w:rsidRDefault="00782616" w:rsidP="00782616">
      <w:pPr>
        <w:pStyle w:val="Headingb0"/>
        <w:rPr>
          <w:lang w:val="fr-FR"/>
        </w:rPr>
      </w:pPr>
      <w:proofErr w:type="gramStart"/>
      <w:r w:rsidRPr="000E6AE7">
        <w:rPr>
          <w:lang w:val="fr-FR"/>
        </w:rPr>
        <w:t>Questions:</w:t>
      </w:r>
      <w:proofErr w:type="gramEnd"/>
    </w:p>
    <w:p w14:paraId="4DB29AF7" w14:textId="77777777" w:rsidR="00782616" w:rsidRPr="000E6AE7" w:rsidRDefault="00782616" w:rsidP="00782616">
      <w:pPr>
        <w:pStyle w:val="enumlev1"/>
      </w:pPr>
      <w:r w:rsidRPr="000E6AE7">
        <w:t>–</w:t>
      </w:r>
      <w:r w:rsidRPr="000E6AE7">
        <w:tab/>
        <w:t>Toutes les Questions de la CE 17 de l'UIT-T</w:t>
      </w:r>
    </w:p>
    <w:p w14:paraId="57EFDC62" w14:textId="77777777" w:rsidR="00782616" w:rsidRPr="000E6AE7" w:rsidRDefault="00782616" w:rsidP="00782616">
      <w:pPr>
        <w:pStyle w:val="Headingb0"/>
        <w:rPr>
          <w:lang w:val="fr-FR"/>
        </w:rPr>
      </w:pPr>
      <w:r w:rsidRPr="000E6AE7">
        <w:rPr>
          <w:lang w:val="fr-FR"/>
        </w:rPr>
        <w:lastRenderedPageBreak/>
        <w:t xml:space="preserve">Commissions </w:t>
      </w:r>
      <w:proofErr w:type="gramStart"/>
      <w:r w:rsidRPr="000E6AE7">
        <w:rPr>
          <w:lang w:val="fr-FR"/>
        </w:rPr>
        <w:t>d'études:</w:t>
      </w:r>
      <w:proofErr w:type="gramEnd"/>
    </w:p>
    <w:bookmarkEnd w:id="5"/>
    <w:p w14:paraId="27E66F99" w14:textId="77777777" w:rsidR="00782616" w:rsidRPr="000E6AE7" w:rsidRDefault="00782616" w:rsidP="00782616">
      <w:pPr>
        <w:pStyle w:val="enumlev1"/>
      </w:pPr>
      <w:r w:rsidRPr="000E6AE7">
        <w:t>–</w:t>
      </w:r>
      <w:r w:rsidRPr="000E6AE7">
        <w:tab/>
        <w:t>CE 2 de l'UIT-T</w:t>
      </w:r>
    </w:p>
    <w:p w14:paraId="4E540BCF" w14:textId="77777777" w:rsidR="00782616" w:rsidRPr="000E6AE7" w:rsidRDefault="00782616" w:rsidP="00782616">
      <w:pPr>
        <w:pStyle w:val="enumlev1"/>
      </w:pPr>
      <w:r w:rsidRPr="000E6AE7">
        <w:t>–</w:t>
      </w:r>
      <w:r w:rsidRPr="000E6AE7">
        <w:tab/>
        <w:t>CE 5 de l'UIT-T</w:t>
      </w:r>
    </w:p>
    <w:p w14:paraId="0955EC21" w14:textId="77777777" w:rsidR="00782616" w:rsidRPr="000E6AE7" w:rsidRDefault="00782616" w:rsidP="00782616">
      <w:pPr>
        <w:pStyle w:val="enumlev1"/>
      </w:pPr>
      <w:r w:rsidRPr="000E6AE7">
        <w:t>–</w:t>
      </w:r>
      <w:r w:rsidRPr="000E6AE7">
        <w:tab/>
        <w:t>CE 11 de l'UIT-T</w:t>
      </w:r>
    </w:p>
    <w:p w14:paraId="40505EFE" w14:textId="77777777" w:rsidR="00782616" w:rsidRPr="000E6AE7" w:rsidRDefault="00782616" w:rsidP="00782616">
      <w:pPr>
        <w:pStyle w:val="enumlev1"/>
      </w:pPr>
      <w:r w:rsidRPr="000E6AE7">
        <w:t>–</w:t>
      </w:r>
      <w:r w:rsidRPr="000E6AE7">
        <w:tab/>
        <w:t>CE 13 de l'UIT-T</w:t>
      </w:r>
    </w:p>
    <w:p w14:paraId="6659082B" w14:textId="77777777" w:rsidR="00782616" w:rsidRPr="000E6AE7" w:rsidRDefault="00782616" w:rsidP="00782616">
      <w:pPr>
        <w:pStyle w:val="enumlev1"/>
      </w:pPr>
      <w:r w:rsidRPr="000E6AE7">
        <w:t>–</w:t>
      </w:r>
      <w:r w:rsidRPr="000E6AE7">
        <w:tab/>
        <w:t>CE 15 de l'UIT-T</w:t>
      </w:r>
    </w:p>
    <w:p w14:paraId="009B47EB" w14:textId="77777777" w:rsidR="00782616" w:rsidRPr="000E6AE7" w:rsidRDefault="00782616" w:rsidP="00782616">
      <w:pPr>
        <w:pStyle w:val="enumlev1"/>
      </w:pPr>
      <w:r w:rsidRPr="000E6AE7">
        <w:t>–</w:t>
      </w:r>
      <w:r w:rsidRPr="000E6AE7">
        <w:tab/>
        <w:t>CE 20 de l'UIT-T</w:t>
      </w:r>
    </w:p>
    <w:p w14:paraId="6022C43B" w14:textId="77777777" w:rsidR="00782616" w:rsidRPr="000E6AE7" w:rsidRDefault="00782616" w:rsidP="00782616">
      <w:pPr>
        <w:pStyle w:val="enumlev1"/>
      </w:pPr>
      <w:r w:rsidRPr="000E6AE7">
        <w:t>–</w:t>
      </w:r>
      <w:r w:rsidRPr="000E6AE7">
        <w:tab/>
        <w:t>CE 21 de l'UIT-T</w:t>
      </w:r>
    </w:p>
    <w:p w14:paraId="30CEFEAD" w14:textId="77777777" w:rsidR="00782616" w:rsidRPr="000E6AE7" w:rsidRDefault="00782616" w:rsidP="00782616">
      <w:pPr>
        <w:pStyle w:val="enumlev1"/>
      </w:pPr>
      <w:r w:rsidRPr="000E6AE7">
        <w:t>–</w:t>
      </w:r>
      <w:r w:rsidRPr="000E6AE7">
        <w:tab/>
        <w:t>CE 1 et 2 de l'UIT-D</w:t>
      </w:r>
    </w:p>
    <w:p w14:paraId="100CFFBA" w14:textId="77777777" w:rsidR="00782616" w:rsidRPr="000E6AE7" w:rsidRDefault="00782616" w:rsidP="00782616">
      <w:pPr>
        <w:pStyle w:val="Headingb0"/>
        <w:rPr>
          <w:lang w:val="fr-FR"/>
        </w:rPr>
      </w:pPr>
      <w:r w:rsidRPr="000E6AE7">
        <w:rPr>
          <w:lang w:val="fr-FR"/>
        </w:rPr>
        <w:t xml:space="preserve">Organismes de </w:t>
      </w:r>
      <w:proofErr w:type="gramStart"/>
      <w:r w:rsidRPr="000E6AE7">
        <w:rPr>
          <w:lang w:val="fr-FR"/>
        </w:rPr>
        <w:t>normalisation:</w:t>
      </w:r>
      <w:proofErr w:type="gramEnd"/>
    </w:p>
    <w:p w14:paraId="5DBB43FB" w14:textId="77777777" w:rsidR="00782616" w:rsidRPr="00022558" w:rsidRDefault="00782616" w:rsidP="00782616">
      <w:pPr>
        <w:pStyle w:val="enumlev1"/>
        <w:rPr>
          <w:lang w:val="en-GB"/>
        </w:rPr>
      </w:pPr>
      <w:r w:rsidRPr="00022558">
        <w:rPr>
          <w:lang w:val="en-GB"/>
        </w:rPr>
        <w:t>–</w:t>
      </w:r>
      <w:r w:rsidRPr="00022558">
        <w:rPr>
          <w:lang w:val="en-GB"/>
        </w:rPr>
        <w:tab/>
        <w:t>CEI/TC 25, CEI/TC 25/JWG 1</w:t>
      </w:r>
    </w:p>
    <w:p w14:paraId="742BE3F9" w14:textId="77777777" w:rsidR="00782616" w:rsidRPr="00022558" w:rsidRDefault="00782616" w:rsidP="00782616">
      <w:pPr>
        <w:pStyle w:val="enumlev1"/>
        <w:rPr>
          <w:lang w:val="en-GB"/>
        </w:rPr>
      </w:pPr>
      <w:r w:rsidRPr="00022558">
        <w:rPr>
          <w:lang w:val="en-GB"/>
        </w:rPr>
        <w:t>–</w:t>
      </w:r>
      <w:r w:rsidRPr="00022558">
        <w:rPr>
          <w:lang w:val="en-GB"/>
        </w:rPr>
        <w:tab/>
        <w:t>Institute of Electrical and Electronics Engineers (IEEE)</w:t>
      </w:r>
    </w:p>
    <w:p w14:paraId="52D5C7F5" w14:textId="77777777" w:rsidR="00782616" w:rsidRPr="000E6AE7" w:rsidRDefault="00782616" w:rsidP="00782616">
      <w:pPr>
        <w:pStyle w:val="enumlev1"/>
      </w:pPr>
      <w:r w:rsidRPr="000E6AE7">
        <w:t>–</w:t>
      </w:r>
      <w:r w:rsidRPr="000E6AE7">
        <w:tab/>
        <w:t>IETF</w:t>
      </w:r>
    </w:p>
    <w:p w14:paraId="6E64EF9F" w14:textId="77777777" w:rsidR="00782616" w:rsidRPr="000E6AE7" w:rsidRDefault="00782616" w:rsidP="00782616">
      <w:pPr>
        <w:pStyle w:val="enumlev1"/>
      </w:pPr>
      <w:r w:rsidRPr="000E6AE7">
        <w:t>–</w:t>
      </w:r>
      <w:r w:rsidRPr="000E6AE7">
        <w:tab/>
        <w:t>ISO/CEI JTC 1/SC 6, 17, 27, 37, 40 et 42</w:t>
      </w:r>
    </w:p>
    <w:p w14:paraId="31499D00" w14:textId="77777777" w:rsidR="00782616" w:rsidRPr="000E6AE7" w:rsidRDefault="00782616" w:rsidP="00782616">
      <w:pPr>
        <w:pStyle w:val="enumlev1"/>
      </w:pPr>
      <w:r w:rsidRPr="000E6AE7">
        <w:t>–</w:t>
      </w:r>
      <w:r w:rsidRPr="000E6AE7">
        <w:tab/>
        <w:t>ISO/TC 12, 68, 215 et 307</w:t>
      </w:r>
    </w:p>
    <w:p w14:paraId="7018D4C0" w14:textId="77777777" w:rsidR="00782616" w:rsidRPr="000E6AE7" w:rsidRDefault="00782616" w:rsidP="00782616">
      <w:pPr>
        <w:pStyle w:val="enumlev1"/>
      </w:pPr>
      <w:r w:rsidRPr="000E6AE7">
        <w:t>–</w:t>
      </w:r>
      <w:r w:rsidRPr="000E6AE7">
        <w:tab/>
        <w:t>ISO/TC 12/JWG 20</w:t>
      </w:r>
    </w:p>
    <w:p w14:paraId="03A6BC18" w14:textId="77777777" w:rsidR="00782616" w:rsidRPr="000E6AE7" w:rsidRDefault="00782616" w:rsidP="00782616">
      <w:pPr>
        <w:pStyle w:val="enumlev1"/>
      </w:pPr>
      <w:r w:rsidRPr="000E6AE7">
        <w:t>–</w:t>
      </w:r>
      <w:r w:rsidRPr="000E6AE7">
        <w:tab/>
        <w:t>Institut européen des normes de télécommunication</w:t>
      </w:r>
    </w:p>
    <w:p w14:paraId="2E8A9F64" w14:textId="77777777" w:rsidR="00782616" w:rsidRPr="00022558" w:rsidRDefault="00782616" w:rsidP="00782616">
      <w:pPr>
        <w:pStyle w:val="enumlev1"/>
        <w:rPr>
          <w:lang w:val="en-GB"/>
        </w:rPr>
      </w:pPr>
      <w:r w:rsidRPr="00022558">
        <w:rPr>
          <w:lang w:val="en-GB"/>
        </w:rPr>
        <w:t>–</w:t>
      </w:r>
      <w:r w:rsidRPr="00022558">
        <w:rPr>
          <w:lang w:val="en-GB"/>
        </w:rPr>
        <w:tab/>
        <w:t xml:space="preserve">Asia Pacific </w:t>
      </w:r>
      <w:proofErr w:type="spellStart"/>
      <w:r w:rsidRPr="00022558">
        <w:rPr>
          <w:lang w:val="en-GB"/>
        </w:rPr>
        <w:t>Telecommunity</w:t>
      </w:r>
      <w:proofErr w:type="spellEnd"/>
      <w:r w:rsidRPr="00022558">
        <w:rPr>
          <w:lang w:val="en-GB"/>
        </w:rPr>
        <w:t xml:space="preserve"> Standardization Programme (ASTAP)</w:t>
      </w:r>
    </w:p>
    <w:p w14:paraId="17117B6C" w14:textId="77777777" w:rsidR="00782616" w:rsidRPr="00022558" w:rsidRDefault="00782616" w:rsidP="00782616">
      <w:pPr>
        <w:pStyle w:val="enumlev1"/>
        <w:rPr>
          <w:lang w:val="en-GB"/>
        </w:rPr>
      </w:pPr>
      <w:r w:rsidRPr="00022558">
        <w:rPr>
          <w:lang w:val="en-GB"/>
        </w:rPr>
        <w:t>–</w:t>
      </w:r>
      <w:r w:rsidRPr="00022558">
        <w:rPr>
          <w:lang w:val="en-GB"/>
        </w:rPr>
        <w:tab/>
        <w:t>Organization for the Advancement of Structured Information Standards (OASIS)</w:t>
      </w:r>
    </w:p>
    <w:p w14:paraId="14B8ABA3" w14:textId="77777777" w:rsidR="00782616" w:rsidRPr="000E6AE7" w:rsidRDefault="00782616" w:rsidP="00782616">
      <w:pPr>
        <w:pStyle w:val="enumlev1"/>
      </w:pPr>
      <w:r w:rsidRPr="000E6AE7">
        <w:t>–</w:t>
      </w:r>
      <w:r w:rsidRPr="000E6AE7">
        <w:tab/>
      </w:r>
      <w:proofErr w:type="spellStart"/>
      <w:r w:rsidRPr="000E6AE7">
        <w:t>Kantara</w:t>
      </w:r>
      <w:proofErr w:type="spellEnd"/>
      <w:r w:rsidRPr="000E6AE7">
        <w:t xml:space="preserve"> Initiative</w:t>
      </w:r>
    </w:p>
    <w:p w14:paraId="0B9D580C" w14:textId="77777777" w:rsidR="00782616" w:rsidRPr="000E6AE7" w:rsidRDefault="00782616" w:rsidP="00782616">
      <w:pPr>
        <w:pStyle w:val="enumlev1"/>
      </w:pPr>
      <w:r w:rsidRPr="000E6AE7">
        <w:t>–</w:t>
      </w:r>
      <w:r w:rsidRPr="000E6AE7">
        <w:tab/>
        <w:t>Projet de partenariat pour la troisième génération (3GPP)</w:t>
      </w:r>
    </w:p>
    <w:p w14:paraId="2E4770F1" w14:textId="77777777" w:rsidR="00782616" w:rsidRPr="00022558" w:rsidRDefault="00782616" w:rsidP="00782616">
      <w:pPr>
        <w:pStyle w:val="enumlev1"/>
        <w:rPr>
          <w:lang w:val="en-GB"/>
        </w:rPr>
      </w:pPr>
      <w:r w:rsidRPr="00022558">
        <w:rPr>
          <w:lang w:val="en-GB"/>
        </w:rPr>
        <w:t>–</w:t>
      </w:r>
      <w:r w:rsidRPr="00022558">
        <w:rPr>
          <w:lang w:val="en-GB"/>
        </w:rPr>
        <w:tab/>
        <w:t>Open Wallet Foundation</w:t>
      </w:r>
    </w:p>
    <w:p w14:paraId="05C4AA51" w14:textId="77777777" w:rsidR="00782616" w:rsidRPr="00022558" w:rsidRDefault="00782616" w:rsidP="00782616">
      <w:pPr>
        <w:pStyle w:val="enumlev1"/>
        <w:rPr>
          <w:lang w:val="en-GB"/>
        </w:rPr>
      </w:pPr>
      <w:r w:rsidRPr="00022558">
        <w:rPr>
          <w:lang w:val="en-GB"/>
        </w:rPr>
        <w:t>–</w:t>
      </w:r>
      <w:r w:rsidRPr="00022558">
        <w:rPr>
          <w:lang w:val="en-GB"/>
        </w:rPr>
        <w:tab/>
        <w:t>Telecommunication Technology Committee (TTC)</w:t>
      </w:r>
    </w:p>
    <w:p w14:paraId="64C693F4" w14:textId="77777777" w:rsidR="00782616" w:rsidRPr="000E6AE7" w:rsidRDefault="00782616" w:rsidP="00782616">
      <w:pPr>
        <w:pStyle w:val="Headingb0"/>
        <w:rPr>
          <w:lang w:val="fr-FR"/>
        </w:rPr>
      </w:pPr>
      <w:r w:rsidRPr="000E6AE7">
        <w:rPr>
          <w:lang w:val="fr-FR"/>
        </w:rPr>
        <w:t xml:space="preserve">Autres </w:t>
      </w:r>
      <w:proofErr w:type="gramStart"/>
      <w:r w:rsidRPr="000E6AE7">
        <w:rPr>
          <w:lang w:val="fr-FR"/>
        </w:rPr>
        <w:t>organismes:</w:t>
      </w:r>
      <w:proofErr w:type="gramEnd"/>
    </w:p>
    <w:p w14:paraId="3126F020" w14:textId="77777777" w:rsidR="00782616" w:rsidRPr="000E6AE7" w:rsidRDefault="00782616" w:rsidP="00782616">
      <w:pPr>
        <w:pStyle w:val="enumlev1"/>
      </w:pPr>
      <w:r w:rsidRPr="000E6AE7">
        <w:t>–</w:t>
      </w:r>
      <w:r w:rsidRPr="000E6AE7">
        <w:tab/>
        <w:t>Bureau international des poids et mesures (BIPM)</w:t>
      </w:r>
    </w:p>
    <w:p w14:paraId="3DD6D876" w14:textId="77777777" w:rsidR="00782616" w:rsidRPr="000E6AE7" w:rsidRDefault="00782616" w:rsidP="00782616">
      <w:pPr>
        <w:pStyle w:val="enumlev1"/>
      </w:pPr>
      <w:r w:rsidRPr="000E6AE7">
        <w:t>–</w:t>
      </w:r>
      <w:r w:rsidRPr="000E6AE7">
        <w:tab/>
        <w:t>Commission internationale des unités et mesures radiologiques (ICRU)</w:t>
      </w:r>
    </w:p>
    <w:p w14:paraId="763B02BA" w14:textId="77777777" w:rsidR="00782616" w:rsidRPr="00022558" w:rsidRDefault="00782616" w:rsidP="00782616">
      <w:pPr>
        <w:pStyle w:val="enumlev1"/>
        <w:rPr>
          <w:lang w:val="en-GB"/>
        </w:rPr>
      </w:pPr>
      <w:r w:rsidRPr="00022558">
        <w:rPr>
          <w:lang w:val="en-GB"/>
        </w:rPr>
        <w:t>–</w:t>
      </w:r>
      <w:r w:rsidRPr="00022558">
        <w:rPr>
          <w:lang w:val="en-GB"/>
        </w:rPr>
        <w:tab/>
        <w:t>FIDO Alliance</w:t>
      </w:r>
    </w:p>
    <w:p w14:paraId="50E48DEF" w14:textId="77777777" w:rsidR="00782616" w:rsidRPr="00022558" w:rsidRDefault="00782616" w:rsidP="00782616">
      <w:pPr>
        <w:pStyle w:val="enumlev1"/>
        <w:rPr>
          <w:lang w:val="en-GB"/>
        </w:rPr>
      </w:pPr>
      <w:r w:rsidRPr="00022558">
        <w:rPr>
          <w:lang w:val="en-GB"/>
        </w:rPr>
        <w:t>–</w:t>
      </w:r>
      <w:r w:rsidRPr="00022558">
        <w:rPr>
          <w:lang w:val="en-GB"/>
        </w:rPr>
        <w:tab/>
        <w:t>Open Id Foundation (OID)</w:t>
      </w:r>
    </w:p>
    <w:p w14:paraId="6B25E71C" w14:textId="77777777" w:rsidR="00782616" w:rsidRPr="000E6AE7" w:rsidRDefault="00782616" w:rsidP="00782616">
      <w:pPr>
        <w:pStyle w:val="enumlev1"/>
      </w:pPr>
      <w:r w:rsidRPr="000E6AE7">
        <w:t>–</w:t>
      </w:r>
      <w:r w:rsidRPr="000E6AE7">
        <w:tab/>
        <w:t>SIA (Secure Identity Alliance)</w:t>
      </w:r>
    </w:p>
    <w:p w14:paraId="281FFC7C" w14:textId="77777777" w:rsidR="00782616" w:rsidRPr="000E6AE7" w:rsidRDefault="00782616" w:rsidP="00782616">
      <w:pPr>
        <w:pStyle w:val="enumlev1"/>
      </w:pPr>
      <w:r w:rsidRPr="000E6AE7">
        <w:t>–</w:t>
      </w:r>
      <w:r w:rsidRPr="000E6AE7">
        <w:tab/>
        <w:t>SIDI Hub (identité numérique durable et interopérable)</w:t>
      </w:r>
    </w:p>
    <w:p w14:paraId="6E25D652" w14:textId="77777777" w:rsidR="00782616" w:rsidRPr="000E6AE7" w:rsidRDefault="00782616" w:rsidP="00782616">
      <w:pPr>
        <w:pStyle w:val="enumlev1"/>
      </w:pPr>
      <w:r w:rsidRPr="000E6AE7">
        <w:t>–</w:t>
      </w:r>
      <w:r w:rsidRPr="000E6AE7">
        <w:tab/>
        <w:t>Organisation internationale du travail (OIT)</w:t>
      </w:r>
    </w:p>
    <w:p w14:paraId="3C9BE740" w14:textId="77777777" w:rsidR="00782616" w:rsidRPr="000E6AE7" w:rsidRDefault="00782616" w:rsidP="00782616">
      <w:pPr>
        <w:pStyle w:val="enumlev1"/>
      </w:pPr>
      <w:r w:rsidRPr="000E6AE7">
        <w:t>–</w:t>
      </w:r>
      <w:r w:rsidRPr="000E6AE7">
        <w:tab/>
        <w:t>Forum des équipes de sécurité et d'intervention en cas d'incidents (FIRST)</w:t>
      </w:r>
    </w:p>
    <w:p w14:paraId="4403459C" w14:textId="77777777" w:rsidR="00782616" w:rsidRPr="000E6AE7" w:rsidRDefault="00782616" w:rsidP="00782616">
      <w:pPr>
        <w:pStyle w:val="Headingb0"/>
        <w:rPr>
          <w:lang w:val="fr-FR"/>
        </w:rPr>
      </w:pPr>
      <w:r w:rsidRPr="000E6AE7">
        <w:rPr>
          <w:lang w:val="fr-FR"/>
        </w:rPr>
        <w:t xml:space="preserve">Grandes orientations du </w:t>
      </w:r>
      <w:proofErr w:type="gramStart"/>
      <w:r w:rsidRPr="000E6AE7">
        <w:rPr>
          <w:lang w:val="fr-FR"/>
        </w:rPr>
        <w:t>SMSI:</w:t>
      </w:r>
      <w:proofErr w:type="gramEnd"/>
    </w:p>
    <w:p w14:paraId="4C9256D3" w14:textId="77777777" w:rsidR="00782616" w:rsidRPr="000E6AE7" w:rsidRDefault="00782616" w:rsidP="00782616">
      <w:pPr>
        <w:pStyle w:val="enumlev1"/>
      </w:pPr>
      <w:r w:rsidRPr="000E6AE7">
        <w:t>–</w:t>
      </w:r>
      <w:r w:rsidRPr="000E6AE7">
        <w:tab/>
        <w:t>C5</w:t>
      </w:r>
    </w:p>
    <w:p w14:paraId="2519BEBC" w14:textId="77777777" w:rsidR="00782616" w:rsidRPr="000E6AE7" w:rsidRDefault="00782616" w:rsidP="00782616">
      <w:pPr>
        <w:pStyle w:val="Headingb0"/>
        <w:rPr>
          <w:lang w:val="fr-FR"/>
        </w:rPr>
      </w:pPr>
      <w:r w:rsidRPr="000E6AE7">
        <w:rPr>
          <w:lang w:val="fr-FR"/>
        </w:rPr>
        <w:t xml:space="preserve">Objectifs de développement </w:t>
      </w:r>
      <w:proofErr w:type="gramStart"/>
      <w:r w:rsidRPr="000E6AE7">
        <w:rPr>
          <w:lang w:val="fr-FR"/>
        </w:rPr>
        <w:t>durable:</w:t>
      </w:r>
      <w:proofErr w:type="gramEnd"/>
    </w:p>
    <w:p w14:paraId="67B70338" w14:textId="77777777" w:rsidR="00782616" w:rsidRPr="000E6AE7" w:rsidRDefault="00782616" w:rsidP="00782616">
      <w:pPr>
        <w:pStyle w:val="enumlev1"/>
      </w:pPr>
      <w:r w:rsidRPr="000E6AE7">
        <w:t>–</w:t>
      </w:r>
      <w:r w:rsidRPr="000E6AE7">
        <w:tab/>
        <w:t>8, 9</w:t>
      </w:r>
    </w:p>
    <w:p w14:paraId="73035BC6" w14:textId="77777777" w:rsidR="00782616" w:rsidRPr="000E6AE7" w:rsidRDefault="00782616" w:rsidP="00782616">
      <w:r w:rsidRPr="000E6AE7">
        <w:br w:type="page"/>
      </w:r>
    </w:p>
    <w:p w14:paraId="62E4B25D" w14:textId="77777777" w:rsidR="00782616" w:rsidRPr="000E6AE7" w:rsidRDefault="00782616" w:rsidP="00782616">
      <w:pPr>
        <w:pStyle w:val="Heading2"/>
      </w:pPr>
      <w:r w:rsidRPr="000E6AE7">
        <w:lastRenderedPageBreak/>
        <w:t>Question 16/17 – Sécurité de l'intelligence artificielle (IA)</w:t>
      </w:r>
    </w:p>
    <w:p w14:paraId="7A9B884D" w14:textId="77777777" w:rsidR="00782616" w:rsidRPr="000E6AE7" w:rsidRDefault="00782616" w:rsidP="00782616">
      <w:pPr>
        <w:pStyle w:val="Questionhistory"/>
        <w:rPr>
          <w:lang w:val="fr-FR"/>
        </w:rPr>
      </w:pPr>
      <w:r w:rsidRPr="000E6AE7">
        <w:rPr>
          <w:lang w:val="fr-FR"/>
        </w:rPr>
        <w:t>(Nouvelle Question)</w:t>
      </w:r>
      <w:r w:rsidRPr="000E6AE7">
        <w:rPr>
          <w:rStyle w:val="FootnoteReference"/>
          <w:lang w:val="fr-FR"/>
        </w:rPr>
        <w:footnoteReference w:id="4"/>
      </w:r>
    </w:p>
    <w:p w14:paraId="3BC8EF1A" w14:textId="77777777" w:rsidR="00782616" w:rsidRPr="000E6AE7" w:rsidRDefault="00782616" w:rsidP="00782616">
      <w:pPr>
        <w:pStyle w:val="Heading3"/>
      </w:pPr>
      <w:r w:rsidRPr="000E6AE7">
        <w:t>1</w:t>
      </w:r>
      <w:r w:rsidRPr="000E6AE7">
        <w:tab/>
        <w:t>Motifs</w:t>
      </w:r>
    </w:p>
    <w:p w14:paraId="26899F79" w14:textId="77777777" w:rsidR="00782616" w:rsidRPr="000E6AE7" w:rsidRDefault="00782616" w:rsidP="00782616">
      <w:bookmarkStart w:id="7" w:name="_Hlk220923270"/>
      <w:r w:rsidRPr="000E6AE7">
        <w:t xml:space="preserve">L'intelligence artificielle (IA) et l'apprentissage automatique entraînent une transformation rapide des systèmes de télécommunication et des systèmes </w:t>
      </w:r>
      <w:r>
        <w:t>utilisant les technologies de l'information et de la communication (</w:t>
      </w:r>
      <w:r w:rsidRPr="000E6AE7">
        <w:t>TIC</w:t>
      </w:r>
      <w:r>
        <w:t>)</w:t>
      </w:r>
      <w:r w:rsidRPr="000E6AE7">
        <w:t>, apportant une efficacité et des capacités sans précédent. Toutefois, cette intégration fait naître des défis complexes et en constante évolution en matière de sécurité, avec des incidences sur l'intégrité des systèmes, la confidentialité des données, la continuité opérationnelle et la confiance du public. Il est impératif de se pencher de toute urgence sur les utilisations abusives, les comportements imprévus et les vulnérabilités systémiques.</w:t>
      </w:r>
    </w:p>
    <w:bookmarkEnd w:id="7"/>
    <w:p w14:paraId="08B7B56F" w14:textId="77777777" w:rsidR="00782616" w:rsidRPr="000E6AE7" w:rsidRDefault="00782616" w:rsidP="00782616">
      <w:r w:rsidRPr="000E6AE7">
        <w:t>Les modèles innovants utilisant l'IA/apprentissage automatique, tels que l'IA agentique, l'IA physique, les systèmes multi-agents, l'IA embarquée et les systèmes d'IA incarnée (robots</w:t>
      </w:r>
      <w:r>
        <w:t xml:space="preserve"> et</w:t>
      </w:r>
      <w:r w:rsidRPr="000E6AE7">
        <w:t xml:space="preserve"> drones) redéfinissent les opérations TIC et les processus décisionnels autonomes. Ces avancées créent </w:t>
      </w:r>
      <w:proofErr w:type="gramStart"/>
      <w:r w:rsidRPr="000E6AE7">
        <w:t>des surface</w:t>
      </w:r>
      <w:proofErr w:type="gramEnd"/>
      <w:r w:rsidRPr="000E6AE7">
        <w:t xml:space="preserve"> d'exposition aux menaces extraordinaires exigeant des stratégies de sécurité dédiées fondées sur l'IA.</w:t>
      </w:r>
    </w:p>
    <w:p w14:paraId="0AB819F3" w14:textId="77777777" w:rsidR="00782616" w:rsidRPr="000E6AE7" w:rsidRDefault="00782616" w:rsidP="00782616">
      <w:r w:rsidRPr="000E6AE7">
        <w:t>En particulier, l'IA incarnée amène des risques du monde physique du fait d'interactions autonomes, tandis que l'IA embarquée pose des difficultés dans des environnements à ressources limitées où la sécurité doit rester légère, résiliente et contextuelle.</w:t>
      </w:r>
    </w:p>
    <w:p w14:paraId="53C842B6" w14:textId="77777777" w:rsidR="00782616" w:rsidRPr="000E6AE7" w:rsidRDefault="00782616" w:rsidP="00782616">
      <w:r w:rsidRPr="000E6AE7">
        <w:t>Alors que des garde-fous sont essentiels dans l'utilisation de l'IA et de l'apprentissage automatique, la meilleure manière de procéder est d'avoir recours à un attribut dérivé – grâce à des approches intégrées de la sécurité, de la sûreté de fonctionnement et de la gestion des risques tout au long du cycle de vie de l'IA/apprentissage automatique. Ce choix est conforme au mandat de la CE 17 et permet de faire en sorte que les risques découlant des défaillances, utilisations abusives ou exploitations conflictuelles des systèmes d'IA soient atténués de manière systématique.</w:t>
      </w:r>
    </w:p>
    <w:p w14:paraId="44B42C3D" w14:textId="77777777" w:rsidR="00782616" w:rsidRPr="000E6AE7" w:rsidRDefault="00782616" w:rsidP="00782616">
      <w:r w:rsidRPr="000E6AE7">
        <w:t>Les agents IA peuvent détecter leur environnement et réagir en fonction, en prenant des mesures pour atteindre des buts définis. Les systèmes d'IA agentique peuvent fonctionner de manière autonome avec un comportement régi par un but, en percevant leur environnement, en raisonnant sur les conditions, en planifiant des stratégies et en exécutant de manière proactive des actions pour atteindre les buts. Ils peuvent réduire au minimum l'intervention humaine et assurer une coordination fluide entre de multiples outils, agents et sources de données.</w:t>
      </w:r>
    </w:p>
    <w:p w14:paraId="4F11FE1F" w14:textId="77777777" w:rsidR="00782616" w:rsidRPr="000E6AE7" w:rsidRDefault="00782616" w:rsidP="00782616">
      <w:r w:rsidRPr="000E6AE7">
        <w:t>Les protocoles de communication entre agents peuvent permettre à deux agents IA ou plus d'échanger des informations, de coordonner des actions et de négocier des décisions afin d'atteindre des buts individuels ou communs dans des environnements distribués ou multi-agents. Les protocoles de communication fondés sur un modèle ouvert peuvent permettre de normaliser la manière dont les modèles et agents IA interagissent avec des outils, services et sources de données extérieurs, garantissant ainsi l'interopérabilité entre les écosystèmes TIC.</w:t>
      </w:r>
    </w:p>
    <w:p w14:paraId="004EBC90" w14:textId="77777777" w:rsidR="00782616" w:rsidRPr="000E6AE7" w:rsidRDefault="00782616" w:rsidP="00782616">
      <w:pPr>
        <w:keepNext/>
        <w:keepLines/>
      </w:pPr>
      <w:r w:rsidRPr="000E6AE7">
        <w:lastRenderedPageBreak/>
        <w:t>Afin de contribuer à atteindre ces buts, les études menées au titre de la présente Question portent sur la manière dont l'IA peut renforcer les mesures de sécurité, la manière de garantir la sécurité des systèmes d'intelligence artificielle et des applications fondées sur l'intelligence artificielle à l'appui des télécommunications/TIC et la manière de lutter contre le nombre croissant de menaces découlant des progrès de l'IA. Elles donnent en outre des orientations pour l'élaboration d'une feuille de route évolutive pour la sécurité de l'IA/apprentissage automatique, permettent de mettre au point des kits pratiques pour la mise en œuvre et l'évaluation et favorisent l'harmonisation au niveau des commissions d'études de l'UIT-T pour ce qui est des télécommunications/TIC, ainsi que l'alignement avec les autres organisations de normalisation. Elles appuient en outre la spécification de contrôles de sécurité et de bonnes pratiques pour renforcer la fiabilité et stimuler l'innovation.</w:t>
      </w:r>
    </w:p>
    <w:p w14:paraId="67A496DC" w14:textId="77777777" w:rsidR="00782616" w:rsidRPr="000E6AE7" w:rsidRDefault="00782616" w:rsidP="00782616">
      <w:r w:rsidRPr="000E6AE7">
        <w:t>En vue d'appuyer le déploiement sécurisé de systèmes d'IA agentique, les travaux menés au titre de la présente Question portent sur un modèle architectural de type OSI pour l'IA, comprenant un plan dédié de contrôle de la sécurité et de la confiance de l'IA agentique. Ce plan prend en charge l'autorisation et la gouvernance dynamiques en fonction du contexte des actions d'IA, aidant ainsi à garantir un fonctionnement sûr et transparent aligné sur des objectifs et des contraintes politiques définis par l'homme.</w:t>
      </w:r>
    </w:p>
    <w:p w14:paraId="303C58C1" w14:textId="77777777" w:rsidR="00782616" w:rsidRPr="000E6AE7" w:rsidRDefault="00782616" w:rsidP="00782616">
      <w:r w:rsidRPr="000E6AE7">
        <w:t xml:space="preserve">La présente Question porte en outre sur les quatre dimensions complémentaires de la sécurité en matière </w:t>
      </w:r>
      <w:proofErr w:type="gramStart"/>
      <w:r w:rsidRPr="000E6AE7">
        <w:t>d'IA:</w:t>
      </w:r>
      <w:proofErr w:type="gramEnd"/>
    </w:p>
    <w:p w14:paraId="1625BC62" w14:textId="77777777" w:rsidR="00782616" w:rsidRPr="000E6AE7" w:rsidRDefault="00782616" w:rsidP="00782616">
      <w:pPr>
        <w:pStyle w:val="enumlev1"/>
      </w:pPr>
      <w:r w:rsidRPr="000E6AE7">
        <w:t>–</w:t>
      </w:r>
      <w:r w:rsidRPr="000E6AE7">
        <w:tab/>
      </w:r>
      <w:r w:rsidRPr="000E6AE7">
        <w:rPr>
          <w:b/>
          <w:bCs/>
        </w:rPr>
        <w:t xml:space="preserve">Sécurité de </w:t>
      </w:r>
      <w:proofErr w:type="gramStart"/>
      <w:r w:rsidRPr="000E6AE7">
        <w:rPr>
          <w:b/>
          <w:bCs/>
        </w:rPr>
        <w:t>l'IA</w:t>
      </w:r>
      <w:r w:rsidRPr="000E6AE7">
        <w:t>:</w:t>
      </w:r>
      <w:proofErr w:type="gramEnd"/>
      <w:r w:rsidRPr="000E6AE7">
        <w:t xml:space="preserve"> protéger les systèmes d'IA contre les menaces telles que l'empoisonnement du modèle, les attaques contradictoires et l'accès non autorisé.</w:t>
      </w:r>
    </w:p>
    <w:p w14:paraId="40B8AE07" w14:textId="77777777" w:rsidR="00782616" w:rsidRPr="000E6AE7" w:rsidRDefault="00782616" w:rsidP="00782616">
      <w:pPr>
        <w:pStyle w:val="enumlev1"/>
      </w:pPr>
      <w:r w:rsidRPr="000E6AE7">
        <w:t>–</w:t>
      </w:r>
      <w:r w:rsidRPr="000E6AE7">
        <w:tab/>
      </w:r>
      <w:r w:rsidRPr="000E6AE7">
        <w:rPr>
          <w:b/>
          <w:bCs/>
        </w:rPr>
        <w:t xml:space="preserve">Sécurité grâce à </w:t>
      </w:r>
      <w:proofErr w:type="gramStart"/>
      <w:r w:rsidRPr="000E6AE7">
        <w:rPr>
          <w:b/>
          <w:bCs/>
        </w:rPr>
        <w:t>l'IA</w:t>
      </w:r>
      <w:r w:rsidRPr="000E6AE7">
        <w:t>:</w:t>
      </w:r>
      <w:proofErr w:type="gramEnd"/>
      <w:r w:rsidRPr="000E6AE7">
        <w:t xml:space="preserve"> mettre à profit les technologies d'IA pour renforcer les capacités de cybersécurité, y compris pour la détection des menaces, les interventions et l'évaluation des risques.</w:t>
      </w:r>
    </w:p>
    <w:p w14:paraId="07F925C0" w14:textId="77777777" w:rsidR="00782616" w:rsidRPr="000E6AE7" w:rsidRDefault="00782616" w:rsidP="00782616">
      <w:pPr>
        <w:pStyle w:val="enumlev1"/>
      </w:pPr>
      <w:r w:rsidRPr="000E6AE7">
        <w:t>–</w:t>
      </w:r>
      <w:r w:rsidRPr="000E6AE7">
        <w:tab/>
      </w:r>
      <w:r w:rsidRPr="000E6AE7">
        <w:rPr>
          <w:b/>
          <w:bCs/>
        </w:rPr>
        <w:t xml:space="preserve">Sécurité contre les mauvaises utilisations et les utilisations abusives de </w:t>
      </w:r>
      <w:proofErr w:type="gramStart"/>
      <w:r w:rsidRPr="000E6AE7">
        <w:rPr>
          <w:b/>
          <w:bCs/>
        </w:rPr>
        <w:t>l'IA</w:t>
      </w:r>
      <w:r w:rsidRPr="000E6AE7">
        <w:t>:</w:t>
      </w:r>
      <w:proofErr w:type="gramEnd"/>
      <w:r w:rsidRPr="000E6AE7">
        <w:t xml:space="preserve"> répondre aux risques découlant de l'exploitation conflictuelle ou criminelle des technologies d'IA ou des cyberattaques menées grâce à l'IA.</w:t>
      </w:r>
    </w:p>
    <w:p w14:paraId="7C29FD1B" w14:textId="74F79F02" w:rsidR="00782616" w:rsidRPr="000E6AE7" w:rsidRDefault="00782616" w:rsidP="00782616">
      <w:pPr>
        <w:pStyle w:val="enumlev1"/>
      </w:pPr>
      <w:r w:rsidRPr="000E6AE7">
        <w:t>–</w:t>
      </w:r>
      <w:r w:rsidRPr="000E6AE7">
        <w:tab/>
      </w:r>
      <w:r w:rsidRPr="000E6AE7">
        <w:rPr>
          <w:b/>
          <w:bCs/>
        </w:rPr>
        <w:t xml:space="preserve">Sécurité des applications fondées sur </w:t>
      </w:r>
      <w:proofErr w:type="gramStart"/>
      <w:r w:rsidRPr="000E6AE7">
        <w:rPr>
          <w:b/>
          <w:bCs/>
        </w:rPr>
        <w:t>l'IA</w:t>
      </w:r>
      <w:r w:rsidRPr="000E6AE7">
        <w:t>:</w:t>
      </w:r>
      <w:proofErr w:type="gramEnd"/>
      <w:r w:rsidRPr="000E6AE7">
        <w:t xml:space="preserve"> se concentrer sur les nouveaux risques de sécurité et les nouvelles vulnérabilités qui apparaissent lorsque </w:t>
      </w:r>
      <w:proofErr w:type="gramStart"/>
      <w:r w:rsidRPr="000E6AE7">
        <w:t>des technologie</w:t>
      </w:r>
      <w:proofErr w:type="gramEnd"/>
      <w:r w:rsidRPr="000E6AE7">
        <w:t xml:space="preserve"> d'IA sont intégrées dans tel ou tel secteur (par exemple soins de santé, services financiers, transports et production industrielle) où l'on risque d'introduire ou d'amplifier des menaces propres au domaine.</w:t>
      </w:r>
    </w:p>
    <w:p w14:paraId="71DFE426" w14:textId="77777777" w:rsidR="00782616" w:rsidRPr="000E6AE7" w:rsidRDefault="00782616" w:rsidP="00782616">
      <w:r w:rsidRPr="000E6AE7">
        <w:t>L'accent est mis sur une approche globale fondée sur le cycle de vie, couvrant des étapes telles que la conception, l'entraînement, l'évaluation, le déploiement, l'exploitation et le retrait du modèle. À chaque étape, des contrôles de sécurité et des mesures d'atténuation personnalisés devraient être appliqués. Les rôles et responsabilités des parties prenantes (développeurs de l'IA, opérateurs, fournisseurs de services et utilisateurs finals) devraient être clairement définis, en particulier en ce qui concerne la protection des informations d'identification personnelle (PII) dans les environnements IA.</w:t>
      </w:r>
    </w:p>
    <w:p w14:paraId="35408303" w14:textId="77777777" w:rsidR="00782616" w:rsidRPr="000E6AE7" w:rsidRDefault="00782616" w:rsidP="00782616">
      <w:pPr>
        <w:pStyle w:val="Heading3"/>
      </w:pPr>
      <w:r w:rsidRPr="000E6AE7">
        <w:t>2</w:t>
      </w:r>
      <w:r w:rsidRPr="000E6AE7">
        <w:tab/>
        <w:t>Questions</w:t>
      </w:r>
    </w:p>
    <w:p w14:paraId="06EED1A6" w14:textId="77777777" w:rsidR="00782616" w:rsidRPr="000E6AE7" w:rsidRDefault="00782616" w:rsidP="00782616">
      <w:r w:rsidRPr="000E6AE7">
        <w:t xml:space="preserve">Chaque sujet à l'étude suivant relatif aux télécommunications et aux TIC est directement associé à une tâche </w:t>
      </w:r>
      <w:proofErr w:type="gramStart"/>
      <w:r w:rsidRPr="000E6AE7">
        <w:t>correspondante:</w:t>
      </w:r>
      <w:proofErr w:type="gramEnd"/>
    </w:p>
    <w:p w14:paraId="12ED92B1" w14:textId="77777777" w:rsidR="00782616" w:rsidRPr="000E6AE7" w:rsidRDefault="00782616" w:rsidP="00782616">
      <w:pPr>
        <w:pStyle w:val="enumlev1"/>
      </w:pPr>
      <w:bookmarkStart w:id="8" w:name="_Hlk221541454"/>
      <w:r>
        <w:t>-</w:t>
      </w:r>
      <w:r w:rsidRPr="000E6AE7">
        <w:tab/>
        <w:t xml:space="preserve">Quels sont les risques de sécurité de base et les stratégies d'atténuation pour les systèmes TIC fondés sur l'IA et les systèmes TIC intégrés IA/apprentissage automatique </w:t>
      </w:r>
      <w:r>
        <w:t>(</w:t>
      </w:r>
      <w:r w:rsidRPr="000E6AE7">
        <w:t>y compris les nouveaux modèles tels que l'IA agentique, les systèmes multi-agents, l'IA embarquée/incarnée et l'IA robotique</w:t>
      </w:r>
      <w:r>
        <w:t xml:space="preserve"> et </w:t>
      </w:r>
      <w:r w:rsidRPr="000E6AE7">
        <w:t xml:space="preserve">à l'exception de ceux spécifiquement liés aux mégadonnées, au nuage, à la gestion d'identité, aux réseaux de communication et aux </w:t>
      </w:r>
      <w:r w:rsidRPr="000E6AE7">
        <w:lastRenderedPageBreak/>
        <w:t>technologies des registres distribués) et comment devrait-on procéder pour traiter les risques liées à la chaîne d'approvisionnement (ensembles de données, modèles, éléments matériels/logiciels)?</w:t>
      </w:r>
    </w:p>
    <w:p w14:paraId="3F214B6B" w14:textId="77777777" w:rsidR="00782616" w:rsidRPr="000E6AE7" w:rsidRDefault="00782616" w:rsidP="00782616">
      <w:pPr>
        <w:pStyle w:val="enumlev1"/>
      </w:pPr>
      <w:r>
        <w:t>-</w:t>
      </w:r>
      <w:r w:rsidRPr="000E6AE7">
        <w:tab/>
        <w:t>Quels contrôles et stratégies d'atténuation sont nécessaires pour protéger les surfaces d'exposition aux attaques des modèles, systèmes, applications et services d'IA tout au long de leur cycle de vie, y compris les marchés de modèles et les interfaces</w:t>
      </w:r>
      <w:r>
        <w:t xml:space="preserve"> de programmation d'application</w:t>
      </w:r>
      <w:r w:rsidRPr="000E6AE7">
        <w:t xml:space="preserve"> </w:t>
      </w:r>
      <w:r>
        <w:t>(</w:t>
      </w:r>
      <w:r w:rsidRPr="000E6AE7">
        <w:t>API</w:t>
      </w:r>
      <w:proofErr w:type="gramStart"/>
      <w:r>
        <w:t>)</w:t>
      </w:r>
      <w:r w:rsidRPr="000E6AE7">
        <w:t>?</w:t>
      </w:r>
      <w:proofErr w:type="gramEnd"/>
    </w:p>
    <w:p w14:paraId="7B572DC5" w14:textId="77777777" w:rsidR="00782616" w:rsidRPr="000E6AE7" w:rsidRDefault="00782616" w:rsidP="00782616">
      <w:pPr>
        <w:pStyle w:val="enumlev1"/>
      </w:pPr>
      <w:r>
        <w:t>-</w:t>
      </w:r>
      <w:r w:rsidRPr="000E6AE7">
        <w:tab/>
        <w:t xml:space="preserve">Comment la sécurité des systèmes d'IA/apprentissage automatique peut-elle être intégrée et maintenue tout au long du cycle de vie (de la conception et l'entraînement au retrait en passant par le déploiement et l'exploitation) dans un environnement TIC, y compris pour des déploiements embarqués et </w:t>
      </w:r>
      <w:proofErr w:type="gramStart"/>
      <w:r w:rsidRPr="000E6AE7">
        <w:t>incarnés?</w:t>
      </w:r>
      <w:proofErr w:type="gramEnd"/>
    </w:p>
    <w:p w14:paraId="5A83DFF7" w14:textId="7D74629A" w:rsidR="00782616" w:rsidRPr="000E6AE7" w:rsidRDefault="00782616" w:rsidP="00782616">
      <w:pPr>
        <w:pStyle w:val="enumlev1"/>
      </w:pPr>
      <w:r>
        <w:t>-</w:t>
      </w:r>
      <w:r w:rsidRPr="000E6AE7">
        <w:tab/>
        <w:t>Comment peut-on intégrer des pratiques de développement sécurisé (par exemple, apprentissage continu, entraînement en fonction du cycle de vie et "</w:t>
      </w:r>
      <w:proofErr w:type="spellStart"/>
      <w:r w:rsidRPr="000E6AE7">
        <w:t>human</w:t>
      </w:r>
      <w:proofErr w:type="spellEnd"/>
      <w:r w:rsidRPr="000E6AE7">
        <w:t xml:space="preserve"> in the </w:t>
      </w:r>
      <w:proofErr w:type="spellStart"/>
      <w:r w:rsidRPr="000E6AE7">
        <w:t>loop</w:t>
      </w:r>
      <w:proofErr w:type="spellEnd"/>
      <w:r w:rsidRPr="000E6AE7">
        <w:t>") dans la conception des systèmes d'IA/apprentissage automatique, y compris dans la gouvernance des canaux DevOps/</w:t>
      </w:r>
      <w:proofErr w:type="spellStart"/>
      <w:proofErr w:type="gramStart"/>
      <w:r w:rsidRPr="000E6AE7">
        <w:t>MLops</w:t>
      </w:r>
      <w:proofErr w:type="spellEnd"/>
      <w:r w:rsidRPr="000E6AE7">
        <w:t>?</w:t>
      </w:r>
      <w:proofErr w:type="gramEnd"/>
    </w:p>
    <w:p w14:paraId="1033FB3F" w14:textId="77777777" w:rsidR="00782616" w:rsidRPr="000E6AE7" w:rsidRDefault="00782616" w:rsidP="00782616">
      <w:pPr>
        <w:pStyle w:val="enumlev1"/>
      </w:pPr>
      <w:r>
        <w:t>-</w:t>
      </w:r>
      <w:r w:rsidRPr="000E6AE7">
        <w:tab/>
        <w:t>Quels cadres, outils et pratiques sont nécessaires pour tester, contrôler et surveiller les systèmes d'IA/apprentissage automatique dans des environnements TIC opérationnels, et quels sont les indicateurs, paramètres de mesure et kits pratiques nécessaires pour évaluer et certifier leur sécurité, leur sûreté de fonctionnement et leurs garde-</w:t>
      </w:r>
      <w:proofErr w:type="gramStart"/>
      <w:r w:rsidRPr="000E6AE7">
        <w:t>fous?</w:t>
      </w:r>
      <w:proofErr w:type="gramEnd"/>
      <w:r w:rsidRPr="000E6AE7">
        <w:t xml:space="preserve"> Comment peut-on intégrer des simulations par attaques fictives et par attaques contradictoires fondées sur </w:t>
      </w:r>
      <w:proofErr w:type="gramStart"/>
      <w:r w:rsidRPr="000E6AE7">
        <w:t>l'IA?</w:t>
      </w:r>
      <w:proofErr w:type="gramEnd"/>
    </w:p>
    <w:p w14:paraId="353A64AC" w14:textId="77777777" w:rsidR="00782616" w:rsidRPr="000E6AE7" w:rsidRDefault="00782616" w:rsidP="00782616">
      <w:pPr>
        <w:pStyle w:val="enumlev1"/>
      </w:pPr>
      <w:r>
        <w:t>-</w:t>
      </w:r>
      <w:r w:rsidRPr="000E6AE7">
        <w:tab/>
        <w:t xml:space="preserve">Comment devrait-on procéder pour identifier les menaces et vulnérabilités visant les informations PII et y remédier au moyen de contrôles en fonction du cycle de vie et de la responsabilité des parties prenantes dans des environnements d'IA comprenant des applications IA, tout en appliquant des technologies et architectures de sécurité pour protéger les données dans l'IA générative, dans les canaux de génération des données synthétiques et dans les systèmes d'apprentissage </w:t>
      </w:r>
      <w:proofErr w:type="gramStart"/>
      <w:r w:rsidRPr="000E6AE7">
        <w:t>continu?</w:t>
      </w:r>
      <w:proofErr w:type="gramEnd"/>
    </w:p>
    <w:p w14:paraId="1C34EA96" w14:textId="77777777" w:rsidR="00782616" w:rsidRPr="000E6AE7" w:rsidRDefault="00782616" w:rsidP="00782616">
      <w:pPr>
        <w:pStyle w:val="enumlev1"/>
      </w:pPr>
      <w:r>
        <w:t>-</w:t>
      </w:r>
      <w:r w:rsidRPr="000E6AE7">
        <w:tab/>
        <w:t xml:space="preserve">Comment peut-on procéder pour élaborer des cadres de sécurité complets afin de remédier aux menaces et aux vulnérabilités se rapportant à la fois à l'intégrité des systèmes d'IA et à la protection des données PII, y compris les risques liés au double usage et l'utilisation détournée des technologies d'IA à des fins </w:t>
      </w:r>
      <w:proofErr w:type="gramStart"/>
      <w:r w:rsidRPr="000E6AE7">
        <w:t>malveillantes?</w:t>
      </w:r>
      <w:proofErr w:type="gramEnd"/>
    </w:p>
    <w:p w14:paraId="351836A3" w14:textId="77777777" w:rsidR="00782616" w:rsidRPr="000E6AE7" w:rsidRDefault="00782616" w:rsidP="00782616">
      <w:pPr>
        <w:pStyle w:val="enumlev1"/>
      </w:pPr>
      <w:r>
        <w:t>-</w:t>
      </w:r>
      <w:r w:rsidRPr="000E6AE7">
        <w:tab/>
        <w:t xml:space="preserve">Quels modèles d'architecture et mécanismes de contrôles (par exemple, plan de contrôle de la sécurité et de la confiance de l'IA agentique) sont nécessaires pour permettre un fonctionnement sûr et conforme aux politiques dans des environnements TIC et de quelle manière les modèles ou agents IA interagissent-ils avec des outils, services et sources de données </w:t>
      </w:r>
      <w:proofErr w:type="gramStart"/>
      <w:r w:rsidRPr="000E6AE7">
        <w:t>externes?</w:t>
      </w:r>
      <w:proofErr w:type="gramEnd"/>
    </w:p>
    <w:p w14:paraId="7CF4E341" w14:textId="77777777" w:rsidR="00782616" w:rsidRPr="000E6AE7" w:rsidRDefault="00782616" w:rsidP="00782616">
      <w:pPr>
        <w:pStyle w:val="enumlev1"/>
      </w:pPr>
      <w:r>
        <w:t>-</w:t>
      </w:r>
      <w:r w:rsidRPr="000E6AE7">
        <w:tab/>
        <w:t xml:space="preserve">Comment les technologies d'IA/apprentissage automatique peuvent-elles être appliquées dans des secteurs utilisant les TIC (par exemple, les soins de santé, les transports, les interventions en cas de catastrophe), avec des garde-fous </w:t>
      </w:r>
      <w:proofErr w:type="gramStart"/>
      <w:r w:rsidRPr="000E6AE7">
        <w:t>appropriés?</w:t>
      </w:r>
      <w:proofErr w:type="gramEnd"/>
    </w:p>
    <w:p w14:paraId="59BF1EDC" w14:textId="77777777" w:rsidR="00782616" w:rsidRPr="000E6AE7" w:rsidRDefault="00782616" w:rsidP="00782616">
      <w:pPr>
        <w:pStyle w:val="enumlev1"/>
      </w:pPr>
      <w:r>
        <w:t>-</w:t>
      </w:r>
      <w:r w:rsidRPr="000E6AE7">
        <w:tab/>
        <w:t xml:space="preserve">Comment devrait-on procéder pour définir les aspects essentiels de la sécurité (tels que les exigences générales, la gestion du cycle de vie, la fiabilité et la confiance des utilisateurs) ainsi que des principes et des mécanismes qui suscitent la confiance des parties prenantes et appuient le déploiement sécurisé et digne de confiance des systèmes d'IA/apprentissage automatique dans des environnements </w:t>
      </w:r>
      <w:proofErr w:type="gramStart"/>
      <w:r w:rsidRPr="000E6AE7">
        <w:t>TIC?</w:t>
      </w:r>
      <w:proofErr w:type="gramEnd"/>
    </w:p>
    <w:p w14:paraId="140FCDA5" w14:textId="77777777" w:rsidR="00782616" w:rsidRPr="000E6AE7" w:rsidRDefault="00782616" w:rsidP="00782616">
      <w:pPr>
        <w:pStyle w:val="enumlev1"/>
      </w:pPr>
      <w:r>
        <w:t>-</w:t>
      </w:r>
      <w:r w:rsidRPr="000E6AE7">
        <w:tab/>
        <w:t xml:space="preserve">Comment les informations PII et les données sensibles devraient-elles être protégées en limitant leur collecte, leur exposition et les possibilités d'identification associées, tout en continuant de permettre le traitement, l'analyse ou le partage des données </w:t>
      </w:r>
      <w:proofErr w:type="gramStart"/>
      <w:r w:rsidRPr="000E6AE7">
        <w:t>utiles?</w:t>
      </w:r>
      <w:proofErr w:type="gramEnd"/>
    </w:p>
    <w:p w14:paraId="3D50DFC0" w14:textId="77777777" w:rsidR="00782616" w:rsidRPr="000E6AE7" w:rsidRDefault="00782616" w:rsidP="00782616">
      <w:pPr>
        <w:pStyle w:val="enumlev1"/>
      </w:pPr>
      <w:r>
        <w:lastRenderedPageBreak/>
        <w:t>-</w:t>
      </w:r>
      <w:r w:rsidRPr="000E6AE7">
        <w:tab/>
        <w:t xml:space="preserve">Quels terminologie, cadres conceptuels et architectures de référence sont nécessaires pour élaborer des normes de sécurité de l'IA/apprentissage automatique harmonisées au sein de la CE 17 et avec d'autres organisations de </w:t>
      </w:r>
      <w:proofErr w:type="gramStart"/>
      <w:r w:rsidRPr="000E6AE7">
        <w:t>normalisation?</w:t>
      </w:r>
      <w:proofErr w:type="gramEnd"/>
    </w:p>
    <w:p w14:paraId="62A4940D" w14:textId="77777777" w:rsidR="00782616" w:rsidRPr="000E6AE7" w:rsidRDefault="00782616" w:rsidP="00782616">
      <w:pPr>
        <w:pStyle w:val="enumlev1"/>
      </w:pPr>
      <w:r>
        <w:t>-</w:t>
      </w:r>
      <w:r w:rsidRPr="000E6AE7">
        <w:tab/>
        <w:t xml:space="preserve">Comment la CE 17 devrait-elle coordonner et tenir à jour une feuille de route évolutive pour la normalisation de la sécurité de l'IA/apprentissage automatique et l'alignement entre </w:t>
      </w:r>
      <w:proofErr w:type="gramStart"/>
      <w:r w:rsidRPr="000E6AE7">
        <w:t>organisations?</w:t>
      </w:r>
      <w:proofErr w:type="gramEnd"/>
    </w:p>
    <w:bookmarkEnd w:id="8"/>
    <w:p w14:paraId="5ED0A59D" w14:textId="77777777" w:rsidR="00782616" w:rsidRPr="000E6AE7" w:rsidRDefault="00782616" w:rsidP="00782616">
      <w:pPr>
        <w:pStyle w:val="Heading3"/>
      </w:pPr>
      <w:r w:rsidRPr="000E6AE7">
        <w:t>3</w:t>
      </w:r>
      <w:r w:rsidRPr="000E6AE7">
        <w:tab/>
        <w:t>Tâches</w:t>
      </w:r>
    </w:p>
    <w:p w14:paraId="056E71A6" w14:textId="77777777" w:rsidR="00782616" w:rsidRPr="000E6AE7" w:rsidRDefault="00782616" w:rsidP="00782616">
      <w:r w:rsidRPr="000E6AE7">
        <w:t xml:space="preserve">En vue de traiter les sujets ci-dessus, les tâches ci-après relatives aux domaines des télécommunications et des TIC seront menées au titre de la présente </w:t>
      </w:r>
      <w:proofErr w:type="gramStart"/>
      <w:r w:rsidRPr="000E6AE7">
        <w:t>Question:</w:t>
      </w:r>
      <w:proofErr w:type="gramEnd"/>
    </w:p>
    <w:p w14:paraId="790A9936" w14:textId="77777777" w:rsidR="00782616" w:rsidRPr="000E6AE7" w:rsidRDefault="00782616" w:rsidP="00782616">
      <w:pPr>
        <w:pStyle w:val="enumlev1"/>
      </w:pPr>
      <w:r w:rsidRPr="000E6AE7">
        <w:t>–</w:t>
      </w:r>
      <w:r w:rsidRPr="000E6AE7">
        <w:tab/>
        <w:t xml:space="preserve">Élaborer des modèles de menaces et des taxonomies des risques pour les systèmes TIC fondés sur l'IA et les systèmes TIC intégrés IA/apprentissage automatique, en se concentrant sur les comportements de l'IA agentique, des systèmes multi-agents, de l'IA embarquée et de l'IA incarnée </w:t>
      </w:r>
      <w:r>
        <w:t>(en excluant</w:t>
      </w:r>
      <w:r w:rsidRPr="000E6AE7">
        <w:t xml:space="preserve"> ceux spécifiquement liés aux mégadonnées, au nuage, à la gestion d'identité, aux réseaux de communication et aux technologies des registres distribués</w:t>
      </w:r>
      <w:r>
        <w:t xml:space="preserve"> et en incluant</w:t>
      </w:r>
      <w:r w:rsidRPr="000E6AE7">
        <w:t xml:space="preserve"> la sécurité de la chaîne d'approvisionnement pour les ensembles de données, les modèles et les éléments matériels/logiciels</w:t>
      </w:r>
      <w:r>
        <w:t>)</w:t>
      </w:r>
      <w:r w:rsidRPr="000E6AE7">
        <w:t>.</w:t>
      </w:r>
    </w:p>
    <w:p w14:paraId="26A49764" w14:textId="77777777" w:rsidR="00782616" w:rsidRPr="000E6AE7" w:rsidRDefault="00782616" w:rsidP="00782616">
      <w:pPr>
        <w:pStyle w:val="enumlev1"/>
      </w:pPr>
      <w:r w:rsidRPr="000E6AE7">
        <w:tab/>
        <w:t>Cette tâche correspond au sujet 1 figurant dans la Section 2 ci-dessus.</w:t>
      </w:r>
    </w:p>
    <w:p w14:paraId="1350AB07" w14:textId="77777777" w:rsidR="00782616" w:rsidRPr="000E6AE7" w:rsidRDefault="00782616" w:rsidP="00782616">
      <w:pPr>
        <w:pStyle w:val="enumlev1"/>
      </w:pPr>
      <w:r w:rsidRPr="000E6AE7">
        <w:t>–</w:t>
      </w:r>
      <w:r w:rsidRPr="000E6AE7">
        <w:tab/>
        <w:t xml:space="preserve">Spécifier les contrôles et les stratégies d'atténuation pour protéger les surfaces d'exposition aux attaques tout au long du cycle de vie des modèles, des systèmes, des applications et des services d'IA, y compris les marchés de modèles et les interfaces API. </w:t>
      </w:r>
    </w:p>
    <w:p w14:paraId="18BDDAE6" w14:textId="77777777" w:rsidR="00782616" w:rsidRPr="000E6AE7" w:rsidRDefault="00782616" w:rsidP="00782616">
      <w:pPr>
        <w:pStyle w:val="enumlev1"/>
      </w:pPr>
      <w:r w:rsidRPr="000E6AE7">
        <w:tab/>
        <w:t>Cette tâche correspond au sujet 2 figurant dans la Section 2 ci-dessus.</w:t>
      </w:r>
    </w:p>
    <w:p w14:paraId="46837B9A" w14:textId="77777777" w:rsidR="00782616" w:rsidRPr="000E6AE7" w:rsidRDefault="00782616" w:rsidP="00782616">
      <w:pPr>
        <w:pStyle w:val="enumlev1"/>
      </w:pPr>
      <w:r w:rsidRPr="000E6AE7">
        <w:t>–</w:t>
      </w:r>
      <w:r w:rsidRPr="000E6AE7">
        <w:tab/>
        <w:t xml:space="preserve">Élaborer des lignes directrices relatives à la sécurité tout au long du cycle de vie pour les systèmes d'IA/apprentissage automatique </w:t>
      </w:r>
      <w:r>
        <w:t>(</w:t>
      </w:r>
      <w:r w:rsidRPr="000E6AE7">
        <w:t>y compris les déploiements embarqués et incarnés</w:t>
      </w:r>
      <w:r>
        <w:t>)</w:t>
      </w:r>
      <w:r w:rsidRPr="000E6AE7">
        <w:t>, garantissant la protection des informations PII et définissant les responsabilités des parties prenantes dans les phases de conception, d'entraînement, de déploiement, d'exploitation et de retrait.</w:t>
      </w:r>
    </w:p>
    <w:p w14:paraId="3D2998D0" w14:textId="77777777" w:rsidR="00782616" w:rsidRPr="000E6AE7" w:rsidRDefault="00782616" w:rsidP="00782616">
      <w:pPr>
        <w:pStyle w:val="enumlev1"/>
      </w:pPr>
      <w:r w:rsidRPr="000E6AE7">
        <w:tab/>
        <w:t>Cette tâche correspond au sujet 3 figurant dans la Section 2 ci-dessus.</w:t>
      </w:r>
    </w:p>
    <w:p w14:paraId="7FD8438B" w14:textId="77777777" w:rsidR="00782616" w:rsidRPr="000E6AE7" w:rsidRDefault="00782616" w:rsidP="00782616">
      <w:pPr>
        <w:pStyle w:val="enumlev1"/>
      </w:pPr>
      <w:r w:rsidRPr="000E6AE7">
        <w:t>–</w:t>
      </w:r>
      <w:r w:rsidRPr="000E6AE7">
        <w:tab/>
        <w:t xml:space="preserve">Élaborer et promouvoir des bonnes pratiques pour la totalité du cycle de vie du développement de l'IA/apprentissage automatique, y compris pour l'apprentissage continu, les mécanismes de supervision humaine et les techniques de renforcement de la transparence, pour appuyer un déploiement sécurisé et </w:t>
      </w:r>
      <w:proofErr w:type="gramStart"/>
      <w:r w:rsidRPr="000E6AE7">
        <w:t>fiable;</w:t>
      </w:r>
      <w:proofErr w:type="gramEnd"/>
      <w:r w:rsidRPr="000E6AE7">
        <w:t xml:space="preserve"> élargir la gouvernance des canaux DevOps/</w:t>
      </w:r>
      <w:proofErr w:type="spellStart"/>
      <w:r w:rsidRPr="000E6AE7">
        <w:t>MLOps</w:t>
      </w:r>
      <w:proofErr w:type="spellEnd"/>
      <w:r w:rsidRPr="000E6AE7">
        <w:t>.</w:t>
      </w:r>
    </w:p>
    <w:p w14:paraId="26A41F7D" w14:textId="77777777" w:rsidR="00782616" w:rsidRPr="000E6AE7" w:rsidRDefault="00782616" w:rsidP="00782616">
      <w:pPr>
        <w:pStyle w:val="enumlev1"/>
      </w:pPr>
      <w:r w:rsidRPr="000E6AE7">
        <w:tab/>
        <w:t>Cette tâche correspond au sujet 4 figurant dans la Section 2 ci-dessus.</w:t>
      </w:r>
    </w:p>
    <w:p w14:paraId="0158B8C9" w14:textId="77777777" w:rsidR="00782616" w:rsidRPr="000E6AE7" w:rsidRDefault="00782616" w:rsidP="00782616">
      <w:pPr>
        <w:pStyle w:val="enumlev1"/>
      </w:pPr>
      <w:r w:rsidRPr="000E6AE7">
        <w:t>–</w:t>
      </w:r>
      <w:r w:rsidRPr="000E6AE7">
        <w:tab/>
        <w:t>Élaborer des cadres opérationnels pour contrôler, tester et surveiller les systèmes d'IA/apprentissage automatique dans les environnements TIC, en s'appuyant sur l'IA pour détecter rapidement les menaces, en incorporant des bancs d'essai et des critères de référence pour l'évaluation par exemples contradictoires et en fournissant des kits pratiques avec des indicateurs définis pour évaluer et certifier la sécurité, la sûreté de fonctionnement et les garde-fous; inclure des simulations par attaques fictives et par attaques contradictoires fondées sur l'IA.</w:t>
      </w:r>
    </w:p>
    <w:p w14:paraId="43B5973D" w14:textId="77777777" w:rsidR="00782616" w:rsidRPr="000E6AE7" w:rsidRDefault="00782616" w:rsidP="00782616">
      <w:pPr>
        <w:pStyle w:val="enumlev1"/>
      </w:pPr>
      <w:r w:rsidRPr="000E6AE7">
        <w:tab/>
        <w:t>Cette tâche correspond au sujet 5 figurant dans la Section 2 ci-dessus.</w:t>
      </w:r>
    </w:p>
    <w:p w14:paraId="2877DD0C" w14:textId="77777777" w:rsidR="00782616" w:rsidRPr="000E6AE7" w:rsidRDefault="00782616" w:rsidP="00782616">
      <w:pPr>
        <w:pStyle w:val="enumlev1"/>
        <w:keepNext/>
        <w:keepLines/>
      </w:pPr>
      <w:r w:rsidRPr="000E6AE7">
        <w:lastRenderedPageBreak/>
        <w:t>–</w:t>
      </w:r>
      <w:r w:rsidRPr="000E6AE7">
        <w:tab/>
        <w:t xml:space="preserve">Spécifier des exigences et des architectures de sécurité pour garantir la confidentialité, l'intégrité et la disponibilité des données, tout en protégeant les informations PII dans </w:t>
      </w:r>
      <w:proofErr w:type="gramStart"/>
      <w:r w:rsidRPr="000E6AE7">
        <w:t>les environnement</w:t>
      </w:r>
      <w:proofErr w:type="gramEnd"/>
      <w:r w:rsidRPr="000E6AE7">
        <w:t xml:space="preserve"> IA, à l'aide de contrôles en fonction du cycle de vie afin d'identifier et d'atténuer les menaces liées aux informations PII et de préciser les responsabilités des parties prenantes.</w:t>
      </w:r>
    </w:p>
    <w:p w14:paraId="1967EB28" w14:textId="77777777" w:rsidR="00782616" w:rsidRPr="000E6AE7" w:rsidRDefault="00782616" w:rsidP="00782616">
      <w:pPr>
        <w:pStyle w:val="enumlev1"/>
      </w:pPr>
      <w:r w:rsidRPr="000E6AE7">
        <w:tab/>
        <w:t>Cette tâche correspond au sujet 6 figurant dans la Section 2 ci-dessus.</w:t>
      </w:r>
    </w:p>
    <w:p w14:paraId="42B5102F" w14:textId="77777777" w:rsidR="00782616" w:rsidRPr="000E6AE7" w:rsidRDefault="00782616" w:rsidP="00782616">
      <w:pPr>
        <w:pStyle w:val="enumlev1"/>
      </w:pPr>
      <w:r w:rsidRPr="000E6AE7">
        <w:t>–</w:t>
      </w:r>
      <w:r w:rsidRPr="000E6AE7">
        <w:tab/>
        <w:t>Élaborer des exigences, des cadres et des contre-mesures concernant la sécurité des données afin de faire face aux menaces émergentes dans les systèmes d'IA générative et agentique, y compris aux cyberattaques utilisant l'IA (par exemple, les logiciels malveillants autonomes et l'hameçonnage et la désinformation adaptatifs), tout en garantissant à la fois l'intégrité du système et la protection des informations PII et en offrant aux partie prenantes des garde-fous techniques et opérationnels; inclure les risques liés au double usage et l'utilisation détournée à des fins malveillantes.</w:t>
      </w:r>
    </w:p>
    <w:p w14:paraId="373AACD2" w14:textId="77777777" w:rsidR="00782616" w:rsidRPr="000E6AE7" w:rsidRDefault="00782616" w:rsidP="00782616">
      <w:pPr>
        <w:pStyle w:val="enumlev1"/>
      </w:pPr>
      <w:r w:rsidRPr="000E6AE7">
        <w:tab/>
        <w:t>Cette tâche correspond au sujet 7 figurant dans la Section 2 ci-dessus.</w:t>
      </w:r>
    </w:p>
    <w:p w14:paraId="6104D4A5" w14:textId="77777777" w:rsidR="00782616" w:rsidRPr="000E6AE7" w:rsidRDefault="00782616" w:rsidP="00782616">
      <w:pPr>
        <w:pStyle w:val="enumlev1"/>
      </w:pPr>
      <w:r w:rsidRPr="000E6AE7">
        <w:t>–</w:t>
      </w:r>
      <w:r w:rsidRPr="000E6AE7">
        <w:tab/>
        <w:t>Définir des modèles d'architecture et un plan de contrôle de la sécurité pour l'IA agentique, couvrant l'autorisation, l'application des politiques et la gouvernance de la confiance dynamiques, afin de garantir une autonomie sécurisée et comptable des systèmes TIC; spécifier un modèle organisé en couches de type OSI (perception, planification, décision, action); et assurer la sécurité et la fiabilité pour les protocoles de communication entre les modèles d'IA, les services extérieurs et entre agents pour permettre des écosystèmes multi-agents fiables et résilients, en collaboration avec les organisations de normalisation pertinentes.</w:t>
      </w:r>
    </w:p>
    <w:p w14:paraId="115EAE69" w14:textId="77777777" w:rsidR="00782616" w:rsidRPr="000E6AE7" w:rsidRDefault="00782616" w:rsidP="00782616">
      <w:pPr>
        <w:pStyle w:val="enumlev1"/>
      </w:pPr>
      <w:r w:rsidRPr="000E6AE7">
        <w:tab/>
        <w:t>Cette tâche correspond au sujet 8 figurant dans la Section 2 ci-dessus.</w:t>
      </w:r>
    </w:p>
    <w:p w14:paraId="7855BE45" w14:textId="77777777" w:rsidR="00782616" w:rsidRPr="000E6AE7" w:rsidRDefault="00782616" w:rsidP="00782616">
      <w:pPr>
        <w:pStyle w:val="enumlev1"/>
      </w:pPr>
      <w:r w:rsidRPr="000E6AE7">
        <w:t>–</w:t>
      </w:r>
      <w:r w:rsidRPr="000E6AE7">
        <w:tab/>
        <w:t>Publier des orientations sur l'utilisation sécurisée de l'IA/apprentissage automatique dans des secteurs essentiels utilisant les TIC (tels que les soins de santé, les transports et les interventions en cas de catastrophe) garantissant des garde-fous qui favorisent la sûreté de fonctionnement et la confiance du public.</w:t>
      </w:r>
    </w:p>
    <w:p w14:paraId="0C714BE4" w14:textId="77777777" w:rsidR="00782616" w:rsidRPr="000E6AE7" w:rsidRDefault="00782616" w:rsidP="00782616">
      <w:pPr>
        <w:pStyle w:val="enumlev1"/>
      </w:pPr>
      <w:r w:rsidRPr="000E6AE7">
        <w:tab/>
        <w:t>Cette tâche correspond au sujet 9 figurant dans la Section 2 ci-dessus.</w:t>
      </w:r>
    </w:p>
    <w:p w14:paraId="71790FD0" w14:textId="77777777" w:rsidR="00782616" w:rsidRPr="000E6AE7" w:rsidRDefault="00782616" w:rsidP="00782616">
      <w:pPr>
        <w:pStyle w:val="enumlev1"/>
      </w:pPr>
      <w:r w:rsidRPr="000E6AE7">
        <w:t>–</w:t>
      </w:r>
      <w:r w:rsidRPr="000E6AE7">
        <w:tab/>
        <w:t>Identifier et diffuser les aspects essentiels de la sécurité, y compris les exigences générales, la gestion du cycle de vie, la fiabilité et la confiance des utilisateurs, ainsi que des principes et des mécanismes de base qui suscitent la confiance des parties prenantes et appuient le déploiement sécurisé, interopérable et digne de confiance des systèmes d'IA/apprentissage automatique dans des environnements de télécommunication/TIC.</w:t>
      </w:r>
    </w:p>
    <w:p w14:paraId="4C60A249" w14:textId="77777777" w:rsidR="00782616" w:rsidRPr="000E6AE7" w:rsidRDefault="00782616" w:rsidP="00782616">
      <w:pPr>
        <w:pStyle w:val="enumlev1"/>
      </w:pPr>
      <w:r w:rsidRPr="000E6AE7">
        <w:tab/>
        <w:t>Cette tâche correspond au sujet 10 figurant dans la Section 2 ci-dessus.</w:t>
      </w:r>
    </w:p>
    <w:p w14:paraId="323EB0F3" w14:textId="77777777" w:rsidR="00782616" w:rsidRPr="000E6AE7" w:rsidRDefault="00782616" w:rsidP="00782616">
      <w:pPr>
        <w:pStyle w:val="enumlev1"/>
      </w:pPr>
      <w:r w:rsidRPr="000E6AE7">
        <w:t>–</w:t>
      </w:r>
      <w:r w:rsidRPr="000E6AE7">
        <w:tab/>
        <w:t>Mettre au point des méthodes, des technologies, telles que des techniques de protection des données, ou des processus conçus pour protéger les informations PII et les données sensibles en limitant leur collecte, leur exposition et les possibilités d'identification associées, tout en continuant de permettre le traitement, l'analyse ou le partage des données utiles.</w:t>
      </w:r>
    </w:p>
    <w:p w14:paraId="2A17195E" w14:textId="77777777" w:rsidR="00782616" w:rsidRPr="000E6AE7" w:rsidRDefault="00782616" w:rsidP="00782616">
      <w:pPr>
        <w:pStyle w:val="enumlev1"/>
      </w:pPr>
      <w:r w:rsidRPr="000E6AE7">
        <w:tab/>
        <w:t>Cette tâche correspond au sujet 11 figurant dans la Section 2 ci-dessus.</w:t>
      </w:r>
    </w:p>
    <w:p w14:paraId="533502BD" w14:textId="77777777" w:rsidR="00782616" w:rsidRPr="000E6AE7" w:rsidRDefault="00782616" w:rsidP="00782616">
      <w:pPr>
        <w:pStyle w:val="enumlev1"/>
      </w:pPr>
      <w:r w:rsidRPr="000E6AE7">
        <w:t>–</w:t>
      </w:r>
      <w:r w:rsidRPr="000E6AE7">
        <w:tab/>
        <w:t>Harmoniser la terminologie, les concepts et les architectures de référence concernant la sécurité de l'IA et de l'apprentissage automatique au sein de la CE 17 et en collaboration avec les autres organismes de normalisation et les consortiums du secteur, y compris définir une taxonomie commune pour la sécurité de l'IA agentique et l'aspect technique des modèles de gouvernance de l'IA.</w:t>
      </w:r>
    </w:p>
    <w:p w14:paraId="33B6F376" w14:textId="77777777" w:rsidR="00782616" w:rsidRPr="000E6AE7" w:rsidRDefault="00782616" w:rsidP="00782616">
      <w:pPr>
        <w:pStyle w:val="enumlev1"/>
      </w:pPr>
      <w:r w:rsidRPr="000E6AE7">
        <w:tab/>
        <w:t>Cette tâche correspond au sujet 12 figurant dans la Section 2 ci-dessus.</w:t>
      </w:r>
    </w:p>
    <w:p w14:paraId="0CA6D7CD" w14:textId="77777777" w:rsidR="00782616" w:rsidRPr="000E6AE7" w:rsidRDefault="00782616" w:rsidP="00782616">
      <w:pPr>
        <w:pStyle w:val="enumlev1"/>
      </w:pPr>
      <w:r w:rsidRPr="000E6AE7">
        <w:lastRenderedPageBreak/>
        <w:t>–</w:t>
      </w:r>
      <w:r w:rsidRPr="000E6AE7">
        <w:tab/>
        <w:t>Définir et tenir à jour une feuille de route évolutive pour la normalisation de la sécurité de l'IA/apprentissage automatique, permettant de recenser les besoins techniques et réglementaires émergents, de coordonner les produits entre la CE 17 et les autres commissions d'études de l'UIT, de promouvoir l'interopérabilité à l'échelle mondiale et d'appuyer l'adoption agile et fondée sur le marché des technologies d'IA/apprentissage automatique dans des environnements TIC et leur évaluation.</w:t>
      </w:r>
    </w:p>
    <w:p w14:paraId="77B19675" w14:textId="77777777" w:rsidR="00782616" w:rsidRPr="000E6AE7" w:rsidRDefault="00782616" w:rsidP="00782616">
      <w:pPr>
        <w:pStyle w:val="enumlev1"/>
      </w:pPr>
      <w:r w:rsidRPr="000E6AE7">
        <w:tab/>
        <w:t>Cette tâche correspond au sujet 13 figurant dans la Section 2 ci-dessus.</w:t>
      </w:r>
    </w:p>
    <w:p w14:paraId="72E5EF2D" w14:textId="77777777" w:rsidR="00782616" w:rsidRPr="000E6AE7" w:rsidRDefault="00782616" w:rsidP="00782616">
      <w:r w:rsidRPr="000E6AE7">
        <w:t>L'état actuel d'avancement des travaux au titre de cette Question est indiqué dans le programme de travail de la CE 17 (</w:t>
      </w:r>
      <w:hyperlink r:id="rId14" w:history="1">
        <w:r w:rsidRPr="000E6AE7">
          <w:rPr>
            <w:rStyle w:val="Hyperlink"/>
          </w:rPr>
          <w:t>https://www.itu.int/ITU-T/workprog/wp_search.aspx?sp=18&amp;q=16/17</w:t>
        </w:r>
      </w:hyperlink>
      <w:r w:rsidRPr="000E6AE7">
        <w:t>).</w:t>
      </w:r>
    </w:p>
    <w:p w14:paraId="7A15881B" w14:textId="77777777" w:rsidR="00782616" w:rsidRPr="000E6AE7" w:rsidRDefault="00782616" w:rsidP="00782616">
      <w:pPr>
        <w:pStyle w:val="Heading3"/>
      </w:pPr>
      <w:r w:rsidRPr="000E6AE7">
        <w:t>4</w:t>
      </w:r>
      <w:r w:rsidRPr="000E6AE7">
        <w:tab/>
        <w:t>Relations</w:t>
      </w:r>
    </w:p>
    <w:p w14:paraId="27137044" w14:textId="082E90C4" w:rsidR="00782616" w:rsidRPr="000E6AE7" w:rsidRDefault="00782616" w:rsidP="00782616">
      <w:pPr>
        <w:pStyle w:val="Headingb0"/>
        <w:rPr>
          <w:lang w:val="fr-FR"/>
        </w:rPr>
      </w:pPr>
      <w:proofErr w:type="gramStart"/>
      <w:r w:rsidRPr="000E6AE7">
        <w:rPr>
          <w:lang w:val="fr-FR"/>
        </w:rPr>
        <w:t>Recommandations:</w:t>
      </w:r>
      <w:proofErr w:type="gramEnd"/>
    </w:p>
    <w:p w14:paraId="2FC6AF4E" w14:textId="77777777" w:rsidR="00782616" w:rsidRPr="000E6AE7" w:rsidRDefault="00782616" w:rsidP="00782616">
      <w:pPr>
        <w:pStyle w:val="enumlev1"/>
        <w:rPr>
          <w:b/>
          <w:bCs/>
        </w:rPr>
      </w:pPr>
      <w:r w:rsidRPr="000E6AE7">
        <w:t>–</w:t>
      </w:r>
      <w:r w:rsidRPr="000E6AE7">
        <w:tab/>
        <w:t>Recommandations UIT-T de la série X et autres Recommandations relatives à la sécurité</w:t>
      </w:r>
    </w:p>
    <w:p w14:paraId="74400B90" w14:textId="77777777" w:rsidR="00782616" w:rsidRPr="000E6AE7" w:rsidRDefault="00782616" w:rsidP="00782616">
      <w:pPr>
        <w:pStyle w:val="Headingb0"/>
        <w:rPr>
          <w:lang w:val="fr-FR"/>
        </w:rPr>
      </w:pPr>
      <w:proofErr w:type="gramStart"/>
      <w:r w:rsidRPr="000E6AE7">
        <w:rPr>
          <w:lang w:val="fr-FR"/>
        </w:rPr>
        <w:t>Questions:</w:t>
      </w:r>
      <w:proofErr w:type="gramEnd"/>
    </w:p>
    <w:p w14:paraId="58089769" w14:textId="77777777" w:rsidR="00782616" w:rsidRPr="000E6AE7" w:rsidRDefault="00782616" w:rsidP="00782616">
      <w:pPr>
        <w:pStyle w:val="enumlev1"/>
      </w:pPr>
      <w:r w:rsidRPr="000E6AE7">
        <w:t>–</w:t>
      </w:r>
      <w:r w:rsidRPr="000E6AE7">
        <w:tab/>
        <w:t>Toutes les Questions pertinentes de la CE 17 de l'UIT-T</w:t>
      </w:r>
    </w:p>
    <w:p w14:paraId="5CA579F9" w14:textId="77777777" w:rsidR="00782616" w:rsidRPr="000E6AE7" w:rsidRDefault="00782616" w:rsidP="00782616">
      <w:pPr>
        <w:pStyle w:val="Headingb0"/>
        <w:rPr>
          <w:lang w:val="fr-FR"/>
        </w:rPr>
      </w:pPr>
      <w:r w:rsidRPr="000E6AE7">
        <w:rPr>
          <w:lang w:val="fr-FR"/>
        </w:rPr>
        <w:t xml:space="preserve">Commissions </w:t>
      </w:r>
      <w:proofErr w:type="gramStart"/>
      <w:r w:rsidRPr="000E6AE7">
        <w:rPr>
          <w:lang w:val="fr-FR"/>
        </w:rPr>
        <w:t>d'études:</w:t>
      </w:r>
      <w:proofErr w:type="gramEnd"/>
    </w:p>
    <w:p w14:paraId="534535B3" w14:textId="77777777" w:rsidR="00782616" w:rsidRPr="000E6AE7" w:rsidRDefault="00782616" w:rsidP="00782616">
      <w:pPr>
        <w:pStyle w:val="enumlev1"/>
      </w:pPr>
      <w:r w:rsidRPr="000E6AE7">
        <w:t>–</w:t>
      </w:r>
      <w:r w:rsidRPr="000E6AE7">
        <w:tab/>
        <w:t>Toutes les commissions d'études de l'UIT-T compétentes, JCA-AI/ML</w:t>
      </w:r>
    </w:p>
    <w:p w14:paraId="2129F19D" w14:textId="77777777" w:rsidR="00782616" w:rsidRPr="000E6AE7" w:rsidRDefault="00782616" w:rsidP="00782616">
      <w:pPr>
        <w:pStyle w:val="Headingb0"/>
        <w:rPr>
          <w:lang w:val="fr-FR"/>
        </w:rPr>
      </w:pPr>
      <w:r w:rsidRPr="000E6AE7">
        <w:rPr>
          <w:lang w:val="fr-FR"/>
        </w:rPr>
        <w:t xml:space="preserve">Organismes de </w:t>
      </w:r>
      <w:proofErr w:type="gramStart"/>
      <w:r w:rsidRPr="000E6AE7">
        <w:rPr>
          <w:lang w:val="fr-FR"/>
        </w:rPr>
        <w:t>normalisation:</w:t>
      </w:r>
      <w:proofErr w:type="gramEnd"/>
    </w:p>
    <w:p w14:paraId="6126E8DA" w14:textId="77777777" w:rsidR="00782616" w:rsidRPr="000E6AE7" w:rsidRDefault="00782616" w:rsidP="00782616">
      <w:pPr>
        <w:pStyle w:val="enumlev1"/>
      </w:pPr>
      <w:r w:rsidRPr="000E6AE7">
        <w:t>–</w:t>
      </w:r>
      <w:r w:rsidRPr="000E6AE7">
        <w:tab/>
        <w:t xml:space="preserve">JTC 1 et SC 6, 27, 42 et 44 de l'ISO/CEI </w:t>
      </w:r>
    </w:p>
    <w:p w14:paraId="2CBFE4B7" w14:textId="77777777" w:rsidR="00782616" w:rsidRPr="00022558" w:rsidRDefault="00782616" w:rsidP="00782616">
      <w:pPr>
        <w:pStyle w:val="enumlev1"/>
        <w:rPr>
          <w:lang w:val="en-GB"/>
        </w:rPr>
      </w:pPr>
      <w:r w:rsidRPr="00022558">
        <w:rPr>
          <w:lang w:val="en-GB"/>
        </w:rPr>
        <w:t>–</w:t>
      </w:r>
      <w:r w:rsidRPr="00022558">
        <w:rPr>
          <w:lang w:val="en-GB"/>
        </w:rPr>
        <w:tab/>
        <w:t>Institute of Electrical and Electronics Engineering (IEEE)</w:t>
      </w:r>
    </w:p>
    <w:p w14:paraId="58B5FB13" w14:textId="77777777" w:rsidR="00782616" w:rsidRPr="000E6AE7" w:rsidRDefault="00782616" w:rsidP="00782616">
      <w:pPr>
        <w:pStyle w:val="enumlev1"/>
      </w:pPr>
      <w:r w:rsidRPr="000E6AE7">
        <w:t>–</w:t>
      </w:r>
      <w:r w:rsidRPr="000E6AE7">
        <w:tab/>
        <w:t xml:space="preserve">TC SAI (Sécuriser l'intelligence artificielle) de l'Institut européen des normes de télécommunication (ETSI) </w:t>
      </w:r>
    </w:p>
    <w:p w14:paraId="586DE363" w14:textId="77777777" w:rsidR="00782616" w:rsidRPr="000E6AE7" w:rsidRDefault="00782616" w:rsidP="00782616">
      <w:pPr>
        <w:pStyle w:val="enumlev1"/>
      </w:pPr>
      <w:r w:rsidRPr="000E6AE7">
        <w:t>–</w:t>
      </w:r>
      <w:r w:rsidRPr="000E6AE7">
        <w:tab/>
        <w:t>CEN-CENELEC JTC 21</w:t>
      </w:r>
    </w:p>
    <w:p w14:paraId="0AB944DB" w14:textId="77777777" w:rsidR="00782616" w:rsidRPr="000E6AE7" w:rsidRDefault="00782616" w:rsidP="00782616">
      <w:pPr>
        <w:pStyle w:val="enumlev1"/>
      </w:pPr>
      <w:r w:rsidRPr="000E6AE7">
        <w:t>–</w:t>
      </w:r>
      <w:r w:rsidRPr="000E6AE7">
        <w:tab/>
        <w:t>GT Préférences IA (</w:t>
      </w:r>
      <w:proofErr w:type="spellStart"/>
      <w:r w:rsidRPr="000E6AE7">
        <w:t>airpref</w:t>
      </w:r>
      <w:proofErr w:type="spellEnd"/>
      <w:r w:rsidRPr="000E6AE7">
        <w:t>) du Groupe de travail sur l'ingénierie Internet (IETF)</w:t>
      </w:r>
    </w:p>
    <w:p w14:paraId="00932AA7" w14:textId="77777777" w:rsidR="00782616" w:rsidRPr="000E6AE7" w:rsidRDefault="00782616" w:rsidP="00782616">
      <w:pPr>
        <w:pStyle w:val="enumlev1"/>
      </w:pPr>
      <w:r w:rsidRPr="000E6AE7">
        <w:t>–</w:t>
      </w:r>
      <w:r w:rsidRPr="000E6AE7">
        <w:tab/>
        <w:t>Projet de partenariat pour la troisième génération (3GPP)</w:t>
      </w:r>
    </w:p>
    <w:p w14:paraId="28D7F8C6" w14:textId="77777777" w:rsidR="00782616" w:rsidRPr="00022558" w:rsidRDefault="00782616" w:rsidP="00782616">
      <w:pPr>
        <w:pStyle w:val="enumlev1"/>
        <w:rPr>
          <w:lang w:val="en-GB"/>
        </w:rPr>
      </w:pPr>
      <w:r w:rsidRPr="00022558">
        <w:rPr>
          <w:lang w:val="en-GB"/>
        </w:rPr>
        <w:t>–</w:t>
      </w:r>
      <w:r w:rsidRPr="00022558">
        <w:rPr>
          <w:lang w:val="en-GB"/>
        </w:rPr>
        <w:tab/>
        <w:t>Association GSM (GSMA)</w:t>
      </w:r>
    </w:p>
    <w:p w14:paraId="006F8EF0" w14:textId="77777777" w:rsidR="00782616" w:rsidRPr="00022558" w:rsidRDefault="00782616" w:rsidP="00782616">
      <w:pPr>
        <w:pStyle w:val="enumlev1"/>
        <w:rPr>
          <w:lang w:val="en-GB"/>
        </w:rPr>
      </w:pPr>
      <w:r w:rsidRPr="00022558">
        <w:rPr>
          <w:lang w:val="en-GB"/>
        </w:rPr>
        <w:t>–</w:t>
      </w:r>
      <w:r w:rsidRPr="00022558">
        <w:rPr>
          <w:lang w:val="en-GB"/>
        </w:rPr>
        <w:tab/>
        <w:t>World Wide Web Consortium (W3C)</w:t>
      </w:r>
    </w:p>
    <w:p w14:paraId="52CB4558" w14:textId="77777777" w:rsidR="00782616" w:rsidRPr="00022558" w:rsidRDefault="00782616" w:rsidP="00782616">
      <w:pPr>
        <w:pStyle w:val="enumlev1"/>
        <w:rPr>
          <w:lang w:val="en-GB"/>
        </w:rPr>
      </w:pPr>
      <w:r w:rsidRPr="00022558">
        <w:rPr>
          <w:lang w:val="en-GB"/>
        </w:rPr>
        <w:t>–</w:t>
      </w:r>
      <w:r w:rsidRPr="00022558">
        <w:rPr>
          <w:lang w:val="en-GB"/>
        </w:rPr>
        <w:tab/>
        <w:t>NFC Forum; National Institute of Standards and Technology (NIST)</w:t>
      </w:r>
    </w:p>
    <w:p w14:paraId="5B303359" w14:textId="77777777" w:rsidR="00782616" w:rsidRPr="00022558" w:rsidRDefault="00782616" w:rsidP="00782616">
      <w:pPr>
        <w:pStyle w:val="enumlev1"/>
        <w:rPr>
          <w:lang w:val="en-GB"/>
        </w:rPr>
      </w:pPr>
      <w:r w:rsidRPr="00022558">
        <w:rPr>
          <w:lang w:val="en-GB"/>
        </w:rPr>
        <w:t>–</w:t>
      </w:r>
      <w:r w:rsidRPr="00022558">
        <w:rPr>
          <w:lang w:val="en-GB"/>
        </w:rPr>
        <w:tab/>
        <w:t>Alliance for Telecommunications Industry Solutions (ATIS)</w:t>
      </w:r>
    </w:p>
    <w:p w14:paraId="632EBA04" w14:textId="77777777" w:rsidR="00782616" w:rsidRPr="00022558" w:rsidRDefault="00782616" w:rsidP="00782616">
      <w:pPr>
        <w:pStyle w:val="enumlev1"/>
        <w:rPr>
          <w:lang w:val="en-GB"/>
        </w:rPr>
      </w:pPr>
      <w:r w:rsidRPr="00022558">
        <w:rPr>
          <w:lang w:val="en-GB"/>
        </w:rPr>
        <w:t>–</w:t>
      </w:r>
      <w:r w:rsidRPr="00022558">
        <w:rPr>
          <w:lang w:val="en-GB"/>
        </w:rPr>
        <w:tab/>
        <w:t>China Communications Standards Association (CCSA)</w:t>
      </w:r>
    </w:p>
    <w:p w14:paraId="12A31FBF" w14:textId="77777777" w:rsidR="00782616" w:rsidRPr="00022558" w:rsidRDefault="00782616" w:rsidP="00782616">
      <w:pPr>
        <w:pStyle w:val="enumlev1"/>
        <w:rPr>
          <w:lang w:val="en-GB"/>
        </w:rPr>
      </w:pPr>
      <w:r w:rsidRPr="00022558">
        <w:rPr>
          <w:lang w:val="en-GB"/>
        </w:rPr>
        <w:t>–</w:t>
      </w:r>
      <w:r w:rsidRPr="00022558">
        <w:rPr>
          <w:lang w:val="en-GB"/>
        </w:rPr>
        <w:tab/>
        <w:t>Telecommunication Technology Committee (TTC)</w:t>
      </w:r>
    </w:p>
    <w:p w14:paraId="17059245" w14:textId="77777777" w:rsidR="00782616" w:rsidRPr="00022558" w:rsidRDefault="00782616" w:rsidP="00782616">
      <w:pPr>
        <w:pStyle w:val="enumlev1"/>
        <w:rPr>
          <w:lang w:val="en-GB"/>
        </w:rPr>
      </w:pPr>
      <w:r w:rsidRPr="00022558">
        <w:rPr>
          <w:lang w:val="en-GB"/>
        </w:rPr>
        <w:t>–</w:t>
      </w:r>
      <w:r w:rsidRPr="00022558">
        <w:rPr>
          <w:lang w:val="en-GB"/>
        </w:rPr>
        <w:tab/>
        <w:t>Telecommunications Technology Association (TTA)</w:t>
      </w:r>
    </w:p>
    <w:p w14:paraId="4BC9172A" w14:textId="4E12336B" w:rsidR="00782616" w:rsidRPr="00022558" w:rsidRDefault="00782616" w:rsidP="00782616">
      <w:pPr>
        <w:pStyle w:val="Headingb0"/>
      </w:pPr>
      <w:r w:rsidRPr="00022558">
        <w:t>Grandes orientations du SMSI:</w:t>
      </w:r>
    </w:p>
    <w:p w14:paraId="7C8A85A3" w14:textId="77777777" w:rsidR="00782616" w:rsidRPr="000E6AE7" w:rsidRDefault="00782616" w:rsidP="00782616">
      <w:pPr>
        <w:pStyle w:val="enumlev1"/>
      </w:pPr>
      <w:r w:rsidRPr="000E6AE7">
        <w:t>–</w:t>
      </w:r>
      <w:r w:rsidRPr="000E6AE7">
        <w:tab/>
        <w:t>C5</w:t>
      </w:r>
    </w:p>
    <w:p w14:paraId="6935C72E" w14:textId="2B4B70AE" w:rsidR="00782616" w:rsidRPr="000E6AE7" w:rsidRDefault="00782616" w:rsidP="00782616">
      <w:pPr>
        <w:pStyle w:val="Headingb0"/>
        <w:rPr>
          <w:lang w:val="fr-FR"/>
        </w:rPr>
      </w:pPr>
      <w:r w:rsidRPr="000E6AE7">
        <w:rPr>
          <w:lang w:val="fr-FR"/>
        </w:rPr>
        <w:t xml:space="preserve">Objectifs de développement </w:t>
      </w:r>
      <w:proofErr w:type="gramStart"/>
      <w:r w:rsidRPr="000E6AE7">
        <w:rPr>
          <w:lang w:val="fr-FR"/>
        </w:rPr>
        <w:t>durables:</w:t>
      </w:r>
      <w:proofErr w:type="gramEnd"/>
    </w:p>
    <w:p w14:paraId="4F273169" w14:textId="77777777" w:rsidR="00782616" w:rsidRPr="000E6AE7" w:rsidRDefault="00782616" w:rsidP="00782616">
      <w:pPr>
        <w:pStyle w:val="enumlev1"/>
      </w:pPr>
      <w:r w:rsidRPr="000E6AE7">
        <w:t>–</w:t>
      </w:r>
      <w:r w:rsidRPr="000E6AE7">
        <w:tab/>
        <w:t>3, 4, 5, 8, 9, 11</w:t>
      </w:r>
    </w:p>
    <w:p w14:paraId="0D5C840C" w14:textId="77777777" w:rsidR="0086626C" w:rsidRDefault="0086626C">
      <w:pPr>
        <w:jc w:val="center"/>
      </w:pPr>
      <w:r>
        <w:t>______________</w:t>
      </w:r>
    </w:p>
    <w:sectPr w:rsidR="0086626C" w:rsidSect="00A15179">
      <w:headerReference w:type="default" r:id="rId15"/>
      <w:footerReference w:type="first" r:id="rId16"/>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BC9B1" w14:textId="77777777" w:rsidR="00FF55D4" w:rsidRDefault="00FF55D4">
      <w:r>
        <w:separator/>
      </w:r>
    </w:p>
  </w:endnote>
  <w:endnote w:type="continuationSeparator" w:id="0">
    <w:p w14:paraId="25BF8A86" w14:textId="77777777" w:rsidR="00FF55D4" w:rsidRDefault="00FF5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Bold">
    <w:panose1 w:val="020208030705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A9C5" w14:textId="77777777"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r>
    <w:proofErr w:type="gramStart"/>
    <w:r w:rsidRPr="003E66AD">
      <w:rPr>
        <w:color w:val="0070C0"/>
        <w:sz w:val="18"/>
        <w:szCs w:val="18"/>
        <w:lang w:val="fr-CH"/>
      </w:rPr>
      <w:t>Tél</w:t>
    </w:r>
    <w:r w:rsidR="00085F5A" w:rsidRPr="003E66AD">
      <w:rPr>
        <w:color w:val="0070C0"/>
        <w:sz w:val="18"/>
        <w:szCs w:val="18"/>
        <w:lang w:val="fr-CH"/>
      </w:rPr>
      <w:t>.</w:t>
    </w:r>
    <w:r w:rsidRPr="003E66AD">
      <w:rPr>
        <w:color w:val="0070C0"/>
        <w:sz w:val="18"/>
        <w:szCs w:val="18"/>
        <w:lang w:val="fr-CH"/>
      </w:rPr>
      <w:t>:</w:t>
    </w:r>
    <w:proofErr w:type="gramEnd"/>
    <w:r w:rsidRPr="003E66AD">
      <w:rPr>
        <w:color w:val="0070C0"/>
        <w:sz w:val="18"/>
        <w:szCs w:val="18"/>
        <w:lang w:val="fr-CH"/>
      </w:rPr>
      <w:t xml:space="preserve"> +41 22 730 5111 • </w:t>
    </w:r>
    <w:proofErr w:type="gramStart"/>
    <w:r w:rsidRPr="003E66AD">
      <w:rPr>
        <w:color w:val="0070C0"/>
        <w:sz w:val="18"/>
        <w:szCs w:val="18"/>
        <w:lang w:val="fr-CH"/>
      </w:rPr>
      <w:t>Fax:</w:t>
    </w:r>
    <w:proofErr w:type="gramEnd"/>
    <w:r w:rsidRPr="003E66AD">
      <w:rPr>
        <w:color w:val="0070C0"/>
        <w:sz w:val="18"/>
        <w:szCs w:val="18"/>
        <w:lang w:val="fr-CH"/>
      </w:rPr>
      <w:t xml:space="preserve"> +41 22 733 7256 • </w:t>
    </w:r>
    <w:proofErr w:type="gramStart"/>
    <w:r w:rsidR="00085F5A" w:rsidRPr="003E66AD">
      <w:rPr>
        <w:color w:val="0070C0"/>
        <w:sz w:val="18"/>
        <w:szCs w:val="18"/>
        <w:lang w:val="fr-CH"/>
      </w:rPr>
      <w:t>Courriel</w:t>
    </w:r>
    <w:r w:rsidRPr="003E66AD">
      <w:rPr>
        <w:color w:val="0070C0"/>
        <w:sz w:val="18"/>
        <w:szCs w:val="18"/>
        <w:lang w:val="fr-CH"/>
      </w:rPr>
      <w:t>:</w:t>
    </w:r>
    <w:proofErr w:type="gramEnd"/>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r w:rsidRPr="003E66AD">
      <w:rPr>
        <w:color w:val="0070C0"/>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593E5" w14:textId="77777777" w:rsidR="00FF55D4" w:rsidRDefault="00FF55D4">
      <w:r>
        <w:t>____________________</w:t>
      </w:r>
    </w:p>
  </w:footnote>
  <w:footnote w:type="continuationSeparator" w:id="0">
    <w:p w14:paraId="2C7FF3C1" w14:textId="77777777" w:rsidR="00FF55D4" w:rsidRDefault="00FF55D4">
      <w:r>
        <w:continuationSeparator/>
      </w:r>
    </w:p>
  </w:footnote>
  <w:footnote w:id="1">
    <w:p w14:paraId="2D9F7318" w14:textId="77777777" w:rsidR="00782616" w:rsidRDefault="00782616" w:rsidP="00782616">
      <w:pPr>
        <w:pStyle w:val="FootnoteText"/>
      </w:pPr>
      <w:r>
        <w:rPr>
          <w:rStyle w:val="FootnoteReference"/>
        </w:rPr>
        <w:footnoteRef/>
      </w:r>
      <w:r>
        <w:tab/>
      </w:r>
      <w:r w:rsidRPr="00492A4E">
        <w:t xml:space="preserve">Texte mis à jour de la Question 7/17 </w:t>
      </w:r>
      <w:r>
        <w:t>"</w:t>
      </w:r>
      <w:r w:rsidRPr="003D4DE5">
        <w:t>Services applicatifs sécurisés</w:t>
      </w:r>
      <w:r>
        <w:t>"</w:t>
      </w:r>
      <w:r w:rsidRPr="00492A4E">
        <w:t xml:space="preserve"> (AMNT-24) élaboré par la CE</w:t>
      </w:r>
      <w:r>
        <w:t> </w:t>
      </w:r>
      <w:r w:rsidRPr="00492A4E">
        <w:t>17 de l</w:t>
      </w:r>
      <w:r>
        <w:t>'</w:t>
      </w:r>
      <w:r w:rsidRPr="00492A4E">
        <w:t>UIT-T (Genève, 3-11 Décembre 2025)</w:t>
      </w:r>
      <w:r>
        <w:t>,</w:t>
      </w:r>
      <w:r w:rsidRPr="00492A4E">
        <w:t xml:space="preserve"> adopté par le GCNT (Genève,</w:t>
      </w:r>
      <w:r>
        <w:t> </w:t>
      </w:r>
      <w:r w:rsidRPr="00492A4E">
        <w:t>26</w:t>
      </w:r>
      <w:r>
        <w:noBreakHyphen/>
      </w:r>
      <w:r w:rsidRPr="00492A4E">
        <w:t>30</w:t>
      </w:r>
      <w:r>
        <w:t> </w:t>
      </w:r>
      <w:r w:rsidRPr="00492A4E">
        <w:t>janvier</w:t>
      </w:r>
      <w:r>
        <w:t> </w:t>
      </w:r>
      <w:r w:rsidRPr="00492A4E">
        <w:t xml:space="preserve">2026) </w:t>
      </w:r>
      <w:r>
        <w:t>et considéré comme approuvé à l'issue de</w:t>
      </w:r>
      <w:r w:rsidRPr="00492A4E">
        <w:t xml:space="preserve"> la consultation des États Membres</w:t>
      </w:r>
      <w:r>
        <w:t xml:space="preserve"> (Circulaire TSB 101)</w:t>
      </w:r>
      <w:r w:rsidRPr="00492A4E">
        <w:t>.</w:t>
      </w:r>
    </w:p>
  </w:footnote>
  <w:footnote w:id="2">
    <w:p w14:paraId="590F336A" w14:textId="77777777" w:rsidR="00782616" w:rsidRDefault="00782616" w:rsidP="00782616">
      <w:pPr>
        <w:pStyle w:val="FootnoteText"/>
      </w:pPr>
      <w:r>
        <w:rPr>
          <w:rStyle w:val="FootnoteReference"/>
        </w:rPr>
        <w:footnoteRef/>
      </w:r>
      <w:r>
        <w:tab/>
      </w:r>
      <w:r w:rsidRPr="00492A4E">
        <w:t>Les Questions 3/17 et 10/17 ont été mises à jour pour la dernière fois par le GCNT à sa réunion de mai 2025. La présente version issue de la fusion de ces deux Question a été élaborée par la CE</w:t>
      </w:r>
      <w:r>
        <w:t> </w:t>
      </w:r>
      <w:r w:rsidRPr="00492A4E">
        <w:t>17 de l</w:t>
      </w:r>
      <w:r>
        <w:t>'</w:t>
      </w:r>
      <w:r w:rsidRPr="00492A4E">
        <w:t>UIT-T (Genève, 3-11 décembre 2025)</w:t>
      </w:r>
      <w:r>
        <w:t>,</w:t>
      </w:r>
      <w:r w:rsidRPr="00492A4E">
        <w:t xml:space="preserve"> adoptée par le GCNT (Genève,</w:t>
      </w:r>
      <w:r>
        <w:t> </w:t>
      </w:r>
      <w:r w:rsidRPr="00492A4E">
        <w:t>26</w:t>
      </w:r>
      <w:r>
        <w:noBreakHyphen/>
      </w:r>
      <w:r w:rsidRPr="00492A4E">
        <w:t>30</w:t>
      </w:r>
      <w:r>
        <w:t> </w:t>
      </w:r>
      <w:r w:rsidRPr="00492A4E">
        <w:t>janvier</w:t>
      </w:r>
      <w:r>
        <w:t> </w:t>
      </w:r>
      <w:r w:rsidRPr="00492A4E">
        <w:t xml:space="preserve">2026) </w:t>
      </w:r>
      <w:r>
        <w:t>et considérée comme approuvée à l'issue de</w:t>
      </w:r>
      <w:r w:rsidRPr="00492A4E">
        <w:t xml:space="preserve"> la consultation des États Membres</w:t>
      </w:r>
      <w:r>
        <w:t xml:space="preserve"> (Circulaire TSB 101)</w:t>
      </w:r>
      <w:r w:rsidRPr="00492A4E">
        <w:t>.</w:t>
      </w:r>
    </w:p>
  </w:footnote>
  <w:footnote w:id="3">
    <w:p w14:paraId="37343F3A" w14:textId="77777777" w:rsidR="00782616" w:rsidRDefault="00782616" w:rsidP="00782616">
      <w:pPr>
        <w:pStyle w:val="FootnoteText"/>
      </w:pPr>
      <w:r>
        <w:rPr>
          <w:rStyle w:val="FootnoteReference"/>
        </w:rPr>
        <w:footnoteRef/>
      </w:r>
      <w:r>
        <w:tab/>
      </w:r>
      <w:r w:rsidRPr="003D4DE5">
        <w:t>La normalisation de l</w:t>
      </w:r>
      <w:r>
        <w:t>'</w:t>
      </w:r>
      <w:r w:rsidRPr="003D4DE5">
        <w:t>identité numérique elle-même (c</w:t>
      </w:r>
      <w:r>
        <w:t>'</w:t>
      </w:r>
      <w:r w:rsidRPr="003D4DE5">
        <w:t>est-à-dire le contenu de l</w:t>
      </w:r>
      <w:r>
        <w:t>'</w:t>
      </w:r>
      <w:r w:rsidRPr="003D4DE5">
        <w:t>identité numérique) ne relève pas des travaux de la CE 17 de l</w:t>
      </w:r>
      <w:r>
        <w:t>'</w:t>
      </w:r>
      <w:r w:rsidRPr="003D4DE5">
        <w:t>UIT-T.</w:t>
      </w:r>
    </w:p>
  </w:footnote>
  <w:footnote w:id="4">
    <w:p w14:paraId="6A6A661D" w14:textId="77777777" w:rsidR="00782616" w:rsidRDefault="00782616" w:rsidP="00782616">
      <w:pPr>
        <w:pStyle w:val="FootnoteText"/>
      </w:pPr>
      <w:r>
        <w:rPr>
          <w:rStyle w:val="FootnoteReference"/>
        </w:rPr>
        <w:footnoteRef/>
      </w:r>
      <w:r>
        <w:tab/>
        <w:t>La</w:t>
      </w:r>
      <w:r w:rsidRPr="003D4DE5">
        <w:t xml:space="preserve"> nouvelle Question 16/17 </w:t>
      </w:r>
      <w:r>
        <w:t>"</w:t>
      </w:r>
      <w:r w:rsidRPr="003D4DE5">
        <w:t>Sécurité de l'intelligence artificielle (IA)</w:t>
      </w:r>
      <w:r>
        <w:t>"</w:t>
      </w:r>
      <w:r w:rsidRPr="003D4DE5">
        <w:t xml:space="preserve"> a été élaboré</w:t>
      </w:r>
      <w:r>
        <w:t>e</w:t>
      </w:r>
      <w:r w:rsidRPr="003D4DE5">
        <w:t xml:space="preserve"> par la CE 17 de l</w:t>
      </w:r>
      <w:r>
        <w:t>'</w:t>
      </w:r>
      <w:r w:rsidRPr="003D4DE5">
        <w:t>UIT-T (Genève, 3-11 décembre 2025)</w:t>
      </w:r>
      <w:r>
        <w:t>,</w:t>
      </w:r>
      <w:r w:rsidRPr="003D4DE5">
        <w:t xml:space="preserve"> adopté</w:t>
      </w:r>
      <w:r>
        <w:t>e</w:t>
      </w:r>
      <w:r w:rsidRPr="003D4DE5">
        <w:t xml:space="preserve"> par le GCNT (Genève,</w:t>
      </w:r>
      <w:r>
        <w:t> </w:t>
      </w:r>
      <w:r w:rsidRPr="003D4DE5">
        <w:t>26</w:t>
      </w:r>
      <w:r>
        <w:noBreakHyphen/>
      </w:r>
      <w:r w:rsidRPr="003D4DE5">
        <w:t>30</w:t>
      </w:r>
      <w:r>
        <w:t> </w:t>
      </w:r>
      <w:r w:rsidRPr="003D4DE5">
        <w:t>janvier</w:t>
      </w:r>
      <w:r>
        <w:t> </w:t>
      </w:r>
      <w:r w:rsidRPr="003D4DE5">
        <w:t xml:space="preserve">2026) </w:t>
      </w:r>
      <w:r>
        <w:t>et considérée comme approuvée à l'issue</w:t>
      </w:r>
      <w:r w:rsidRPr="003D4DE5">
        <w:t xml:space="preserve"> de la consultation des États Membres</w:t>
      </w:r>
      <w:r>
        <w:t xml:space="preserve"> (TSB Circulaire 101)</w:t>
      </w:r>
      <w:r w:rsidRPr="003D4DE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5492" w14:textId="3CFB46D4" w:rsidR="00697BC1" w:rsidRPr="00697BC1" w:rsidRDefault="001C6FB3" w:rsidP="001C6FB3">
    <w:pPr>
      <w:pStyle w:val="Header"/>
      <w:rPr>
        <w:sz w:val="18"/>
        <w:szCs w:val="16"/>
      </w:rPr>
    </w:pPr>
    <w:r w:rsidRPr="001C6FB3">
      <w:rPr>
        <w:sz w:val="18"/>
        <w:szCs w:val="16"/>
      </w:rPr>
      <w:t>-</w:t>
    </w:r>
    <w:r>
      <w:rPr>
        <w:sz w:val="18"/>
        <w:szCs w:val="16"/>
      </w:rPr>
      <w:t xml:space="preserve"> </w:t>
    </w:r>
    <w:sdt>
      <w:sdtPr>
        <w:rPr>
          <w:sz w:val="18"/>
          <w:szCs w:val="16"/>
        </w:rPr>
        <w:id w:val="526448189"/>
        <w:docPartObj>
          <w:docPartGallery w:val="Page Numbers (Top of Page)"/>
          <w:docPartUnique/>
        </w:docPartObj>
      </w:sdtPr>
      <w:sdtEndPr>
        <w:rPr>
          <w:noProof/>
        </w:rPr>
      </w:sdtEndPr>
      <w:sdtContent>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4F">
          <w:rPr>
            <w:noProof/>
            <w:sz w:val="18"/>
            <w:szCs w:val="16"/>
          </w:rPr>
          <w:t>2</w:t>
        </w:r>
        <w:r w:rsidR="00697BC1" w:rsidRPr="00697BC1">
          <w:rPr>
            <w:noProof/>
            <w:sz w:val="18"/>
            <w:szCs w:val="16"/>
          </w:rPr>
          <w:fldChar w:fldCharType="end"/>
        </w:r>
        <w:r>
          <w:rPr>
            <w:noProof/>
            <w:sz w:val="18"/>
            <w:szCs w:val="16"/>
          </w:rPr>
          <w:t xml:space="preserve"> -</w:t>
        </w:r>
      </w:sdtContent>
    </w:sdt>
    <w:r w:rsidR="00AF0D7D">
      <w:rPr>
        <w:noProof/>
        <w:sz w:val="18"/>
        <w:szCs w:val="16"/>
      </w:rPr>
      <w:br/>
      <w:t xml:space="preserve">Circulaire TSB </w:t>
    </w:r>
    <w:r w:rsidR="00782616">
      <w:rPr>
        <w:noProof/>
        <w:sz w:val="18"/>
        <w:szCs w:val="16"/>
      </w:rPr>
      <w:t>133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3"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6"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676F60"/>
    <w:multiLevelType w:val="hybridMultilevel"/>
    <w:tmpl w:val="20F821BA"/>
    <w:lvl w:ilvl="0" w:tplc="D8C8F718">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F139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540480"/>
    <w:multiLevelType w:val="hybridMultilevel"/>
    <w:tmpl w:val="1E90E3CA"/>
    <w:lvl w:ilvl="0" w:tplc="DBACE3AE">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5120867">
    <w:abstractNumId w:val="2"/>
  </w:num>
  <w:num w:numId="2" w16cid:durableId="2119984868">
    <w:abstractNumId w:val="10"/>
  </w:num>
  <w:num w:numId="3" w16cid:durableId="2075545744">
    <w:abstractNumId w:val="5"/>
  </w:num>
  <w:num w:numId="4" w16cid:durableId="1871449755">
    <w:abstractNumId w:val="0"/>
  </w:num>
  <w:num w:numId="5" w16cid:durableId="471485425">
    <w:abstractNumId w:val="4"/>
  </w:num>
  <w:num w:numId="6" w16cid:durableId="1708019909">
    <w:abstractNumId w:val="6"/>
  </w:num>
  <w:num w:numId="7" w16cid:durableId="370543197">
    <w:abstractNumId w:val="9"/>
  </w:num>
  <w:num w:numId="8" w16cid:durableId="1954897288">
    <w:abstractNumId w:val="3"/>
  </w:num>
  <w:num w:numId="9" w16cid:durableId="1535115622">
    <w:abstractNumId w:val="1"/>
  </w:num>
  <w:num w:numId="10" w16cid:durableId="36854404">
    <w:abstractNumId w:val="8"/>
  </w:num>
  <w:num w:numId="11" w16cid:durableId="30690487">
    <w:abstractNumId w:val="7"/>
  </w:num>
  <w:num w:numId="12" w16cid:durableId="17405912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622"/>
    <w:rsid w:val="0002519E"/>
    <w:rsid w:val="00035B43"/>
    <w:rsid w:val="00036F4F"/>
    <w:rsid w:val="000758B3"/>
    <w:rsid w:val="00085F5A"/>
    <w:rsid w:val="000B0D96"/>
    <w:rsid w:val="000B59D8"/>
    <w:rsid w:val="000C1F6B"/>
    <w:rsid w:val="000C25CC"/>
    <w:rsid w:val="000C56BE"/>
    <w:rsid w:val="001026FD"/>
    <w:rsid w:val="001077FD"/>
    <w:rsid w:val="00115DD7"/>
    <w:rsid w:val="00167472"/>
    <w:rsid w:val="00167F92"/>
    <w:rsid w:val="00173738"/>
    <w:rsid w:val="001B79A3"/>
    <w:rsid w:val="001C6FB3"/>
    <w:rsid w:val="002152A3"/>
    <w:rsid w:val="0023667A"/>
    <w:rsid w:val="002937DB"/>
    <w:rsid w:val="002E395D"/>
    <w:rsid w:val="00307FB4"/>
    <w:rsid w:val="003131F0"/>
    <w:rsid w:val="00333A80"/>
    <w:rsid w:val="00341117"/>
    <w:rsid w:val="00364E95"/>
    <w:rsid w:val="00372875"/>
    <w:rsid w:val="003742F8"/>
    <w:rsid w:val="003B1E80"/>
    <w:rsid w:val="003B66E8"/>
    <w:rsid w:val="003E66AD"/>
    <w:rsid w:val="004033F1"/>
    <w:rsid w:val="00414B0C"/>
    <w:rsid w:val="00423C21"/>
    <w:rsid w:val="004257AC"/>
    <w:rsid w:val="0043711B"/>
    <w:rsid w:val="004419E9"/>
    <w:rsid w:val="00445B68"/>
    <w:rsid w:val="0048088B"/>
    <w:rsid w:val="004977C9"/>
    <w:rsid w:val="004B732E"/>
    <w:rsid w:val="004D51F4"/>
    <w:rsid w:val="004D64E0"/>
    <w:rsid w:val="005120A2"/>
    <w:rsid w:val="0051210D"/>
    <w:rsid w:val="005136D2"/>
    <w:rsid w:val="00517A03"/>
    <w:rsid w:val="005A3DD9"/>
    <w:rsid w:val="005B1DFC"/>
    <w:rsid w:val="00601682"/>
    <w:rsid w:val="00603470"/>
    <w:rsid w:val="00625E79"/>
    <w:rsid w:val="006333F7"/>
    <w:rsid w:val="006427A1"/>
    <w:rsid w:val="00644741"/>
    <w:rsid w:val="006543C4"/>
    <w:rsid w:val="00697BC1"/>
    <w:rsid w:val="006A6FFE"/>
    <w:rsid w:val="006C0820"/>
    <w:rsid w:val="006C5A91"/>
    <w:rsid w:val="006F52F7"/>
    <w:rsid w:val="00716BBC"/>
    <w:rsid w:val="007321BC"/>
    <w:rsid w:val="00760063"/>
    <w:rsid w:val="00775E4B"/>
    <w:rsid w:val="00782616"/>
    <w:rsid w:val="0079553B"/>
    <w:rsid w:val="00795679"/>
    <w:rsid w:val="007A40FE"/>
    <w:rsid w:val="00810105"/>
    <w:rsid w:val="008157E0"/>
    <w:rsid w:val="00850477"/>
    <w:rsid w:val="00854E1D"/>
    <w:rsid w:val="00861C45"/>
    <w:rsid w:val="0086626C"/>
    <w:rsid w:val="00887FA6"/>
    <w:rsid w:val="008C4397"/>
    <w:rsid w:val="008C465A"/>
    <w:rsid w:val="008F2C9B"/>
    <w:rsid w:val="00923CD6"/>
    <w:rsid w:val="00935AA8"/>
    <w:rsid w:val="00971C9A"/>
    <w:rsid w:val="00981A45"/>
    <w:rsid w:val="00995635"/>
    <w:rsid w:val="009D51FA"/>
    <w:rsid w:val="009F1E23"/>
    <w:rsid w:val="00A15179"/>
    <w:rsid w:val="00A51537"/>
    <w:rsid w:val="00A5280F"/>
    <w:rsid w:val="00A5645A"/>
    <w:rsid w:val="00A60FC1"/>
    <w:rsid w:val="00A97C37"/>
    <w:rsid w:val="00AA131B"/>
    <w:rsid w:val="00AC37B5"/>
    <w:rsid w:val="00AD752F"/>
    <w:rsid w:val="00AF08A4"/>
    <w:rsid w:val="00AF0D7D"/>
    <w:rsid w:val="00B27B41"/>
    <w:rsid w:val="00B42659"/>
    <w:rsid w:val="00B46F2D"/>
    <w:rsid w:val="00B60868"/>
    <w:rsid w:val="00B8573E"/>
    <w:rsid w:val="00BB24C0"/>
    <w:rsid w:val="00BD6ECF"/>
    <w:rsid w:val="00C26F2E"/>
    <w:rsid w:val="00C302E3"/>
    <w:rsid w:val="00C41B89"/>
    <w:rsid w:val="00C45376"/>
    <w:rsid w:val="00C9028F"/>
    <w:rsid w:val="00CA0416"/>
    <w:rsid w:val="00CB1125"/>
    <w:rsid w:val="00CB4E80"/>
    <w:rsid w:val="00CD042E"/>
    <w:rsid w:val="00CF2560"/>
    <w:rsid w:val="00CF5B46"/>
    <w:rsid w:val="00D46B68"/>
    <w:rsid w:val="00D542A5"/>
    <w:rsid w:val="00DC3D47"/>
    <w:rsid w:val="00DD77DA"/>
    <w:rsid w:val="00E06C61"/>
    <w:rsid w:val="00E13DB3"/>
    <w:rsid w:val="00E2408B"/>
    <w:rsid w:val="00E62CEA"/>
    <w:rsid w:val="00E72AE1"/>
    <w:rsid w:val="00ED6A7A"/>
    <w:rsid w:val="00EE4C36"/>
    <w:rsid w:val="00EF6A23"/>
    <w:rsid w:val="00F346CE"/>
    <w:rsid w:val="00F34F98"/>
    <w:rsid w:val="00F40540"/>
    <w:rsid w:val="00F67402"/>
    <w:rsid w:val="00F766A2"/>
    <w:rsid w:val="00F9451D"/>
    <w:rsid w:val="00FB3538"/>
    <w:rsid w:val="00FF55D4"/>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031F"/>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rPr>
      <w:position w:val="6"/>
      <w:sz w:val="16"/>
    </w:rPr>
  </w:style>
  <w:style w:type="paragraph" w:styleId="FootnoteText">
    <w:name w:val="footnote text"/>
    <w:basedOn w:val="Normal"/>
    <w:link w:val="FootnoteTextChar"/>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link w:val="enumlev1Char"/>
    <w:qFormat/>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uiPriority w:val="99"/>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aliases w:val="encabezado Char,Page No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unhideWhenUsed/>
    <w:rsid w:val="00307FB4"/>
    <w:rPr>
      <w:color w:val="800080" w:themeColor="followedHyperlink"/>
      <w:u w:val="single"/>
    </w:rPr>
  </w:style>
  <w:style w:type="table" w:styleId="TableGrid">
    <w:name w:val="Table Grid"/>
    <w:basedOn w:val="TableNormal"/>
    <w:uiPriority w:val="59"/>
    <w:rsid w:val="00782616"/>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_text"/>
    <w:basedOn w:val="Normal"/>
    <w:rsid w:val="007826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rFonts w:ascii="Calibri" w:eastAsia="SimSun" w:hAnsi="Calibri"/>
      <w:sz w:val="22"/>
      <w:lang w:val="en-GB"/>
    </w:rPr>
  </w:style>
  <w:style w:type="paragraph" w:customStyle="1" w:styleId="Tablehead0">
    <w:name w:val="Table_head"/>
    <w:basedOn w:val="Tabletext0"/>
    <w:next w:val="Tabletext0"/>
    <w:rsid w:val="00782616"/>
    <w:pPr>
      <w:keepNext/>
      <w:spacing w:before="80" w:after="80"/>
      <w:jc w:val="center"/>
    </w:pPr>
    <w:rPr>
      <w:b/>
    </w:rPr>
  </w:style>
  <w:style w:type="paragraph" w:styleId="Signature">
    <w:name w:val="Signature"/>
    <w:basedOn w:val="Normal"/>
    <w:link w:val="SignatureChar"/>
    <w:rsid w:val="00782616"/>
    <w:pPr>
      <w:tabs>
        <w:tab w:val="clear" w:pos="794"/>
        <w:tab w:val="clear" w:pos="1191"/>
        <w:tab w:val="clear" w:pos="1588"/>
        <w:tab w:val="clear" w:pos="1985"/>
      </w:tabs>
      <w:spacing w:before="480"/>
      <w:ind w:left="4961"/>
    </w:pPr>
    <w:rPr>
      <w:rFonts w:ascii="Calibri" w:hAnsi="Calibri"/>
      <w:sz w:val="22"/>
    </w:rPr>
  </w:style>
  <w:style w:type="character" w:customStyle="1" w:styleId="SignatureChar">
    <w:name w:val="Signature Char"/>
    <w:basedOn w:val="DefaultParagraphFont"/>
    <w:link w:val="Signature"/>
    <w:rsid w:val="00782616"/>
    <w:rPr>
      <w:rFonts w:ascii="Calibri" w:hAnsi="Calibri"/>
      <w:sz w:val="22"/>
      <w:lang w:val="fr-FR" w:eastAsia="en-US"/>
    </w:rPr>
  </w:style>
  <w:style w:type="paragraph" w:customStyle="1" w:styleId="BodyText0">
    <w:name w:val="BodyText"/>
    <w:basedOn w:val="Normal"/>
    <w:rsid w:val="00782616"/>
    <w:pPr>
      <w:tabs>
        <w:tab w:val="clear" w:pos="794"/>
        <w:tab w:val="clear" w:pos="1191"/>
        <w:tab w:val="clear" w:pos="1588"/>
        <w:tab w:val="clear" w:pos="1985"/>
      </w:tabs>
      <w:spacing w:before="240"/>
    </w:pPr>
    <w:rPr>
      <w:rFonts w:ascii="Calibri" w:hAnsi="Calibri"/>
      <w:sz w:val="22"/>
    </w:rPr>
  </w:style>
  <w:style w:type="paragraph" w:customStyle="1" w:styleId="ITUadres">
    <w:name w:val="ITU_adres"/>
    <w:basedOn w:val="Normal"/>
    <w:rsid w:val="00782616"/>
    <w:pPr>
      <w:tabs>
        <w:tab w:val="clear" w:pos="794"/>
        <w:tab w:val="clear" w:pos="1191"/>
        <w:tab w:val="clear" w:pos="1588"/>
        <w:tab w:val="clear" w:pos="1985"/>
        <w:tab w:val="left" w:pos="737"/>
        <w:tab w:val="left" w:pos="1134"/>
      </w:tabs>
      <w:spacing w:before="0"/>
    </w:pPr>
    <w:rPr>
      <w:rFonts w:ascii="Calibri" w:hAnsi="Calibri"/>
      <w:sz w:val="18"/>
    </w:rPr>
  </w:style>
  <w:style w:type="paragraph" w:customStyle="1" w:styleId="ITUheader">
    <w:name w:val="ITU_header"/>
    <w:basedOn w:val="Normal"/>
    <w:rsid w:val="00782616"/>
    <w:pPr>
      <w:tabs>
        <w:tab w:val="clear" w:pos="794"/>
        <w:tab w:val="clear" w:pos="1191"/>
        <w:tab w:val="clear" w:pos="1588"/>
        <w:tab w:val="clear" w:pos="1985"/>
        <w:tab w:val="left" w:pos="737"/>
        <w:tab w:val="left" w:pos="1134"/>
      </w:tabs>
      <w:spacing w:before="397"/>
    </w:pPr>
    <w:rPr>
      <w:rFonts w:ascii="Calibri" w:hAnsi="Calibri"/>
      <w:b/>
      <w:sz w:val="30"/>
    </w:rPr>
  </w:style>
  <w:style w:type="paragraph" w:customStyle="1" w:styleId="Body">
    <w:name w:val="Body"/>
    <w:basedOn w:val="Normal"/>
    <w:rsid w:val="00782616"/>
    <w:pPr>
      <w:tabs>
        <w:tab w:val="clear" w:pos="794"/>
        <w:tab w:val="clear" w:pos="1191"/>
        <w:tab w:val="clear" w:pos="1588"/>
        <w:tab w:val="clear" w:pos="1985"/>
        <w:tab w:val="left" w:pos="737"/>
        <w:tab w:val="left" w:pos="1134"/>
      </w:tabs>
      <w:spacing w:before="227"/>
      <w:ind w:right="851"/>
      <w:jc w:val="both"/>
    </w:pPr>
    <w:rPr>
      <w:rFonts w:ascii="Calibri" w:hAnsi="Calibri"/>
      <w:sz w:val="20"/>
    </w:rPr>
  </w:style>
  <w:style w:type="paragraph" w:customStyle="1" w:styleId="ITUsignet">
    <w:name w:val="ITU_signet"/>
    <w:basedOn w:val="Normal"/>
    <w:rsid w:val="00782616"/>
    <w:pPr>
      <w:tabs>
        <w:tab w:val="clear" w:pos="794"/>
        <w:tab w:val="clear" w:pos="1191"/>
        <w:tab w:val="clear" w:pos="1588"/>
        <w:tab w:val="clear" w:pos="1985"/>
        <w:tab w:val="left" w:pos="737"/>
        <w:tab w:val="left" w:pos="1134"/>
      </w:tabs>
      <w:spacing w:before="170"/>
      <w:ind w:left="-1134"/>
    </w:pPr>
    <w:rPr>
      <w:rFonts w:ascii="Calibri" w:hAnsi="Calibri"/>
      <w:b/>
      <w:sz w:val="20"/>
    </w:rPr>
  </w:style>
  <w:style w:type="paragraph" w:customStyle="1" w:styleId="ITUref">
    <w:name w:val="ITU_ref"/>
    <w:basedOn w:val="Normal"/>
    <w:rsid w:val="00782616"/>
    <w:pPr>
      <w:tabs>
        <w:tab w:val="clear" w:pos="794"/>
        <w:tab w:val="clear" w:pos="1191"/>
        <w:tab w:val="clear" w:pos="1588"/>
        <w:tab w:val="clear" w:pos="1985"/>
        <w:tab w:val="left" w:pos="737"/>
        <w:tab w:val="left" w:pos="1134"/>
        <w:tab w:val="left" w:pos="5529"/>
      </w:tabs>
      <w:spacing w:before="0"/>
    </w:pPr>
    <w:rPr>
      <w:rFonts w:ascii="Calibri" w:hAnsi="Calibri"/>
      <w:sz w:val="20"/>
    </w:rPr>
  </w:style>
  <w:style w:type="paragraph" w:customStyle="1" w:styleId="ITUfillin">
    <w:name w:val="ITU_fillin"/>
    <w:basedOn w:val="ITUref"/>
    <w:rsid w:val="00782616"/>
  </w:style>
  <w:style w:type="paragraph" w:customStyle="1" w:styleId="ITUbureau">
    <w:name w:val="ITU_bureau"/>
    <w:basedOn w:val="Normal"/>
    <w:rsid w:val="00782616"/>
    <w:pPr>
      <w:tabs>
        <w:tab w:val="clear" w:pos="794"/>
        <w:tab w:val="clear" w:pos="1191"/>
        <w:tab w:val="clear" w:pos="1588"/>
        <w:tab w:val="clear" w:pos="1985"/>
        <w:tab w:val="left" w:pos="737"/>
        <w:tab w:val="left" w:pos="1134"/>
      </w:tabs>
      <w:spacing w:before="0" w:after="851"/>
    </w:pPr>
    <w:rPr>
      <w:rFonts w:ascii="Calibri" w:hAnsi="Calibri"/>
      <w:b/>
      <w:sz w:val="22"/>
    </w:rPr>
  </w:style>
  <w:style w:type="paragraph" w:customStyle="1" w:styleId="duties">
    <w:name w:val="duties"/>
    <w:basedOn w:val="Normal"/>
    <w:rsid w:val="00782616"/>
    <w:pPr>
      <w:tabs>
        <w:tab w:val="clear" w:pos="794"/>
        <w:tab w:val="clear" w:pos="1191"/>
        <w:tab w:val="clear" w:pos="1588"/>
        <w:tab w:val="clear" w:pos="1985"/>
        <w:tab w:val="left" w:pos="737"/>
        <w:tab w:val="left" w:pos="1134"/>
      </w:tabs>
      <w:spacing w:before="0" w:line="199" w:lineRule="exact"/>
    </w:pPr>
    <w:rPr>
      <w:rFonts w:ascii="Calibri" w:hAnsi="Calibri"/>
      <w:b/>
      <w:sz w:val="8"/>
    </w:rPr>
  </w:style>
  <w:style w:type="paragraph" w:customStyle="1" w:styleId="LetterEnd">
    <w:name w:val="Letter_End"/>
    <w:basedOn w:val="Normal"/>
    <w:rsid w:val="00782616"/>
    <w:pPr>
      <w:tabs>
        <w:tab w:val="clear" w:pos="794"/>
        <w:tab w:val="clear" w:pos="1191"/>
        <w:tab w:val="clear" w:pos="1588"/>
        <w:tab w:val="clear" w:pos="1985"/>
        <w:tab w:val="left" w:pos="1361"/>
        <w:tab w:val="left" w:pos="1758"/>
        <w:tab w:val="left" w:pos="2155"/>
        <w:tab w:val="left" w:pos="2552"/>
      </w:tabs>
      <w:spacing w:before="284"/>
      <w:ind w:left="567" w:firstLine="851"/>
    </w:pPr>
    <w:rPr>
      <w:rFonts w:ascii="Calibri" w:hAnsi="Calibri"/>
      <w:sz w:val="22"/>
    </w:rPr>
  </w:style>
  <w:style w:type="paragraph" w:customStyle="1" w:styleId="LetterText">
    <w:name w:val="Letter_Text"/>
    <w:basedOn w:val="LetterStart"/>
    <w:rsid w:val="00782616"/>
    <w:pPr>
      <w:tabs>
        <w:tab w:val="left" w:pos="1418"/>
        <w:tab w:val="left" w:pos="1985"/>
        <w:tab w:val="left" w:pos="2268"/>
      </w:tabs>
      <w:ind w:firstLine="1304"/>
    </w:pPr>
    <w:rPr>
      <w:rFonts w:ascii="Calibri" w:hAnsi="Calibri"/>
      <w:sz w:val="22"/>
    </w:rPr>
  </w:style>
  <w:style w:type="paragraph" w:customStyle="1" w:styleId="Tiret">
    <w:name w:val="Tiret"/>
    <w:basedOn w:val="Normal"/>
    <w:rsid w:val="00782616"/>
    <w:pPr>
      <w:tabs>
        <w:tab w:val="clear" w:pos="794"/>
        <w:tab w:val="clear" w:pos="1191"/>
        <w:tab w:val="clear" w:pos="1588"/>
        <w:tab w:val="clear" w:pos="1985"/>
      </w:tabs>
      <w:ind w:left="-680"/>
    </w:pPr>
    <w:rPr>
      <w:rFonts w:ascii="Calibri" w:hAnsi="Calibri"/>
      <w:sz w:val="22"/>
    </w:rPr>
  </w:style>
  <w:style w:type="paragraph" w:customStyle="1" w:styleId="NormFoot">
    <w:name w:val="Norm_Foot"/>
    <w:basedOn w:val="Normal"/>
    <w:rsid w:val="00782616"/>
    <w:pPr>
      <w:tabs>
        <w:tab w:val="clear" w:pos="794"/>
        <w:tab w:val="clear" w:pos="1191"/>
        <w:tab w:val="clear" w:pos="1588"/>
        <w:tab w:val="clear" w:pos="1985"/>
        <w:tab w:val="left" w:pos="1361"/>
        <w:tab w:val="left" w:pos="1758"/>
        <w:tab w:val="left" w:pos="2155"/>
        <w:tab w:val="left" w:pos="2552"/>
      </w:tabs>
      <w:ind w:left="567"/>
    </w:pPr>
    <w:rPr>
      <w:rFonts w:ascii="Calibri" w:hAnsi="Calibri"/>
      <w:sz w:val="22"/>
    </w:rPr>
  </w:style>
  <w:style w:type="paragraph" w:customStyle="1" w:styleId="details">
    <w:name w:val="details"/>
    <w:basedOn w:val="Normal"/>
    <w:next w:val="Tiret"/>
    <w:rsid w:val="00782616"/>
    <w:pPr>
      <w:tabs>
        <w:tab w:val="clear" w:pos="794"/>
        <w:tab w:val="clear" w:pos="1191"/>
        <w:tab w:val="clear" w:pos="1588"/>
        <w:tab w:val="clear" w:pos="1985"/>
        <w:tab w:val="left" w:pos="1361"/>
        <w:tab w:val="left" w:pos="1758"/>
        <w:tab w:val="left" w:pos="2155"/>
        <w:tab w:val="left" w:pos="2552"/>
      </w:tabs>
      <w:spacing w:before="0"/>
    </w:pPr>
    <w:rPr>
      <w:rFonts w:ascii="Calibri" w:hAnsi="Calibri"/>
      <w:sz w:val="22"/>
    </w:rPr>
  </w:style>
  <w:style w:type="paragraph" w:customStyle="1" w:styleId="listitem">
    <w:name w:val="listitem"/>
    <w:basedOn w:val="Normal"/>
    <w:rsid w:val="00782616"/>
    <w:pPr>
      <w:keepLines/>
      <w:tabs>
        <w:tab w:val="left" w:pos="1361"/>
        <w:tab w:val="left" w:pos="1758"/>
        <w:tab w:val="left" w:pos="2155"/>
        <w:tab w:val="left" w:pos="2552"/>
      </w:tabs>
      <w:ind w:left="567"/>
    </w:pPr>
    <w:rPr>
      <w:rFonts w:ascii="Calibri" w:hAnsi="Calibri"/>
      <w:sz w:val="22"/>
    </w:rPr>
  </w:style>
  <w:style w:type="paragraph" w:customStyle="1" w:styleId="AnnexNo">
    <w:name w:val="Annex_No"/>
    <w:basedOn w:val="Normal"/>
    <w:next w:val="Normal"/>
    <w:rsid w:val="00782616"/>
    <w:pPr>
      <w:keepNext/>
      <w:keepLines/>
      <w:spacing w:before="480" w:after="80"/>
      <w:jc w:val="center"/>
    </w:pPr>
    <w:rPr>
      <w:rFonts w:ascii="Calibri" w:hAnsi="Calibri"/>
      <w:caps/>
      <w:sz w:val="28"/>
    </w:rPr>
  </w:style>
  <w:style w:type="paragraph" w:customStyle="1" w:styleId="pnew">
    <w:name w:val="pnew"/>
    <w:basedOn w:val="Normal"/>
    <w:rsid w:val="00782616"/>
    <w:pPr>
      <w:tabs>
        <w:tab w:val="clear" w:pos="794"/>
        <w:tab w:val="clear" w:pos="1191"/>
        <w:tab w:val="clear" w:pos="1588"/>
        <w:tab w:val="clear" w:pos="1985"/>
      </w:tabs>
      <w:spacing w:before="100" w:beforeAutospacing="1" w:after="100" w:afterAutospacing="1"/>
    </w:pPr>
    <w:rPr>
      <w:rFonts w:ascii="Calibri" w:eastAsia="SimSun" w:hAnsi="Calibri"/>
      <w:color w:val="000000"/>
      <w:sz w:val="22"/>
      <w:szCs w:val="24"/>
      <w:lang w:val="en-US" w:eastAsia="zh-CN"/>
    </w:rPr>
  </w:style>
  <w:style w:type="paragraph" w:styleId="NormalWeb">
    <w:name w:val="Normal (Web)"/>
    <w:basedOn w:val="Normal"/>
    <w:rsid w:val="00782616"/>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link w:val="BalloonTextChar"/>
    <w:semiHidden/>
    <w:rsid w:val="00782616"/>
    <w:rPr>
      <w:rFonts w:ascii="Tahoma" w:hAnsi="Tahoma" w:cs="Tahoma"/>
      <w:sz w:val="16"/>
      <w:szCs w:val="16"/>
    </w:rPr>
  </w:style>
  <w:style w:type="character" w:customStyle="1" w:styleId="BalloonTextChar">
    <w:name w:val="Balloon Text Char"/>
    <w:basedOn w:val="DefaultParagraphFont"/>
    <w:link w:val="BalloonText"/>
    <w:semiHidden/>
    <w:rsid w:val="00782616"/>
    <w:rPr>
      <w:rFonts w:ascii="Tahoma" w:hAnsi="Tahoma" w:cs="Tahoma"/>
      <w:sz w:val="16"/>
      <w:szCs w:val="16"/>
      <w:lang w:val="fr-FR" w:eastAsia="en-US"/>
    </w:rPr>
  </w:style>
  <w:style w:type="paragraph" w:customStyle="1" w:styleId="Reasons">
    <w:name w:val="Reasons"/>
    <w:basedOn w:val="Normal"/>
    <w:qFormat/>
    <w:rsid w:val="00782616"/>
    <w:pPr>
      <w:tabs>
        <w:tab w:val="clear" w:pos="794"/>
        <w:tab w:val="clear" w:pos="1191"/>
        <w:tab w:val="clear" w:pos="1588"/>
        <w:tab w:val="clear" w:pos="1985"/>
      </w:tabs>
      <w:overflowPunct/>
      <w:autoSpaceDE/>
      <w:autoSpaceDN/>
      <w:adjustRightInd/>
      <w:spacing w:before="0"/>
      <w:textAlignment w:val="auto"/>
    </w:pPr>
    <w:rPr>
      <w:rFonts w:ascii="Calibri" w:hAnsi="Calibri"/>
      <w:sz w:val="22"/>
      <w:lang w:val="en-US"/>
    </w:rPr>
  </w:style>
  <w:style w:type="table" w:customStyle="1" w:styleId="TableGrid1">
    <w:name w:val="Table Grid1"/>
    <w:basedOn w:val="TableNormal"/>
    <w:next w:val="TableGrid"/>
    <w:rsid w:val="00782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0">
    <w:name w:val="Annex_title"/>
    <w:basedOn w:val="Normal"/>
    <w:next w:val="Normal"/>
    <w:rsid w:val="00782616"/>
    <w:pPr>
      <w:keepNext/>
      <w:keepLines/>
      <w:spacing w:before="240" w:after="280"/>
      <w:jc w:val="center"/>
    </w:pPr>
    <w:rPr>
      <w:b/>
      <w:sz w:val="28"/>
      <w:lang w:val="en-GB"/>
    </w:rPr>
  </w:style>
  <w:style w:type="paragraph" w:customStyle="1" w:styleId="Figuretitle0">
    <w:name w:val="Figure_title"/>
    <w:basedOn w:val="TableTitle"/>
    <w:next w:val="Normal"/>
    <w:rsid w:val="00782616"/>
    <w:pPr>
      <w:spacing w:after="480"/>
    </w:pPr>
    <w:rPr>
      <w:sz w:val="20"/>
      <w:lang w:val="en-GB"/>
    </w:rPr>
  </w:style>
  <w:style w:type="paragraph" w:styleId="Revision">
    <w:name w:val="Revision"/>
    <w:hidden/>
    <w:uiPriority w:val="99"/>
    <w:semiHidden/>
    <w:rsid w:val="00782616"/>
    <w:rPr>
      <w:rFonts w:ascii="Calibri" w:hAnsi="Calibri"/>
      <w:sz w:val="22"/>
      <w:lang w:val="fr-FR" w:eastAsia="en-US"/>
    </w:rPr>
  </w:style>
  <w:style w:type="paragraph" w:customStyle="1" w:styleId="Headingb0">
    <w:name w:val="Heading_b"/>
    <w:basedOn w:val="Normal"/>
    <w:next w:val="Normal"/>
    <w:link w:val="HeadingbChar"/>
    <w:qFormat/>
    <w:rsid w:val="00782616"/>
    <w:pPr>
      <w:keepNext/>
      <w:spacing w:before="160"/>
    </w:pPr>
    <w:rPr>
      <w:rFonts w:ascii="Calibri" w:hAnsi="Calibri"/>
      <w:b/>
      <w:lang w:val="en-GB"/>
    </w:rPr>
  </w:style>
  <w:style w:type="character" w:customStyle="1" w:styleId="FootnoteTextChar">
    <w:name w:val="Footnote Text Char"/>
    <w:basedOn w:val="DefaultParagraphFont"/>
    <w:link w:val="FootnoteText"/>
    <w:rsid w:val="00782616"/>
    <w:rPr>
      <w:rFonts w:asciiTheme="minorHAnsi" w:hAnsiTheme="minorHAnsi"/>
      <w:sz w:val="24"/>
      <w:lang w:val="fr-FR" w:eastAsia="en-US"/>
    </w:rPr>
  </w:style>
  <w:style w:type="paragraph" w:customStyle="1" w:styleId="Questionhistory">
    <w:name w:val="Question_history"/>
    <w:basedOn w:val="Normal"/>
    <w:rsid w:val="00782616"/>
    <w:pPr>
      <w:tabs>
        <w:tab w:val="clear" w:pos="794"/>
        <w:tab w:val="clear" w:pos="1191"/>
        <w:tab w:val="clear" w:pos="1588"/>
        <w:tab w:val="clear" w:pos="1985"/>
      </w:tabs>
      <w:overflowPunct/>
      <w:autoSpaceDE/>
      <w:autoSpaceDN/>
      <w:adjustRightInd/>
      <w:textAlignment w:val="auto"/>
    </w:pPr>
    <w:rPr>
      <w:rFonts w:ascii="Calibri" w:eastAsiaTheme="minorHAnsi" w:hAnsi="Calibri"/>
      <w:szCs w:val="24"/>
      <w:lang w:val="en-GB" w:eastAsia="ja-JP"/>
    </w:rPr>
  </w:style>
  <w:style w:type="character" w:customStyle="1" w:styleId="enumlev1Char">
    <w:name w:val="enumlev1 Char"/>
    <w:link w:val="enumlev1"/>
    <w:qFormat/>
    <w:locked/>
    <w:rsid w:val="00782616"/>
    <w:rPr>
      <w:rFonts w:asciiTheme="minorHAnsi" w:hAnsiTheme="minorHAnsi"/>
      <w:sz w:val="24"/>
      <w:lang w:val="fr-FR" w:eastAsia="en-US"/>
    </w:rPr>
  </w:style>
  <w:style w:type="character" w:customStyle="1" w:styleId="HeadingbChar">
    <w:name w:val="Heading_b Char"/>
    <w:link w:val="Headingb0"/>
    <w:qFormat/>
    <w:locked/>
    <w:rsid w:val="00782616"/>
    <w:rPr>
      <w:rFonts w:ascii="Calibri" w:hAnsi="Calibri"/>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ITU-T/workprog/wp_search.aspx?sp=18&amp;q=10/1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ITU-T/workprog/wp_search.aspx?sp=18&amp;q=7/1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tu.int/md/T25-TSB-CIR-0101/fr" TargetMode="External"/><Relationship Id="rId4" Type="http://schemas.openxmlformats.org/officeDocument/2006/relationships/settings" Target="settings.xml"/><Relationship Id="rId9" Type="http://schemas.openxmlformats.org/officeDocument/2006/relationships/hyperlink" Target="mailto:tsbsg17@itu.int" TargetMode="External"/><Relationship Id="rId14" Type="http://schemas.openxmlformats.org/officeDocument/2006/relationships/hyperlink" Target="https://www.itu.int/ITU-T/workprog/wp_search.aspx?sp=18&amp;q=16/17"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PF_TSB_Circular.dotx</Template>
  <TotalTime>25</TotalTime>
  <Pages>19</Pages>
  <Words>24191</Words>
  <Characters>29515</Characters>
  <Application>Microsoft Office Word</Application>
  <DocSecurity>0</DocSecurity>
  <Lines>1135</Lines>
  <Paragraphs>1220</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52486</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Braud, Olivia</cp:lastModifiedBy>
  <cp:revision>7</cp:revision>
  <cp:lastPrinted>2026-05-20T07:00:00Z</cp:lastPrinted>
  <dcterms:created xsi:type="dcterms:W3CDTF">2026-05-08T09:15:00Z</dcterms:created>
  <dcterms:modified xsi:type="dcterms:W3CDTF">2026-05-20T07:01:00Z</dcterms:modified>
</cp:coreProperties>
</file>