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0"/>
        <w:gridCol w:w="3467"/>
        <w:gridCol w:w="5203"/>
      </w:tblGrid>
      <w:tr w:rsidR="007B6316" w:rsidRPr="005A062F" w14:paraId="3BE5C028" w14:textId="77777777" w:rsidTr="00F46036">
        <w:trPr>
          <w:cantSplit/>
          <w:trHeight w:val="340"/>
        </w:trPr>
        <w:tc>
          <w:tcPr>
            <w:tcW w:w="1410" w:type="dxa"/>
            <w:gridSpan w:val="2"/>
          </w:tcPr>
          <w:p w14:paraId="5A65F71F" w14:textId="77777777" w:rsidR="007B6316" w:rsidRPr="005A062F" w:rsidRDefault="007B6316" w:rsidP="00F46036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5A062F">
              <w:rPr>
                <w:noProof/>
                <w:lang w:val="es-ES" w:eastAsia="zh-CN"/>
              </w:rPr>
              <w:drawing>
                <wp:inline distT="0" distB="0" distL="0" distR="0" wp14:anchorId="7CBC3DA9" wp14:editId="5C9677B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0" w:type="dxa"/>
            <w:gridSpan w:val="2"/>
            <w:vAlign w:val="center"/>
          </w:tcPr>
          <w:p w14:paraId="14C64737" w14:textId="77777777" w:rsidR="007B6316" w:rsidRPr="005A062F" w:rsidRDefault="007B6316" w:rsidP="00F4603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es-ES"/>
              </w:rPr>
            </w:pPr>
            <w:r w:rsidRPr="005A062F">
              <w:rPr>
                <w:rFonts w:cs="Times New Roman Bold"/>
                <w:b/>
                <w:bCs/>
                <w:smallCaps/>
                <w:sz w:val="36"/>
                <w:szCs w:val="36"/>
                <w:lang w:val="es-ES"/>
              </w:rPr>
              <w:t>Unión Internacional de Telecomunicaciones</w:t>
            </w:r>
          </w:p>
          <w:p w14:paraId="15A6D27D" w14:textId="77777777" w:rsidR="007B6316" w:rsidRPr="005A062F" w:rsidRDefault="007B6316" w:rsidP="00F46036">
            <w:pPr>
              <w:spacing w:before="0"/>
              <w:rPr>
                <w:lang w:val="es-ES"/>
              </w:rPr>
            </w:pPr>
            <w:r w:rsidRPr="005A062F">
              <w:rPr>
                <w:rFonts w:cs="Times New Roman Bold"/>
                <w:b/>
                <w:bCs/>
                <w:smallCaps/>
                <w:sz w:val="28"/>
                <w:szCs w:val="28"/>
                <w:lang w:val="es-ES"/>
              </w:rPr>
              <w:t>Oficina</w:t>
            </w:r>
            <w:r w:rsidRPr="005A062F">
              <w:rPr>
                <w:rFonts w:cs="Times New Roman Bold"/>
                <w:b/>
                <w:bCs/>
                <w:iCs/>
                <w:smallCaps/>
                <w:sz w:val="22"/>
                <w:szCs w:val="22"/>
                <w:lang w:val="es-ES"/>
              </w:rPr>
              <w:t xml:space="preserve"> </w:t>
            </w:r>
            <w:r w:rsidRPr="005A062F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es-ES"/>
              </w:rPr>
              <w:t>de Normalización de las Telecomunicaciones</w:t>
            </w:r>
          </w:p>
        </w:tc>
      </w:tr>
      <w:tr w:rsidR="007B6316" w:rsidRPr="00F46036" w14:paraId="4D1AEF8E" w14:textId="77777777" w:rsidTr="00F46036">
        <w:trPr>
          <w:cantSplit/>
          <w:trHeight w:val="340"/>
        </w:trPr>
        <w:tc>
          <w:tcPr>
            <w:tcW w:w="1350" w:type="dxa"/>
          </w:tcPr>
          <w:p w14:paraId="78098197" w14:textId="77777777" w:rsidR="007B6316" w:rsidRPr="00F46036" w:rsidRDefault="007B6316" w:rsidP="00F46036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527" w:type="dxa"/>
            <w:gridSpan w:val="2"/>
          </w:tcPr>
          <w:p w14:paraId="1FBD6D80" w14:textId="77777777" w:rsidR="007B6316" w:rsidRPr="00F46036" w:rsidRDefault="007B6316" w:rsidP="00F46036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5203" w:type="dxa"/>
          </w:tcPr>
          <w:p w14:paraId="411E93DA" w14:textId="69F8A75E" w:rsidR="007B6316" w:rsidRPr="00F46036" w:rsidRDefault="007B6316" w:rsidP="00F4603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Ginebra,</w:t>
            </w:r>
            <w:r w:rsidR="00B43109" w:rsidRPr="00F46036">
              <w:rPr>
                <w:rFonts w:cstheme="minorHAnsi"/>
                <w:sz w:val="22"/>
                <w:szCs w:val="22"/>
                <w:lang w:val="es-ES"/>
              </w:rPr>
              <w:t xml:space="preserve"> 9 de abril de 2026</w:t>
            </w:r>
          </w:p>
        </w:tc>
      </w:tr>
      <w:tr w:rsidR="001350B9" w:rsidRPr="00F46036" w14:paraId="50105639" w14:textId="77777777" w:rsidTr="00F46036">
        <w:trPr>
          <w:cantSplit/>
          <w:trHeight w:val="340"/>
        </w:trPr>
        <w:tc>
          <w:tcPr>
            <w:tcW w:w="1350" w:type="dxa"/>
          </w:tcPr>
          <w:p w14:paraId="46DEF5CD" w14:textId="37088508" w:rsidR="001350B9" w:rsidRPr="00F46036" w:rsidRDefault="001350B9" w:rsidP="00F46036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b/>
                <w:bCs/>
                <w:sz w:val="22"/>
                <w:szCs w:val="22"/>
                <w:lang w:val="es-ES"/>
              </w:rPr>
              <w:t>Ref.:</w:t>
            </w:r>
          </w:p>
        </w:tc>
        <w:tc>
          <w:tcPr>
            <w:tcW w:w="3527" w:type="dxa"/>
            <w:gridSpan w:val="2"/>
          </w:tcPr>
          <w:p w14:paraId="7288994E" w14:textId="5DD0E93E" w:rsidR="001350B9" w:rsidRPr="00F46036" w:rsidRDefault="001350B9" w:rsidP="00F46036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b/>
                <w:sz w:val="22"/>
                <w:szCs w:val="22"/>
                <w:lang w:val="es-ES"/>
              </w:rPr>
              <w:t xml:space="preserve">Circular TSB </w:t>
            </w:r>
            <w:r w:rsidR="00B43109" w:rsidRPr="00F46036">
              <w:rPr>
                <w:rFonts w:cstheme="minorHAnsi"/>
                <w:b/>
                <w:sz w:val="22"/>
                <w:szCs w:val="22"/>
                <w:lang w:val="es-ES"/>
              </w:rPr>
              <w:t>129</w:t>
            </w:r>
          </w:p>
          <w:p w14:paraId="06835E18" w14:textId="3E692B85" w:rsidR="001350B9" w:rsidRPr="00F46036" w:rsidRDefault="00B43109" w:rsidP="00F46036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TSB Events/TK</w:t>
            </w:r>
          </w:p>
        </w:tc>
        <w:tc>
          <w:tcPr>
            <w:tcW w:w="5203" w:type="dxa"/>
            <w:vMerge w:val="restart"/>
          </w:tcPr>
          <w:p w14:paraId="35C9AED3" w14:textId="77777777" w:rsidR="00B43109" w:rsidRPr="00F46036" w:rsidRDefault="00B43109" w:rsidP="00F46036">
            <w:pPr>
              <w:pStyle w:val="Tabletext0"/>
              <w:spacing w:before="0" w:after="20"/>
              <w:ind w:left="283" w:hanging="283"/>
              <w:rPr>
                <w:rFonts w:cstheme="minorHAnsi"/>
                <w:b/>
                <w:bCs/>
                <w:szCs w:val="22"/>
                <w:lang w:val="es-ES"/>
              </w:rPr>
            </w:pPr>
            <w:bookmarkStart w:id="0" w:name="Addressee_S"/>
            <w:bookmarkEnd w:id="0"/>
            <w:r w:rsidRPr="00F46036">
              <w:rPr>
                <w:rFonts w:cstheme="minorHAnsi"/>
                <w:b/>
                <w:bCs/>
                <w:szCs w:val="22"/>
                <w:lang w:val="es-ES"/>
              </w:rPr>
              <w:t>A:</w:t>
            </w:r>
          </w:p>
          <w:p w14:paraId="1544B157" w14:textId="77777777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  <w:t>Administraciones de los Estados Miembros de la Unión;</w:t>
            </w:r>
          </w:p>
          <w:p w14:paraId="07542489" w14:textId="77777777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  <w:t>Estado de Palestina (Res. 99 (Rev. Dubái, 2018));</w:t>
            </w:r>
          </w:p>
          <w:p w14:paraId="420A4BA6" w14:textId="77777777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  <w:t>Miembros de Sector del UIT-T;</w:t>
            </w:r>
          </w:p>
          <w:p w14:paraId="2004FBC5" w14:textId="77777777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  <w:t>Asociados del UIT-T;</w:t>
            </w:r>
          </w:p>
          <w:p w14:paraId="7A3B6D95" w14:textId="77777777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  <w:t>Instituciones Académicas de la UIT</w:t>
            </w:r>
          </w:p>
          <w:p w14:paraId="54E7F619" w14:textId="77777777" w:rsidR="00B43109" w:rsidRPr="00F46036" w:rsidRDefault="00B43109" w:rsidP="00F46036">
            <w:pPr>
              <w:pStyle w:val="Tabletext0"/>
              <w:spacing w:before="0" w:after="20"/>
              <w:rPr>
                <w:rFonts w:cstheme="minorHAnsi"/>
                <w:b/>
                <w:szCs w:val="22"/>
                <w:lang w:val="es-ES"/>
              </w:rPr>
            </w:pPr>
            <w:r w:rsidRPr="00F46036">
              <w:rPr>
                <w:rFonts w:cstheme="minorHAnsi"/>
                <w:b/>
                <w:szCs w:val="22"/>
                <w:lang w:val="es-ES"/>
              </w:rPr>
              <w:t>Copia a:</w:t>
            </w:r>
          </w:p>
          <w:p w14:paraId="61D8F86B" w14:textId="35AA33AD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</w:r>
            <w:proofErr w:type="gramStart"/>
            <w:r w:rsidRPr="00F46036">
              <w:rPr>
                <w:rFonts w:cstheme="minorHAnsi"/>
                <w:szCs w:val="22"/>
                <w:lang w:val="es-ES"/>
              </w:rPr>
              <w:t>Presidentes</w:t>
            </w:r>
            <w:proofErr w:type="gramEnd"/>
            <w:r w:rsidRPr="00F46036">
              <w:rPr>
                <w:rFonts w:cstheme="minorHAnsi"/>
                <w:szCs w:val="22"/>
                <w:lang w:val="es-ES"/>
              </w:rPr>
              <w:t xml:space="preserve"> y </w:t>
            </w:r>
            <w:proofErr w:type="gramStart"/>
            <w:r w:rsidRPr="00F46036">
              <w:rPr>
                <w:rFonts w:cstheme="minorHAnsi"/>
                <w:szCs w:val="22"/>
                <w:lang w:val="es-ES"/>
              </w:rPr>
              <w:t>Vicepresidentes</w:t>
            </w:r>
            <w:proofErr w:type="gramEnd"/>
            <w:r w:rsidRPr="00F46036">
              <w:rPr>
                <w:rFonts w:cstheme="minorHAnsi"/>
                <w:szCs w:val="22"/>
                <w:lang w:val="es-ES"/>
              </w:rPr>
              <w:t xml:space="preserve"> de las Comisiones de Estudio;</w:t>
            </w:r>
          </w:p>
          <w:p w14:paraId="5BBF0AD1" w14:textId="0894205D" w:rsidR="00B4310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</w:r>
            <w:proofErr w:type="gramStart"/>
            <w:r w:rsidRPr="00F46036">
              <w:rPr>
                <w:rFonts w:cstheme="minorHAnsi"/>
                <w:szCs w:val="22"/>
                <w:lang w:val="es-ES"/>
              </w:rPr>
              <w:t>Director</w:t>
            </w:r>
            <w:proofErr w:type="gramEnd"/>
            <w:r w:rsidRPr="00F46036">
              <w:rPr>
                <w:rFonts w:cstheme="minorHAnsi"/>
                <w:szCs w:val="22"/>
                <w:lang w:val="es-ES"/>
              </w:rPr>
              <w:t xml:space="preserve"> de la Oficina de Desarrollo de las Telecomunicaciones;</w:t>
            </w:r>
          </w:p>
          <w:p w14:paraId="6E9E758B" w14:textId="4B0EEDFC" w:rsidR="001350B9" w:rsidRPr="00F46036" w:rsidRDefault="00B43109" w:rsidP="00F46036">
            <w:pPr>
              <w:pStyle w:val="Tabletext0"/>
              <w:tabs>
                <w:tab w:val="clear" w:pos="284"/>
              </w:tabs>
              <w:spacing w:before="0" w:after="20"/>
              <w:ind w:left="354" w:hanging="283"/>
              <w:rPr>
                <w:rFonts w:cstheme="minorHAnsi"/>
                <w:szCs w:val="22"/>
                <w:lang w:val="es-ES"/>
              </w:rPr>
            </w:pPr>
            <w:r w:rsidRPr="00F46036">
              <w:rPr>
                <w:rFonts w:cstheme="minorHAnsi"/>
                <w:szCs w:val="22"/>
                <w:lang w:val="es-ES"/>
              </w:rPr>
              <w:t>-</w:t>
            </w:r>
            <w:r w:rsidRPr="00F46036">
              <w:rPr>
                <w:rFonts w:cstheme="minorHAnsi"/>
                <w:szCs w:val="22"/>
                <w:lang w:val="es-ES"/>
              </w:rPr>
              <w:tab/>
            </w:r>
            <w:proofErr w:type="gramStart"/>
            <w:r w:rsidRPr="00F46036">
              <w:rPr>
                <w:rFonts w:cstheme="minorHAnsi"/>
                <w:szCs w:val="22"/>
                <w:lang w:val="es-ES"/>
              </w:rPr>
              <w:t>Director</w:t>
            </w:r>
            <w:proofErr w:type="gramEnd"/>
            <w:r w:rsidRPr="00F46036">
              <w:rPr>
                <w:rFonts w:cstheme="minorHAnsi"/>
                <w:szCs w:val="22"/>
                <w:lang w:val="es-ES"/>
              </w:rPr>
              <w:t xml:space="preserve"> de la Oficina de Radiocomunicaciones</w:t>
            </w:r>
          </w:p>
        </w:tc>
      </w:tr>
      <w:tr w:rsidR="00B43109" w:rsidRPr="00F46036" w14:paraId="0357780A" w14:textId="77777777" w:rsidTr="00F46036">
        <w:trPr>
          <w:cantSplit/>
          <w:trHeight w:val="340"/>
        </w:trPr>
        <w:tc>
          <w:tcPr>
            <w:tcW w:w="1350" w:type="dxa"/>
          </w:tcPr>
          <w:p w14:paraId="5BAA6148" w14:textId="4A1F3702" w:rsidR="00B43109" w:rsidRPr="00F46036" w:rsidRDefault="00B43109" w:rsidP="00F46036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Contacto:</w:t>
            </w:r>
          </w:p>
        </w:tc>
        <w:tc>
          <w:tcPr>
            <w:tcW w:w="3527" w:type="dxa"/>
            <w:gridSpan w:val="2"/>
          </w:tcPr>
          <w:p w14:paraId="3262F17B" w14:textId="2261C638" w:rsidR="00B43109" w:rsidRPr="00F46036" w:rsidRDefault="00B43109" w:rsidP="00F46036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b/>
                <w:iCs/>
                <w:sz w:val="22"/>
                <w:szCs w:val="22"/>
                <w:lang w:val="es-ES"/>
              </w:rPr>
              <w:t>Tatiana Kurakova</w:t>
            </w:r>
          </w:p>
        </w:tc>
        <w:tc>
          <w:tcPr>
            <w:tcW w:w="5203" w:type="dxa"/>
            <w:vMerge/>
          </w:tcPr>
          <w:p w14:paraId="18D6CBDC" w14:textId="77777777" w:rsidR="00B43109" w:rsidRPr="00F46036" w:rsidRDefault="00B43109" w:rsidP="00F4603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1350B9" w:rsidRPr="00F46036" w14:paraId="1D03CED3" w14:textId="77777777" w:rsidTr="00F46036">
        <w:trPr>
          <w:cantSplit/>
        </w:trPr>
        <w:tc>
          <w:tcPr>
            <w:tcW w:w="1350" w:type="dxa"/>
          </w:tcPr>
          <w:p w14:paraId="1DC8A4F2" w14:textId="77777777" w:rsidR="001350B9" w:rsidRPr="00F46036" w:rsidRDefault="001350B9" w:rsidP="00F46036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Tel.:</w:t>
            </w:r>
          </w:p>
        </w:tc>
        <w:tc>
          <w:tcPr>
            <w:tcW w:w="3527" w:type="dxa"/>
            <w:gridSpan w:val="2"/>
          </w:tcPr>
          <w:p w14:paraId="356CA265" w14:textId="738E135B" w:rsidR="001350B9" w:rsidRPr="00F46036" w:rsidRDefault="001350B9" w:rsidP="00F46036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+41 22 730</w:t>
            </w:r>
            <w:r w:rsidR="00B43109" w:rsidRPr="00F46036">
              <w:rPr>
                <w:rFonts w:cstheme="minorHAnsi"/>
                <w:sz w:val="22"/>
                <w:szCs w:val="22"/>
                <w:lang w:val="es-ES"/>
              </w:rPr>
              <w:t xml:space="preserve"> 5126</w:t>
            </w:r>
          </w:p>
        </w:tc>
        <w:tc>
          <w:tcPr>
            <w:tcW w:w="5203" w:type="dxa"/>
            <w:vMerge/>
          </w:tcPr>
          <w:p w14:paraId="239EC54D" w14:textId="77777777" w:rsidR="001350B9" w:rsidRPr="00F46036" w:rsidRDefault="001350B9" w:rsidP="00F46036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  <w:lang w:val="es-ES"/>
              </w:rPr>
            </w:pPr>
          </w:p>
        </w:tc>
      </w:tr>
      <w:tr w:rsidR="001350B9" w:rsidRPr="00F46036" w14:paraId="4984546E" w14:textId="77777777" w:rsidTr="00F46036">
        <w:trPr>
          <w:cantSplit/>
        </w:trPr>
        <w:tc>
          <w:tcPr>
            <w:tcW w:w="1350" w:type="dxa"/>
          </w:tcPr>
          <w:p w14:paraId="362242CE" w14:textId="77777777" w:rsidR="001350B9" w:rsidRPr="00F46036" w:rsidRDefault="001350B9" w:rsidP="00F46036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Fax:</w:t>
            </w:r>
          </w:p>
        </w:tc>
        <w:tc>
          <w:tcPr>
            <w:tcW w:w="3527" w:type="dxa"/>
            <w:gridSpan w:val="2"/>
          </w:tcPr>
          <w:p w14:paraId="5B699D9E" w14:textId="77777777" w:rsidR="001350B9" w:rsidRPr="00F46036" w:rsidRDefault="001350B9" w:rsidP="00F46036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+41 22 730 5853</w:t>
            </w:r>
          </w:p>
        </w:tc>
        <w:tc>
          <w:tcPr>
            <w:tcW w:w="5203" w:type="dxa"/>
            <w:vMerge/>
          </w:tcPr>
          <w:p w14:paraId="7DD0ACDB" w14:textId="77777777" w:rsidR="001350B9" w:rsidRPr="00F46036" w:rsidRDefault="001350B9" w:rsidP="00F46036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  <w:lang w:val="es-ES"/>
              </w:rPr>
            </w:pPr>
          </w:p>
        </w:tc>
      </w:tr>
      <w:tr w:rsidR="001350B9" w:rsidRPr="00F46036" w14:paraId="1071DF7B" w14:textId="77777777" w:rsidTr="00F46036">
        <w:trPr>
          <w:cantSplit/>
        </w:trPr>
        <w:tc>
          <w:tcPr>
            <w:tcW w:w="1350" w:type="dxa"/>
          </w:tcPr>
          <w:p w14:paraId="74A7D800" w14:textId="77777777" w:rsidR="001350B9" w:rsidRPr="00F46036" w:rsidRDefault="001350B9" w:rsidP="00F46036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sz w:val="22"/>
                <w:szCs w:val="22"/>
                <w:lang w:val="es-ES"/>
              </w:rPr>
              <w:t>Correo-e:</w:t>
            </w:r>
          </w:p>
        </w:tc>
        <w:tc>
          <w:tcPr>
            <w:tcW w:w="3527" w:type="dxa"/>
            <w:gridSpan w:val="2"/>
          </w:tcPr>
          <w:p w14:paraId="6616623F" w14:textId="5CE453A1" w:rsidR="001350B9" w:rsidRPr="00F46036" w:rsidRDefault="00B43109" w:rsidP="00F46036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  <w:lang w:val="es-ES"/>
              </w:rPr>
            </w:pPr>
            <w:hyperlink r:id="rId9" w:history="1">
              <w:r w:rsidRPr="00F46036">
                <w:rPr>
                  <w:rStyle w:val="Hyperlink"/>
                  <w:rFonts w:cstheme="minorHAnsi"/>
                  <w:sz w:val="22"/>
                  <w:szCs w:val="22"/>
                  <w:lang w:val="es-ES"/>
                </w:rPr>
                <w:t>tsbevents@itu.int</w:t>
              </w:r>
            </w:hyperlink>
          </w:p>
        </w:tc>
        <w:tc>
          <w:tcPr>
            <w:tcW w:w="5203" w:type="dxa"/>
            <w:vMerge/>
          </w:tcPr>
          <w:p w14:paraId="03C3FA9C" w14:textId="77777777" w:rsidR="001350B9" w:rsidRPr="00F46036" w:rsidRDefault="001350B9" w:rsidP="00F4603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7B6316" w:rsidRPr="00F46036" w14:paraId="4FC1DE0C" w14:textId="77777777" w:rsidTr="00F46036">
        <w:trPr>
          <w:cantSplit/>
        </w:trPr>
        <w:tc>
          <w:tcPr>
            <w:tcW w:w="1350" w:type="dxa"/>
          </w:tcPr>
          <w:p w14:paraId="7ABF9DF4" w14:textId="77777777" w:rsidR="007B6316" w:rsidRPr="00F46036" w:rsidRDefault="007B6316" w:rsidP="00F46036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b/>
                <w:bCs/>
                <w:sz w:val="22"/>
                <w:szCs w:val="22"/>
                <w:lang w:val="es-ES"/>
              </w:rPr>
              <w:t>Asunto:</w:t>
            </w:r>
          </w:p>
        </w:tc>
        <w:tc>
          <w:tcPr>
            <w:tcW w:w="8730" w:type="dxa"/>
            <w:gridSpan w:val="3"/>
          </w:tcPr>
          <w:p w14:paraId="241B8B75" w14:textId="6CFCB059" w:rsidR="007B6316" w:rsidRPr="00F46036" w:rsidRDefault="00B43109" w:rsidP="00F46036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  <w:lang w:val="es-ES"/>
              </w:rPr>
            </w:pPr>
            <w:r w:rsidRPr="00F46036">
              <w:rPr>
                <w:rFonts w:cstheme="minorHAnsi"/>
                <w:b/>
                <w:bCs/>
                <w:iCs/>
                <w:sz w:val="22"/>
                <w:szCs w:val="22"/>
                <w:lang w:val="es-ES"/>
              </w:rPr>
              <w:t xml:space="preserve">Taller conjunto del ETSI ISG NFV y la CE 13 del UIT-T sobre </w:t>
            </w:r>
            <w:r w:rsidRPr="00F46036">
              <w:rPr>
                <w:rFonts w:cstheme="minorHAnsi"/>
                <w:b/>
                <w:bCs/>
                <w:i/>
                <w:sz w:val="22"/>
                <w:szCs w:val="22"/>
                <w:lang w:val="es-ES"/>
              </w:rPr>
              <w:t xml:space="preserve">Evolución de las redes basadas en la IA: innovación de nube nativa e IA para el futuro de las telecomunicaciones </w:t>
            </w:r>
            <w:r w:rsidRPr="00F46036">
              <w:rPr>
                <w:rFonts w:cstheme="minorHAnsi"/>
                <w:b/>
                <w:bCs/>
                <w:iCs/>
                <w:sz w:val="22"/>
                <w:szCs w:val="22"/>
                <w:lang w:val="es-ES"/>
              </w:rPr>
              <w:t>(Ginebra, Suiza, 24 de junio de 2026)</w:t>
            </w:r>
          </w:p>
        </w:tc>
      </w:tr>
    </w:tbl>
    <w:p w14:paraId="5B704454" w14:textId="4FF3F16F" w:rsidR="00C34772" w:rsidRPr="00F46036" w:rsidRDefault="00C34772" w:rsidP="007B6316">
      <w:pPr>
        <w:spacing w:before="320"/>
        <w:rPr>
          <w:rFonts w:cstheme="minorHAnsi"/>
          <w:sz w:val="22"/>
          <w:szCs w:val="22"/>
          <w:lang w:val="es-ES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F46036">
        <w:rPr>
          <w:rFonts w:cstheme="minorHAnsi"/>
          <w:sz w:val="22"/>
          <w:szCs w:val="22"/>
          <w:lang w:val="es-ES"/>
        </w:rPr>
        <w:t>Muy Señora mía/Muy Señor mío</w:t>
      </w:r>
      <w:r w:rsidR="00F46036">
        <w:rPr>
          <w:rFonts w:cstheme="minorHAnsi"/>
          <w:sz w:val="22"/>
          <w:szCs w:val="22"/>
          <w:lang w:val="es-ES"/>
        </w:rPr>
        <w:t>,</w:t>
      </w:r>
    </w:p>
    <w:p w14:paraId="1E12B9BF" w14:textId="609630A5" w:rsidR="00B43109" w:rsidRPr="00F46036" w:rsidRDefault="00B43109" w:rsidP="00B43109">
      <w:pPr>
        <w:rPr>
          <w:rFonts w:eastAsiaTheme="majorEastAsia" w:cstheme="minorHAnsi"/>
          <w:color w:val="000000"/>
          <w:sz w:val="22"/>
          <w:szCs w:val="22"/>
          <w:shd w:val="clear" w:color="auto" w:fill="FFFFFF"/>
          <w:lang w:val="es-ES"/>
        </w:rPr>
      </w:pPr>
      <w:r w:rsidRPr="00F46036">
        <w:rPr>
          <w:rFonts w:cstheme="minorHAnsi"/>
          <w:bCs/>
          <w:sz w:val="22"/>
          <w:szCs w:val="22"/>
          <w:lang w:val="es-ES"/>
        </w:rPr>
        <w:t>1</w:t>
      </w:r>
      <w:r w:rsidRPr="00F46036">
        <w:rPr>
          <w:rFonts w:cstheme="minorHAnsi"/>
          <w:sz w:val="22"/>
          <w:szCs w:val="22"/>
          <w:lang w:val="es-ES"/>
        </w:rPr>
        <w:tab/>
        <w:t xml:space="preserve">Me complace invitarle a participar en el taller organizado por la Comisión de Estudio 13 (CE 13) de la Unión Internacional de Telecomunicaciones (UIT) y el </w:t>
      </w:r>
      <w:r w:rsidRPr="00F46036">
        <w:rPr>
          <w:rFonts w:cstheme="minorHAnsi"/>
          <w:sz w:val="22"/>
          <w:szCs w:val="22"/>
          <w:lang w:val="es-ES" w:eastAsia="ja-JP"/>
        </w:rPr>
        <w:t xml:space="preserve">Industry Specification Group – Network Functions del Instituto Europeo de Normas de Telecomunicaciones (ETSI ISG NFV) sobre </w:t>
      </w:r>
      <w:r w:rsidRPr="00F46036">
        <w:rPr>
          <w:rFonts w:cstheme="minorHAnsi"/>
          <w:b/>
          <w:bCs/>
          <w:i/>
          <w:iCs/>
          <w:sz w:val="22"/>
          <w:szCs w:val="22"/>
          <w:lang w:val="es-ES" w:eastAsia="ja-JP"/>
        </w:rPr>
        <w:t>Evolución de las redes basadas en la IA: innovación de nube nativa e IA para el futuro de las telecomunicaciones</w:t>
      </w:r>
      <w:r w:rsidRPr="00F46036">
        <w:rPr>
          <w:rFonts w:cstheme="minorHAnsi"/>
          <w:sz w:val="22"/>
          <w:szCs w:val="22"/>
          <w:lang w:val="es-ES" w:eastAsia="ja-JP"/>
        </w:rPr>
        <w:t xml:space="preserve">, que se celebrará en la Sede de la UIT en Ginebra (Suiza) el </w:t>
      </w:r>
      <w:r w:rsidRPr="00F46036">
        <w:rPr>
          <w:rFonts w:cstheme="minorHAnsi"/>
          <w:b/>
          <w:bCs/>
          <w:sz w:val="22"/>
          <w:szCs w:val="22"/>
          <w:lang w:val="es-ES" w:eastAsia="ja-JP"/>
        </w:rPr>
        <w:t>24 de junio de 2026 de las 09.30 a las 11.30 horas CEST.</w:t>
      </w:r>
    </w:p>
    <w:p w14:paraId="4F6C9B31" w14:textId="150CE9AA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2</w:t>
      </w:r>
      <w:r w:rsidRPr="00F46036">
        <w:rPr>
          <w:rFonts w:cstheme="minorHAnsi"/>
          <w:sz w:val="22"/>
          <w:szCs w:val="22"/>
          <w:lang w:val="es-ES"/>
        </w:rPr>
        <w:tab/>
      </w:r>
      <w:proofErr w:type="gramStart"/>
      <w:r w:rsidRPr="00F46036">
        <w:rPr>
          <w:rFonts w:cstheme="minorHAnsi"/>
          <w:sz w:val="22"/>
          <w:szCs w:val="22"/>
          <w:lang w:val="es-ES"/>
        </w:rPr>
        <w:t>El</w:t>
      </w:r>
      <w:proofErr w:type="gramEnd"/>
      <w:r w:rsidRPr="00F46036">
        <w:rPr>
          <w:rFonts w:cstheme="minorHAnsi"/>
          <w:sz w:val="22"/>
          <w:szCs w:val="22"/>
          <w:lang w:val="es-ES"/>
        </w:rPr>
        <w:t xml:space="preserve"> taller se celebrará en paralelo a la reunión de las Comisión de Estudio 13, que se llevará a cabo del 23 de junio al 2 de julio de 2026 en el mismo lugar. Puede encontrarse más información sobre las actividades de la CE 13 en su página principal: </w:t>
      </w:r>
      <w:hyperlink r:id="rId10" w:history="1">
        <w:r w:rsidRPr="00F46036">
          <w:rPr>
            <w:rStyle w:val="Hyperlink"/>
            <w:rFonts w:cstheme="minorHAnsi"/>
            <w:sz w:val="22"/>
            <w:szCs w:val="22"/>
            <w:lang w:val="es-ES"/>
          </w:rPr>
          <w:t>https://itu.in</w:t>
        </w:r>
        <w:r w:rsidRPr="00F46036">
          <w:rPr>
            <w:rStyle w:val="Hyperlink"/>
            <w:rFonts w:cstheme="minorHAnsi"/>
            <w:sz w:val="22"/>
            <w:szCs w:val="22"/>
            <w:lang w:val="es-ES"/>
          </w:rPr>
          <w:t>t</w:t>
        </w:r>
        <w:r w:rsidRPr="00F46036">
          <w:rPr>
            <w:rStyle w:val="Hyperlink"/>
            <w:rFonts w:cstheme="minorHAnsi"/>
            <w:sz w:val="22"/>
            <w:szCs w:val="22"/>
            <w:lang w:val="es-ES"/>
          </w:rPr>
          <w:t>/go/tsg13</w:t>
        </w:r>
      </w:hyperlink>
      <w:r w:rsidRPr="00F46036">
        <w:rPr>
          <w:rFonts w:cstheme="minorHAnsi"/>
          <w:sz w:val="22"/>
          <w:szCs w:val="22"/>
          <w:lang w:val="es-ES"/>
        </w:rPr>
        <w:t>. Tenga en cuenta que es necesario inscribirse en cada evento por separado.</w:t>
      </w:r>
    </w:p>
    <w:p w14:paraId="148A9998" w14:textId="0AB2C37D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3</w:t>
      </w:r>
      <w:r w:rsidRPr="00F46036">
        <w:rPr>
          <w:rFonts w:cstheme="minorHAnsi"/>
          <w:sz w:val="22"/>
          <w:szCs w:val="22"/>
          <w:lang w:val="es-ES"/>
        </w:rPr>
        <w:tab/>
      </w:r>
      <w:proofErr w:type="gramStart"/>
      <w:r w:rsidRPr="00F46036">
        <w:rPr>
          <w:rFonts w:cstheme="minorHAnsi"/>
          <w:sz w:val="22"/>
          <w:szCs w:val="22"/>
          <w:lang w:val="es-ES"/>
        </w:rPr>
        <w:t>El</w:t>
      </w:r>
      <w:proofErr w:type="gramEnd"/>
      <w:r w:rsidRPr="00F46036">
        <w:rPr>
          <w:rFonts w:cstheme="minorHAnsi"/>
          <w:sz w:val="22"/>
          <w:szCs w:val="22"/>
          <w:lang w:val="es-ES"/>
        </w:rPr>
        <w:t xml:space="preserve"> taller brindará la oportunidad de debatir sobre la evolución de la situación de las arquitecturas de red modernas, las tecnologías en la nube y la innovación propiciada por la IA en el sector de las telecomunicaciones. El tema del taller corresponde a la orientación estratégica de la CE 13, que abarca la IA, la informatización de la red y las redes incipientes, así como a las principales prioridades del ETSI NFV, a saber, la arquitectura de la nube de telecomunicaciones, la orquestación de las funciones de red y la evolución de la nube nativa y la IA nativa. Tomando como punto de partida la integración profunda de la IA y la nube de telecomunicaciones/NFV, el taller explorará la evolución de la normalización y las prácticas industriales de la transformación de las redes basada en la IA.</w:t>
      </w:r>
    </w:p>
    <w:p w14:paraId="24331A30" w14:textId="343441CD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Uno de los objetivos clave del taller es reforzar la colaboración y las sinergias en la normalización de tecnologías fundamentales y profundizar en las medidas futuras para una evolución de las telecomunicaciones inteligente y nativa en la nube en el marco de un debate entre la CE</w:t>
      </w:r>
      <w:r w:rsidR="00B0407B" w:rsidRPr="00F46036">
        <w:rPr>
          <w:rFonts w:cstheme="minorHAnsi"/>
          <w:sz w:val="22"/>
          <w:szCs w:val="22"/>
          <w:lang w:val="es-ES"/>
        </w:rPr>
        <w:t> </w:t>
      </w:r>
      <w:r w:rsidRPr="00F46036">
        <w:rPr>
          <w:rFonts w:cstheme="minorHAnsi"/>
          <w:sz w:val="22"/>
          <w:szCs w:val="22"/>
          <w:lang w:val="es-ES"/>
        </w:rPr>
        <w:t>13 del UIT-T y el ETSI NFV ISG sobre temas de normalización y el estudio conjunto de soluciones y prácticas idóneas en el sector.</w:t>
      </w:r>
    </w:p>
    <w:p w14:paraId="57805F3B" w14:textId="77777777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El taller se centrará en lo siguiente:</w:t>
      </w:r>
    </w:p>
    <w:p w14:paraId="72D23252" w14:textId="5172AA9F" w:rsidR="00B43109" w:rsidRPr="00F46036" w:rsidRDefault="00B43109" w:rsidP="00B43109">
      <w:pPr>
        <w:pStyle w:val="enumlev1"/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–</w:t>
      </w:r>
      <w:r w:rsidRPr="00F46036">
        <w:rPr>
          <w:rFonts w:cstheme="minorHAnsi"/>
          <w:sz w:val="22"/>
          <w:szCs w:val="22"/>
          <w:lang w:val="es-ES"/>
        </w:rPr>
        <w:tab/>
        <w:t>La integración de la IA y la nube de telecomunicaciones/NFV según las últimas tendencias tecnológicas de la arquitectura de la nube de telecomunicaciones, la orquestación de las funciones de red y la evolución de nube nativa e IA nativa.</w:t>
      </w:r>
    </w:p>
    <w:p w14:paraId="04E17678" w14:textId="08D97D51" w:rsidR="00B43109" w:rsidRPr="00F46036" w:rsidRDefault="00B43109" w:rsidP="00B43109">
      <w:pPr>
        <w:pStyle w:val="enumlev1"/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lastRenderedPageBreak/>
        <w:t>–</w:t>
      </w:r>
      <w:r w:rsidRPr="00F46036">
        <w:rPr>
          <w:rFonts w:cstheme="minorHAnsi"/>
          <w:sz w:val="22"/>
          <w:szCs w:val="22"/>
          <w:lang w:val="es-ES"/>
        </w:rPr>
        <w:tab/>
        <w:t>Explorar la evolución de la normalización y las prácticas industriales de la transformación de las redes basada en la IA.</w:t>
      </w:r>
    </w:p>
    <w:p w14:paraId="588A84AD" w14:textId="62AB8AEA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4</w:t>
      </w:r>
      <w:r w:rsidRPr="00F46036">
        <w:rPr>
          <w:rFonts w:cstheme="minorHAnsi"/>
          <w:sz w:val="22"/>
          <w:szCs w:val="22"/>
          <w:lang w:val="es-ES"/>
        </w:rPr>
        <w:tab/>
      </w:r>
      <w:proofErr w:type="gramStart"/>
      <w:r w:rsidRPr="00F46036">
        <w:rPr>
          <w:rFonts w:cstheme="minorHAnsi"/>
          <w:sz w:val="22"/>
          <w:szCs w:val="22"/>
          <w:lang w:val="es-ES"/>
        </w:rPr>
        <w:t>El</w:t>
      </w:r>
      <w:proofErr w:type="gramEnd"/>
      <w:r w:rsidRPr="00F46036">
        <w:rPr>
          <w:rFonts w:cstheme="minorHAnsi"/>
          <w:sz w:val="22"/>
          <w:szCs w:val="22"/>
          <w:lang w:val="es-ES"/>
        </w:rPr>
        <w:t xml:space="preserve"> taller comenzará</w:t>
      </w:r>
      <w:r w:rsidR="005A062F" w:rsidRPr="00F46036">
        <w:rPr>
          <w:rFonts w:cstheme="minorHAnsi"/>
          <w:sz w:val="22"/>
          <w:szCs w:val="22"/>
          <w:lang w:val="es-ES"/>
        </w:rPr>
        <w:t xml:space="preserve"> </w:t>
      </w:r>
      <w:r w:rsidRPr="00F46036">
        <w:rPr>
          <w:rFonts w:cstheme="minorHAnsi"/>
          <w:sz w:val="22"/>
          <w:szCs w:val="22"/>
          <w:lang w:val="es-ES"/>
        </w:rPr>
        <w:t xml:space="preserve">a las 09.30 horas del 24 de junio de 2026 y los participantes podrán inscribirse a partir de las 08.30 horas en la </w:t>
      </w:r>
      <w:hyperlink r:id="rId11" w:history="1">
        <w:r w:rsidRPr="00F46036">
          <w:rPr>
            <w:rStyle w:val="Hyperlink"/>
            <w:rFonts w:cstheme="minorHAnsi"/>
            <w:sz w:val="22"/>
            <w:szCs w:val="22"/>
            <w:lang w:val="es-ES"/>
          </w:rPr>
          <w:t>entrada del edificio Montbrillant</w:t>
        </w:r>
      </w:hyperlink>
      <w:r w:rsidRPr="00F46036">
        <w:rPr>
          <w:rFonts w:cstheme="minorHAnsi"/>
          <w:sz w:val="22"/>
          <w:szCs w:val="22"/>
          <w:lang w:val="es-ES"/>
        </w:rPr>
        <w:t xml:space="preserve"> de la UIT.</w:t>
      </w:r>
    </w:p>
    <w:p w14:paraId="00634642" w14:textId="00160A54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5</w:t>
      </w:r>
      <w:r w:rsidRPr="00F46036">
        <w:rPr>
          <w:rFonts w:cstheme="minorHAnsi"/>
          <w:sz w:val="22"/>
          <w:szCs w:val="22"/>
          <w:lang w:val="es-ES"/>
        </w:rPr>
        <w:tab/>
        <w:t>la participación en el taller es gratuita y está abierta a los Estados Miembros, a los Miembros de Sector, a los Asociados y a las Instituciones Académicas de la UIT, a los participantes en las reuniones del ETSI NFV y la CE</w:t>
      </w:r>
      <w:r w:rsidR="00B0407B" w:rsidRPr="00F46036">
        <w:rPr>
          <w:rFonts w:cstheme="minorHAnsi"/>
          <w:sz w:val="22"/>
          <w:szCs w:val="22"/>
          <w:lang w:val="es-ES"/>
        </w:rPr>
        <w:t> </w:t>
      </w:r>
      <w:r w:rsidRPr="00F46036">
        <w:rPr>
          <w:rFonts w:cstheme="minorHAnsi"/>
          <w:sz w:val="22"/>
          <w:szCs w:val="22"/>
          <w:lang w:val="es-ES"/>
        </w:rPr>
        <w:t>13 del UIT-T, así como a cualquier persona (de un país Miembro de la UIT) que desee contribuir a los trabajos. Esto incluye a las personas que también sean miembros de organizaciones nacionales, regionales e internacionales. Se ofrecerá la posibilidad de participar a distancia.</w:t>
      </w:r>
    </w:p>
    <w:p w14:paraId="7B8AF63D" w14:textId="77777777" w:rsidR="00B43109" w:rsidRPr="00F46036" w:rsidRDefault="00B43109" w:rsidP="00B43109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6</w:t>
      </w:r>
      <w:r w:rsidRPr="00F46036">
        <w:rPr>
          <w:rFonts w:cstheme="minorHAnsi"/>
          <w:sz w:val="22"/>
          <w:szCs w:val="22"/>
          <w:lang w:val="es-ES"/>
        </w:rPr>
        <w:tab/>
      </w:r>
      <w:proofErr w:type="gramStart"/>
      <w:r w:rsidRPr="00F46036">
        <w:rPr>
          <w:rFonts w:cstheme="minorHAnsi"/>
          <w:sz w:val="22"/>
          <w:szCs w:val="22"/>
          <w:lang w:val="es-ES"/>
        </w:rPr>
        <w:t>Toda</w:t>
      </w:r>
      <w:proofErr w:type="gramEnd"/>
      <w:r w:rsidRPr="00F46036">
        <w:rPr>
          <w:rFonts w:cstheme="minorHAnsi"/>
          <w:sz w:val="22"/>
          <w:szCs w:val="22"/>
          <w:lang w:val="es-ES"/>
        </w:rPr>
        <w:t xml:space="preserve"> la información pertinente relativa al evento (proyecto de programa, lista de oradores, enlace de inscripción, detalles sobre la conexión a distancia) estará disponible en la página principal del evento en la dirección: </w:t>
      </w:r>
      <w:hyperlink r:id="rId12" w:history="1">
        <w:r w:rsidRPr="00F46036">
          <w:rPr>
            <w:rStyle w:val="Hyperlink"/>
            <w:rFonts w:cstheme="minorHAnsi"/>
            <w:sz w:val="22"/>
            <w:szCs w:val="22"/>
            <w:lang w:val="es-ES"/>
          </w:rPr>
          <w:t>https://itu.int/en/ITU-T/Work</w:t>
        </w:r>
        <w:r w:rsidRPr="00F46036">
          <w:rPr>
            <w:rStyle w:val="Hyperlink"/>
            <w:rFonts w:cstheme="minorHAnsi"/>
            <w:sz w:val="22"/>
            <w:szCs w:val="22"/>
            <w:lang w:val="es-ES"/>
          </w:rPr>
          <w:t>s</w:t>
        </w:r>
        <w:r w:rsidRPr="00F46036">
          <w:rPr>
            <w:rStyle w:val="Hyperlink"/>
            <w:rFonts w:cstheme="minorHAnsi"/>
            <w:sz w:val="22"/>
            <w:szCs w:val="22"/>
            <w:lang w:val="es-ES"/>
          </w:rPr>
          <w:t>hops-and-Seminars/2026/0624</w:t>
        </w:r>
      </w:hyperlink>
      <w:r w:rsidRPr="00F46036">
        <w:rPr>
          <w:rFonts w:cstheme="minorHAnsi"/>
          <w:sz w:val="22"/>
          <w:szCs w:val="22"/>
          <w:lang w:val="es-ES"/>
        </w:rPr>
        <w:t>. La página web del evento se irá actualizando a medida que se disponga de más información. Se recomienda a los participantes consultar periódicamente la página web para mantenerse al día de las novedades.</w:t>
      </w:r>
    </w:p>
    <w:p w14:paraId="1D157F12" w14:textId="77777777" w:rsidR="00B43109" w:rsidRPr="00F46036" w:rsidRDefault="00B43109" w:rsidP="00B0407B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7</w:t>
      </w:r>
      <w:r w:rsidRPr="00F46036">
        <w:rPr>
          <w:rFonts w:cstheme="minorHAnsi"/>
          <w:sz w:val="22"/>
          <w:szCs w:val="22"/>
          <w:lang w:val="es-ES"/>
        </w:rPr>
        <w:tab/>
      </w:r>
      <w:proofErr w:type="gramStart"/>
      <w:r w:rsidRPr="00F46036">
        <w:rPr>
          <w:rFonts w:cstheme="minorHAnsi"/>
          <w:sz w:val="22"/>
          <w:szCs w:val="22"/>
          <w:lang w:val="es-ES"/>
        </w:rPr>
        <w:t>A</w:t>
      </w:r>
      <w:proofErr w:type="gramEnd"/>
      <w:r w:rsidRPr="00F46036">
        <w:rPr>
          <w:rFonts w:cstheme="minorHAnsi"/>
          <w:sz w:val="22"/>
          <w:szCs w:val="22"/>
          <w:lang w:val="es-ES"/>
        </w:rPr>
        <w:t xml:space="preserve"> fin de que los organizadores puedan tomar las disposiciones necesarias para la organización del taller, le agradeceríamos que se inscribiese a la mayor brevedad mediante el formulario en línea que encontrará en la dirección </w:t>
      </w:r>
      <w:hyperlink r:id="rId13" w:history="1">
        <w:r w:rsidRPr="00F46036">
          <w:rPr>
            <w:rStyle w:val="Hyperlink"/>
            <w:rFonts w:cstheme="minorHAnsi"/>
            <w:sz w:val="22"/>
            <w:szCs w:val="22"/>
            <w:lang w:val="es-ES"/>
          </w:rPr>
          <w:t>https://itu.int/net</w:t>
        </w:r>
        <w:r w:rsidRPr="00F46036">
          <w:rPr>
            <w:rStyle w:val="Hyperlink"/>
            <w:rFonts w:cstheme="minorHAnsi"/>
            <w:sz w:val="22"/>
            <w:szCs w:val="22"/>
            <w:lang w:val="es-ES"/>
          </w:rPr>
          <w:t>4</w:t>
        </w:r>
        <w:r w:rsidRPr="00F46036">
          <w:rPr>
            <w:rStyle w:val="Hyperlink"/>
            <w:rFonts w:cstheme="minorHAnsi"/>
            <w:sz w:val="22"/>
            <w:szCs w:val="22"/>
            <w:lang w:val="es-ES"/>
          </w:rPr>
          <w:t>/CRM/xreg/web/Registration.aspx?Event=C-00016466</w:t>
        </w:r>
      </w:hyperlink>
      <w:r w:rsidRPr="00F46036">
        <w:rPr>
          <w:rFonts w:cstheme="minorHAnsi"/>
          <w:sz w:val="22"/>
          <w:szCs w:val="22"/>
          <w:lang w:val="es-ES"/>
        </w:rPr>
        <w:t xml:space="preserve">. Tenga en cuenta que la </w:t>
      </w:r>
      <w:r w:rsidRPr="00F46036">
        <w:rPr>
          <w:rFonts w:cstheme="minorHAnsi"/>
          <w:b/>
          <w:bCs/>
          <w:sz w:val="22"/>
          <w:szCs w:val="22"/>
          <w:lang w:val="es-ES"/>
        </w:rPr>
        <w:t xml:space="preserve">preinscripción </w:t>
      </w:r>
      <w:r w:rsidRPr="00F46036">
        <w:rPr>
          <w:rFonts w:cstheme="minorHAnsi"/>
          <w:sz w:val="22"/>
          <w:szCs w:val="22"/>
          <w:lang w:val="es-ES"/>
        </w:rPr>
        <w:t xml:space="preserve">de los participantes en el taller se lleva a cabo exclusivamente </w:t>
      </w:r>
      <w:r w:rsidRPr="00F46036">
        <w:rPr>
          <w:rFonts w:cstheme="minorHAnsi"/>
          <w:b/>
          <w:bCs/>
          <w:sz w:val="22"/>
          <w:szCs w:val="22"/>
          <w:lang w:val="es-ES"/>
        </w:rPr>
        <w:t xml:space="preserve">en línea </w:t>
      </w:r>
      <w:r w:rsidRPr="00F46036">
        <w:rPr>
          <w:rFonts w:cstheme="minorHAnsi"/>
          <w:sz w:val="22"/>
          <w:szCs w:val="22"/>
          <w:lang w:val="es-ES"/>
        </w:rPr>
        <w:t xml:space="preserve">y es </w:t>
      </w:r>
      <w:r w:rsidRPr="00F46036">
        <w:rPr>
          <w:rFonts w:cstheme="minorHAnsi"/>
          <w:b/>
          <w:bCs/>
          <w:sz w:val="22"/>
          <w:szCs w:val="22"/>
          <w:lang w:val="es-ES"/>
        </w:rPr>
        <w:t xml:space="preserve">obligatoria </w:t>
      </w:r>
      <w:r w:rsidRPr="00F46036">
        <w:rPr>
          <w:rFonts w:cstheme="minorHAnsi"/>
          <w:sz w:val="22"/>
          <w:szCs w:val="22"/>
          <w:lang w:val="es-ES"/>
        </w:rPr>
        <w:t xml:space="preserve">tanto para los </w:t>
      </w:r>
      <w:r w:rsidRPr="00F46036">
        <w:rPr>
          <w:rFonts w:cstheme="minorHAnsi"/>
          <w:b/>
          <w:bCs/>
          <w:sz w:val="22"/>
          <w:szCs w:val="22"/>
          <w:lang w:val="es-ES"/>
        </w:rPr>
        <w:t xml:space="preserve">participantes presenciales </w:t>
      </w:r>
      <w:r w:rsidRPr="00F46036">
        <w:rPr>
          <w:rFonts w:cstheme="minorHAnsi"/>
          <w:sz w:val="22"/>
          <w:szCs w:val="22"/>
          <w:lang w:val="es-ES"/>
        </w:rPr>
        <w:t xml:space="preserve">como los </w:t>
      </w:r>
      <w:r w:rsidRPr="00F46036">
        <w:rPr>
          <w:rFonts w:cstheme="minorHAnsi"/>
          <w:b/>
          <w:bCs/>
          <w:sz w:val="22"/>
          <w:szCs w:val="22"/>
          <w:lang w:val="es-ES"/>
        </w:rPr>
        <w:t>participantes a distancia</w:t>
      </w:r>
      <w:r w:rsidRPr="00F46036">
        <w:rPr>
          <w:rFonts w:cstheme="minorHAnsi"/>
          <w:sz w:val="22"/>
          <w:szCs w:val="22"/>
          <w:lang w:val="es-ES"/>
        </w:rPr>
        <w:t>.</w:t>
      </w:r>
    </w:p>
    <w:p w14:paraId="276D9966" w14:textId="6896F9DA" w:rsidR="007B6316" w:rsidRPr="00F46036" w:rsidRDefault="00B43109" w:rsidP="00B0407B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8</w:t>
      </w:r>
      <w:r w:rsidRPr="00F46036">
        <w:rPr>
          <w:rFonts w:cstheme="minorHAnsi"/>
          <w:sz w:val="22"/>
          <w:szCs w:val="22"/>
          <w:lang w:val="es-ES"/>
        </w:rPr>
        <w:tab/>
      </w:r>
      <w:proofErr w:type="gramStart"/>
      <w:r w:rsidRPr="00F46036">
        <w:rPr>
          <w:rFonts w:cstheme="minorHAnsi"/>
          <w:sz w:val="22"/>
          <w:szCs w:val="22"/>
          <w:lang w:val="es-ES"/>
        </w:rPr>
        <w:t>Le</w:t>
      </w:r>
      <w:proofErr w:type="gramEnd"/>
      <w:r w:rsidRPr="00F46036">
        <w:rPr>
          <w:rFonts w:cstheme="minorHAnsi"/>
          <w:sz w:val="22"/>
          <w:szCs w:val="22"/>
          <w:lang w:val="es-ES"/>
        </w:rPr>
        <w:t xml:space="preserve"> recuerdo que los ciudadanos procedentes de algunos países necesitan obtener un visado para poder entrar y permanecer cierto tiempo en Suiza. El visado debe solicitarse y obtenerse en la oficina (embajada o consulado) que representa a Suiza en su país o, en su defecto, en la más próxima a su país de partida.</w:t>
      </w:r>
      <w:r w:rsidRPr="00F46036">
        <w:rPr>
          <w:rFonts w:eastAsia="Batang" w:cstheme="minorHAnsi"/>
          <w:sz w:val="22"/>
          <w:szCs w:val="22"/>
          <w:lang w:val="es-ES"/>
        </w:rPr>
        <w:t xml:space="preserve"> </w:t>
      </w:r>
      <w:r w:rsidRPr="00F46036">
        <w:rPr>
          <w:rFonts w:cstheme="minorHAnsi"/>
          <w:sz w:val="22"/>
          <w:szCs w:val="22"/>
          <w:lang w:val="es-ES"/>
        </w:rPr>
        <w:t>La tramitación y aprobación del visado puede llevar algún tiempo, por lo que se recomienda consultar directamente con la representación correspondiente y presentar la solicitud con antelación.</w:t>
      </w:r>
    </w:p>
    <w:p w14:paraId="32A2AB4F" w14:textId="77777777" w:rsidR="007B6316" w:rsidRPr="00F46036" w:rsidRDefault="007B6316" w:rsidP="007B6316">
      <w:pPr>
        <w:rPr>
          <w:rFonts w:cstheme="minorHAnsi"/>
          <w:sz w:val="22"/>
          <w:szCs w:val="22"/>
          <w:lang w:val="es-ES"/>
        </w:rPr>
      </w:pPr>
      <w:r w:rsidRPr="00F46036">
        <w:rPr>
          <w:rFonts w:cstheme="minorHAnsi"/>
          <w:sz w:val="22"/>
          <w:szCs w:val="22"/>
          <w:lang w:val="es-ES"/>
        </w:rPr>
        <w:t>Atentamente,</w:t>
      </w:r>
    </w:p>
    <w:p w14:paraId="0800830C" w14:textId="1B30A1BF" w:rsidR="007B6316" w:rsidRPr="00F46036" w:rsidRDefault="001B2785" w:rsidP="00F46036">
      <w:pPr>
        <w:spacing w:before="720"/>
        <w:rPr>
          <w:rFonts w:cstheme="minorHAnsi"/>
          <w:sz w:val="22"/>
          <w:szCs w:val="22"/>
          <w:lang w:val="es-ES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33B9CD81" wp14:editId="65CAC097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825542" cy="330217"/>
            <wp:effectExtent l="0" t="0" r="0" b="0"/>
            <wp:wrapNone/>
            <wp:docPr id="1043311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11499" name="Picture 104331149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F46036">
        <w:rPr>
          <w:rFonts w:cstheme="minorHAnsi"/>
          <w:sz w:val="22"/>
          <w:szCs w:val="22"/>
          <w:lang w:val="es-ES"/>
        </w:rPr>
        <w:t>Seizo Onoe</w:t>
      </w:r>
      <w:r w:rsidR="007B6316" w:rsidRPr="00F46036">
        <w:rPr>
          <w:rFonts w:cstheme="minorHAnsi"/>
          <w:sz w:val="22"/>
          <w:szCs w:val="22"/>
          <w:lang w:val="es-ES"/>
        </w:rPr>
        <w:br/>
      </w:r>
      <w:proofErr w:type="gramStart"/>
      <w:r w:rsidR="007B6316" w:rsidRPr="00F46036">
        <w:rPr>
          <w:rFonts w:cstheme="minorHAnsi"/>
          <w:sz w:val="22"/>
          <w:szCs w:val="22"/>
          <w:lang w:val="es-ES"/>
        </w:rPr>
        <w:t>Director</w:t>
      </w:r>
      <w:proofErr w:type="gramEnd"/>
      <w:r w:rsidR="007B6316" w:rsidRPr="00F46036">
        <w:rPr>
          <w:rFonts w:cstheme="minorHAnsi"/>
          <w:sz w:val="22"/>
          <w:szCs w:val="22"/>
          <w:lang w:val="es-ES"/>
        </w:rPr>
        <w:t xml:space="preserve"> de la Oficina de </w:t>
      </w:r>
      <w:r w:rsidR="007B6316" w:rsidRPr="00F46036">
        <w:rPr>
          <w:rFonts w:cstheme="minorHAnsi"/>
          <w:sz w:val="22"/>
          <w:szCs w:val="22"/>
          <w:lang w:val="es-ES"/>
        </w:rPr>
        <w:br/>
        <w:t>Normalización de las Telecomunicaciones</w:t>
      </w:r>
    </w:p>
    <w:sectPr w:rsidR="007B6316" w:rsidRPr="00F46036" w:rsidSect="00B87E9E">
      <w:headerReference w:type="defaul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3EF5" w14:textId="77777777" w:rsidR="00140C16" w:rsidRDefault="00140C16">
      <w:r>
        <w:separator/>
      </w:r>
    </w:p>
  </w:endnote>
  <w:endnote w:type="continuationSeparator" w:id="0">
    <w:p w14:paraId="608A39B5" w14:textId="77777777" w:rsidR="00140C16" w:rsidRDefault="0014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BAA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32DB" w14:textId="77777777" w:rsidR="00140C16" w:rsidRDefault="00140C16">
      <w:r>
        <w:t>____________________</w:t>
      </w:r>
    </w:p>
  </w:footnote>
  <w:footnote w:type="continuationSeparator" w:id="0">
    <w:p w14:paraId="52B38807" w14:textId="77777777" w:rsidR="00140C16" w:rsidRDefault="0014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AE5C" w14:textId="611CAE53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5A062F">
      <w:rPr>
        <w:rStyle w:val="PageNumber"/>
        <w:sz w:val="18"/>
        <w:szCs w:val="18"/>
      </w:rPr>
      <w:br/>
    </w:r>
    <w:r w:rsidR="005A062F">
      <w:rPr>
        <w:sz w:val="18"/>
        <w:szCs w:val="18"/>
      </w:rPr>
      <w:t>Circular TSB 129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95E7B"/>
    <w:multiLevelType w:val="hybridMultilevel"/>
    <w:tmpl w:val="C486C122"/>
    <w:lvl w:ilvl="0" w:tplc="F5EADD5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645205293">
    <w:abstractNumId w:val="1"/>
  </w:num>
  <w:num w:numId="2" w16cid:durableId="1774550385">
    <w:abstractNumId w:val="4"/>
  </w:num>
  <w:num w:numId="3" w16cid:durableId="1020200255">
    <w:abstractNumId w:val="3"/>
  </w:num>
  <w:num w:numId="4" w16cid:durableId="2085490309">
    <w:abstractNumId w:val="2"/>
  </w:num>
  <w:num w:numId="5" w16cid:durableId="17192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16"/>
    <w:rsid w:val="00002529"/>
    <w:rsid w:val="00085662"/>
    <w:rsid w:val="000C382F"/>
    <w:rsid w:val="001173CC"/>
    <w:rsid w:val="001350B9"/>
    <w:rsid w:val="00140C16"/>
    <w:rsid w:val="0014464D"/>
    <w:rsid w:val="001A54CC"/>
    <w:rsid w:val="001B2785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5A062F"/>
    <w:rsid w:val="00676382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0407B"/>
    <w:rsid w:val="00B422BC"/>
    <w:rsid w:val="00B43109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46036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05BF5F"/>
  <w15:docId w15:val="{B370DEBA-873D-4CE1-8DDB-FD7B751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3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net4/CRM/xreg/web/Registration.aspx?Event=C-000164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u.int/en/ITU-T/Workshops-and-Seminars/2026/06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tu.int/go/tsg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29</TotalTime>
  <Pages>2</Pages>
  <Words>925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5966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4</cp:revision>
  <cp:lastPrinted>2026-04-16T08:51:00Z</cp:lastPrinted>
  <dcterms:created xsi:type="dcterms:W3CDTF">2026-04-10T07:27:00Z</dcterms:created>
  <dcterms:modified xsi:type="dcterms:W3CDTF">2026-04-16T08:52:00Z</dcterms:modified>
</cp:coreProperties>
</file>