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5FCDF6E9" w:rsidR="000305E1" w:rsidRPr="003D69B8" w:rsidRDefault="00BF2DBA" w:rsidP="002F750E">
            <w:pPr>
              <w:pStyle w:val="Tabletext"/>
              <w:spacing w:before="240" w:after="120"/>
              <w:ind w:firstLine="48"/>
              <w:rPr>
                <w:rFonts w:cstheme="minorHAnsi"/>
                <w:szCs w:val="22"/>
                <w:lang w:eastAsia="zh-CN"/>
              </w:rPr>
            </w:pPr>
            <w:r>
              <w:rPr>
                <w:color w:val="000000"/>
                <w:lang w:val="zh-CN"/>
              </w:rPr>
              <w:t>2026</w:t>
            </w:r>
            <w:r>
              <w:rPr>
                <w:color w:val="000000"/>
                <w:lang w:val="zh-CN"/>
              </w:rPr>
              <w:t>年</w:t>
            </w:r>
            <w:r>
              <w:rPr>
                <w:color w:val="000000"/>
                <w:lang w:val="zh-CN"/>
              </w:rPr>
              <w:t>4</w:t>
            </w:r>
            <w:r>
              <w:rPr>
                <w:color w:val="000000"/>
                <w:lang w:val="zh-CN"/>
              </w:rPr>
              <w:t>月</w:t>
            </w:r>
            <w:r>
              <w:rPr>
                <w:color w:val="000000"/>
                <w:lang w:val="zh-CN"/>
              </w:rPr>
              <w:t>9</w:t>
            </w:r>
            <w:proofErr w:type="spellStart"/>
            <w:r>
              <w:rPr>
                <w:color w:val="000000"/>
                <w:lang w:val="zh-CN"/>
              </w:rPr>
              <w:t>日，日内瓦</w:t>
            </w:r>
            <w:proofErr w:type="spellEnd"/>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36FD5EC3"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BF2DBA">
              <w:rPr>
                <w:rFonts w:cstheme="minorHAnsi"/>
                <w:b/>
                <w:szCs w:val="22"/>
                <w:lang w:eastAsia="zh-CN"/>
              </w:rPr>
              <w:t>129</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5EE61857" w:rsidR="00C87A03" w:rsidRPr="003D69B8" w:rsidRDefault="00BF2DBA" w:rsidP="002F750E">
            <w:pPr>
              <w:pStyle w:val="Tabletext"/>
              <w:ind w:firstLine="23"/>
              <w:rPr>
                <w:rFonts w:cstheme="minorHAnsi"/>
                <w:szCs w:val="22"/>
                <w:lang w:eastAsia="zh-CN"/>
              </w:rPr>
            </w:pPr>
            <w:r w:rsidRPr="003C58BF">
              <w:rPr>
                <w:szCs w:val="22"/>
                <w:lang w:eastAsia="zh-CN"/>
              </w:rPr>
              <w:t>TSB</w:t>
            </w:r>
            <w:r>
              <w:rPr>
                <w:color w:val="000000"/>
                <w:lang w:val="zh-CN" w:eastAsia="zh-CN"/>
              </w:rPr>
              <w:t>活动</w:t>
            </w:r>
            <w:r>
              <w:rPr>
                <w:color w:val="000000"/>
                <w:lang w:val="zh-CN" w:eastAsia="zh-CN"/>
              </w:rPr>
              <w:t>/TK</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Pr="00147EE9">
              <w:rPr>
                <w:rFonts w:eastAsiaTheme="minorEastAsia" w:cstheme="minorHAnsi" w:hint="eastAsia"/>
                <w:szCs w:val="22"/>
                <w:lang w:eastAsia="zh-CN"/>
              </w:rPr>
              <w:t>国际电联各成员国主管部门；</w:t>
            </w:r>
            <w:proofErr w:type="gramEnd"/>
          </w:p>
          <w:p w14:paraId="3804B219" w14:textId="77777777" w:rsidR="00666DD6" w:rsidRDefault="00666DD6" w:rsidP="00666DD6">
            <w:pPr>
              <w:pStyle w:val="Tabletext"/>
              <w:tabs>
                <w:tab w:val="clear" w:pos="284"/>
                <w:tab w:val="clear" w:pos="567"/>
                <w:tab w:val="left" w:pos="572"/>
                <w:tab w:val="left" w:pos="627"/>
              </w:tabs>
              <w:spacing w:after="0"/>
              <w:ind w:left="430" w:hanging="373"/>
              <w:rPr>
                <w:rFonts w:eastAsiaTheme="minorEastAsia" w:cstheme="minorHAnsi"/>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0A0F1245" w14:textId="5D95EAB4" w:rsidR="00BF2DBA" w:rsidRDefault="00BF2DBA" w:rsidP="00666DD6">
            <w:pPr>
              <w:pStyle w:val="Tabletext"/>
              <w:tabs>
                <w:tab w:val="clear" w:pos="284"/>
                <w:tab w:val="clear" w:pos="567"/>
                <w:tab w:val="left" w:pos="572"/>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3C41CE">
              <w:rPr>
                <w:color w:val="000000"/>
                <w:lang w:eastAsia="zh-CN"/>
              </w:rPr>
              <w:t>ITU-</w:t>
            </w:r>
            <w:proofErr w:type="gramStart"/>
            <w:r w:rsidRPr="003C41CE">
              <w:rPr>
                <w:color w:val="000000"/>
                <w:lang w:eastAsia="zh-CN"/>
              </w:rPr>
              <w:t>T</w:t>
            </w:r>
            <w:r>
              <w:rPr>
                <w:color w:val="000000"/>
                <w:lang w:val="zh-CN" w:eastAsia="zh-CN"/>
              </w:rPr>
              <w:t>部门成员</w:t>
            </w:r>
            <w:r>
              <w:rPr>
                <w:color w:val="000000"/>
                <w:lang w:eastAsia="zh-CN"/>
              </w:rPr>
              <w:t>；</w:t>
            </w:r>
            <w:proofErr w:type="gramEnd"/>
          </w:p>
          <w:p w14:paraId="2358CE1D" w14:textId="5B59D6BA" w:rsidR="00BF2DBA" w:rsidRDefault="00BF2DBA" w:rsidP="00666DD6">
            <w:pPr>
              <w:pStyle w:val="Tabletext"/>
              <w:tabs>
                <w:tab w:val="clear" w:pos="284"/>
                <w:tab w:val="clear" w:pos="567"/>
                <w:tab w:val="left" w:pos="572"/>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3C41CE">
              <w:rPr>
                <w:color w:val="000000"/>
                <w:lang w:eastAsia="zh-CN"/>
              </w:rPr>
              <w:t>ITU-</w:t>
            </w:r>
            <w:proofErr w:type="gramStart"/>
            <w:r w:rsidRPr="003C41CE">
              <w:rPr>
                <w:color w:val="000000"/>
                <w:lang w:eastAsia="zh-CN"/>
              </w:rPr>
              <w:t>T</w:t>
            </w:r>
            <w:r>
              <w:rPr>
                <w:color w:val="000000"/>
                <w:lang w:val="zh-CN" w:eastAsia="zh-CN"/>
              </w:rPr>
              <w:t>部门准成员</w:t>
            </w:r>
            <w:r>
              <w:rPr>
                <w:color w:val="000000"/>
                <w:lang w:eastAsia="zh-CN"/>
              </w:rPr>
              <w:t>；</w:t>
            </w:r>
            <w:proofErr w:type="gramEnd"/>
          </w:p>
          <w:p w14:paraId="494A1663" w14:textId="5A83BE5D" w:rsidR="00BF2DBA" w:rsidRPr="00BF2DBA" w:rsidRDefault="00BF2DBA" w:rsidP="00666DD6">
            <w:pPr>
              <w:pStyle w:val="Tabletext"/>
              <w:tabs>
                <w:tab w:val="clear" w:pos="284"/>
                <w:tab w:val="clear" w:pos="567"/>
                <w:tab w:val="left" w:pos="572"/>
                <w:tab w:val="left" w:pos="627"/>
              </w:tabs>
              <w:spacing w:after="0"/>
              <w:ind w:left="430" w:hanging="373"/>
              <w:rPr>
                <w:rFonts w:eastAsiaTheme="minorEastAsia" w:cs="Calibri"/>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proofErr w:type="spellStart"/>
            <w:r>
              <w:rPr>
                <w:color w:val="000000"/>
                <w:lang w:val="zh-CN"/>
              </w:rPr>
              <w:t>国际电联学术成员</w:t>
            </w:r>
            <w:proofErr w:type="spellEnd"/>
          </w:p>
          <w:p w14:paraId="273145FF" w14:textId="77777777" w:rsidR="00666DD6" w:rsidRPr="00A57F24" w:rsidRDefault="00666DD6" w:rsidP="00666DD6">
            <w:pPr>
              <w:pStyle w:val="Tabletext"/>
              <w:ind w:left="283" w:hanging="283"/>
              <w:rPr>
                <w:rFonts w:cstheme="minorHAnsi"/>
                <w:szCs w:val="22"/>
                <w:lang w:eastAsia="zh-CN"/>
              </w:rPr>
            </w:pPr>
            <w:r w:rsidRPr="00A57F24">
              <w:rPr>
                <w:b/>
                <w:bCs/>
                <w:szCs w:val="22"/>
                <w:lang w:val="zh-CN" w:eastAsia="zh-CN"/>
              </w:rPr>
              <w:t>抄送：</w:t>
            </w:r>
          </w:p>
          <w:p w14:paraId="74BB637F" w14:textId="09AACB9E" w:rsidR="00666DD6" w:rsidRPr="00A57F24" w:rsidRDefault="00666DD6" w:rsidP="006F59CB">
            <w:pPr>
              <w:pStyle w:val="Tabletext"/>
              <w:tabs>
                <w:tab w:val="clear" w:pos="284"/>
                <w:tab w:val="clear" w:pos="567"/>
                <w:tab w:val="left" w:pos="430"/>
                <w:tab w:val="left" w:pos="627"/>
              </w:tabs>
              <w:spacing w:after="0"/>
              <w:ind w:left="430" w:hanging="379"/>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00BF2DBA">
              <w:rPr>
                <w:rFonts w:hint="eastAsia"/>
                <w:szCs w:val="22"/>
                <w:lang w:eastAsia="zh-CN"/>
              </w:rPr>
              <w:t>各</w:t>
            </w:r>
            <w:r w:rsidRPr="00A57F24">
              <w:rPr>
                <w:szCs w:val="22"/>
                <w:lang w:val="zh-CN" w:eastAsia="zh-CN"/>
              </w:rPr>
              <w:t>研究组</w:t>
            </w:r>
            <w:r w:rsidR="00BF2DBA">
              <w:rPr>
                <w:rFonts w:hint="eastAsia"/>
                <w:szCs w:val="22"/>
                <w:lang w:val="zh-CN" w:eastAsia="zh-CN"/>
              </w:rPr>
              <w:t>的</w:t>
            </w:r>
            <w:r w:rsidRPr="00A57F24">
              <w:rPr>
                <w:szCs w:val="22"/>
                <w:lang w:val="zh-CN" w:eastAsia="zh-CN"/>
              </w:rPr>
              <w:t>正副主席；</w:t>
            </w:r>
            <w:proofErr w:type="gramEnd"/>
          </w:p>
          <w:p w14:paraId="53E4F0A7" w14:textId="77777777" w:rsidR="00666DD6" w:rsidRPr="00A57F24" w:rsidRDefault="00666DD6" w:rsidP="006F59CB">
            <w:pPr>
              <w:pStyle w:val="Tabletext"/>
              <w:tabs>
                <w:tab w:val="clear" w:pos="284"/>
                <w:tab w:val="clear" w:pos="567"/>
                <w:tab w:val="left" w:pos="430"/>
                <w:tab w:val="left" w:pos="627"/>
              </w:tabs>
              <w:spacing w:after="0"/>
              <w:ind w:left="430" w:hanging="379"/>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roofErr w:type="gramEnd"/>
          </w:p>
          <w:p w14:paraId="33CA4446" w14:textId="6CD2AFA8" w:rsidR="0038260B" w:rsidRPr="007B10DD" w:rsidRDefault="00666DD6" w:rsidP="006F59CB">
            <w:pPr>
              <w:pStyle w:val="Tabletext"/>
              <w:tabs>
                <w:tab w:val="clear" w:pos="284"/>
                <w:tab w:val="clear" w:pos="567"/>
                <w:tab w:val="left" w:pos="430"/>
                <w:tab w:val="left" w:pos="627"/>
              </w:tabs>
              <w:spacing w:after="0"/>
              <w:ind w:left="430" w:hanging="379"/>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tr w:rsidR="00A65F1C" w:rsidRPr="003D69B8" w14:paraId="0F23BF50" w14:textId="77777777" w:rsidTr="00666DD6">
        <w:trPr>
          <w:cantSplit/>
          <w:trHeight w:val="221"/>
        </w:trPr>
        <w:tc>
          <w:tcPr>
            <w:tcW w:w="1134" w:type="dxa"/>
          </w:tcPr>
          <w:p w14:paraId="5DD65A8F" w14:textId="2811E218" w:rsidR="00A65F1C" w:rsidRPr="00CC327E" w:rsidRDefault="00A65F1C" w:rsidP="00A65F1C">
            <w:pPr>
              <w:pStyle w:val="Tabletext"/>
              <w:rPr>
                <w:rFonts w:cstheme="minorHAnsi"/>
                <w:szCs w:val="22"/>
              </w:rPr>
            </w:pPr>
            <w:proofErr w:type="spellStart"/>
            <w:r>
              <w:rPr>
                <w:color w:val="000000"/>
                <w:lang w:val="zh-CN"/>
              </w:rPr>
              <w:t>联系</w:t>
            </w:r>
            <w:r>
              <w:rPr>
                <w:rFonts w:hint="eastAsia"/>
                <w:color w:val="000000"/>
                <w:lang w:val="zh-CN"/>
              </w:rPr>
              <w:t>人</w:t>
            </w:r>
            <w:proofErr w:type="spellEnd"/>
            <w:r>
              <w:rPr>
                <w:color w:val="000000"/>
                <w:lang w:val="zh-CN"/>
              </w:rPr>
              <w:t>：</w:t>
            </w:r>
          </w:p>
        </w:tc>
        <w:tc>
          <w:tcPr>
            <w:tcW w:w="3686" w:type="dxa"/>
            <w:gridSpan w:val="2"/>
          </w:tcPr>
          <w:p w14:paraId="035D058E" w14:textId="511B818B" w:rsidR="00A65F1C" w:rsidRPr="002567FD" w:rsidRDefault="00A65F1C" w:rsidP="00A65F1C">
            <w:pPr>
              <w:pStyle w:val="Tabletext"/>
              <w:ind w:firstLine="23"/>
              <w:rPr>
                <w:rFonts w:cstheme="minorHAnsi"/>
                <w:bCs/>
                <w:szCs w:val="22"/>
              </w:rPr>
            </w:pPr>
            <w:r w:rsidRPr="002567FD">
              <w:rPr>
                <w:bCs/>
                <w:iCs/>
                <w:szCs w:val="22"/>
              </w:rPr>
              <w:t>Tatiana Kurakova</w:t>
            </w:r>
          </w:p>
        </w:tc>
        <w:tc>
          <w:tcPr>
            <w:tcW w:w="5245" w:type="dxa"/>
            <w:gridSpan w:val="2"/>
            <w:vMerge/>
          </w:tcPr>
          <w:p w14:paraId="22AAD7C1" w14:textId="77777777" w:rsidR="00A65F1C" w:rsidRPr="003D69B8" w:rsidRDefault="00A65F1C" w:rsidP="00A65F1C">
            <w:pPr>
              <w:pStyle w:val="Tabletext"/>
              <w:ind w:left="283" w:hanging="283"/>
              <w:rPr>
                <w:rFonts w:cstheme="minorHAnsi"/>
                <w:szCs w:val="22"/>
              </w:rPr>
            </w:pPr>
          </w:p>
        </w:tc>
      </w:tr>
      <w:bookmarkEnd w:id="0"/>
      <w:tr w:rsidR="001A4CEB" w:rsidRPr="003D69B8" w14:paraId="2419CB4B" w14:textId="77777777" w:rsidTr="00666DD6">
        <w:trPr>
          <w:cantSplit/>
          <w:trHeight w:val="221"/>
        </w:trPr>
        <w:tc>
          <w:tcPr>
            <w:tcW w:w="1134" w:type="dxa"/>
          </w:tcPr>
          <w:p w14:paraId="22993216" w14:textId="6F40941A" w:rsidR="001A4CEB" w:rsidRPr="003D69B8" w:rsidRDefault="001A4CEB" w:rsidP="001A4CEB">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6A233FF2" w14:textId="0B8BE034" w:rsidR="001A4CEB" w:rsidRPr="00983374" w:rsidRDefault="001A4CEB" w:rsidP="001A4CEB">
            <w:pPr>
              <w:pStyle w:val="Tabletext"/>
              <w:ind w:firstLine="23"/>
              <w:rPr>
                <w:lang w:eastAsia="zh-CN"/>
              </w:rPr>
            </w:pPr>
            <w:r w:rsidRPr="003C58BF">
              <w:rPr>
                <w:szCs w:val="22"/>
              </w:rPr>
              <w:t xml:space="preserve">+41 22 730 </w:t>
            </w:r>
            <w:r>
              <w:rPr>
                <w:szCs w:val="22"/>
              </w:rPr>
              <w:t>5126</w:t>
            </w:r>
          </w:p>
        </w:tc>
        <w:tc>
          <w:tcPr>
            <w:tcW w:w="5245" w:type="dxa"/>
            <w:gridSpan w:val="2"/>
            <w:vMerge/>
          </w:tcPr>
          <w:p w14:paraId="65590B77" w14:textId="77777777" w:rsidR="001A4CEB" w:rsidRPr="003D69B8" w:rsidRDefault="001A4CEB" w:rsidP="001A4CEB">
            <w:pPr>
              <w:pStyle w:val="Tabletext"/>
              <w:ind w:left="283" w:hanging="283"/>
              <w:rPr>
                <w:rFonts w:cstheme="minorHAnsi"/>
                <w:szCs w:val="22"/>
              </w:rPr>
            </w:pPr>
          </w:p>
        </w:tc>
      </w:tr>
      <w:tr w:rsidR="001A4CEB" w:rsidRPr="003D69B8" w14:paraId="029CC34E" w14:textId="77777777" w:rsidTr="00666DD6">
        <w:trPr>
          <w:cantSplit/>
          <w:trHeight w:val="282"/>
        </w:trPr>
        <w:tc>
          <w:tcPr>
            <w:tcW w:w="1134" w:type="dxa"/>
          </w:tcPr>
          <w:p w14:paraId="0C98C7C7" w14:textId="3C6543B7" w:rsidR="001A4CEB" w:rsidRPr="003D69B8" w:rsidRDefault="001A4CEB" w:rsidP="001A4CEB">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686" w:type="dxa"/>
            <w:gridSpan w:val="2"/>
          </w:tcPr>
          <w:p w14:paraId="5C34D45D" w14:textId="7109329A" w:rsidR="001A4CEB" w:rsidRPr="003D69B8" w:rsidRDefault="001A4CEB" w:rsidP="001A4CEB">
            <w:pPr>
              <w:pStyle w:val="Tabletext"/>
              <w:ind w:firstLine="23"/>
              <w:rPr>
                <w:rFonts w:cstheme="minorHAnsi"/>
                <w:b/>
                <w:szCs w:val="22"/>
              </w:rPr>
            </w:pPr>
            <w:r w:rsidRPr="003C58BF">
              <w:rPr>
                <w:szCs w:val="22"/>
              </w:rPr>
              <w:t>+41 22 730 5853</w:t>
            </w:r>
          </w:p>
        </w:tc>
        <w:tc>
          <w:tcPr>
            <w:tcW w:w="5245" w:type="dxa"/>
            <w:gridSpan w:val="2"/>
            <w:vMerge/>
          </w:tcPr>
          <w:p w14:paraId="71C3E107" w14:textId="77777777" w:rsidR="001A4CEB" w:rsidRPr="003D69B8" w:rsidRDefault="001A4CEB" w:rsidP="001A4CEB">
            <w:pPr>
              <w:pStyle w:val="Tabletext"/>
              <w:ind w:left="283" w:hanging="283"/>
              <w:rPr>
                <w:rFonts w:cstheme="minorHAnsi"/>
                <w:szCs w:val="22"/>
              </w:rPr>
            </w:pPr>
          </w:p>
        </w:tc>
      </w:tr>
      <w:tr w:rsidR="001A4CEB" w:rsidRPr="003D69B8" w14:paraId="23974B66" w14:textId="77777777" w:rsidTr="00666DD6">
        <w:trPr>
          <w:cantSplit/>
          <w:trHeight w:val="376"/>
        </w:trPr>
        <w:tc>
          <w:tcPr>
            <w:tcW w:w="1134" w:type="dxa"/>
          </w:tcPr>
          <w:p w14:paraId="52FD4141" w14:textId="6134BBA6" w:rsidR="001A4CEB" w:rsidRPr="003D69B8" w:rsidRDefault="001A4CEB" w:rsidP="001A4CE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58BD441D" w14:textId="04046085" w:rsidR="001A4CEB" w:rsidRPr="003D69B8" w:rsidRDefault="001A4CEB" w:rsidP="001A4CEB">
            <w:pPr>
              <w:pStyle w:val="Tabletext"/>
              <w:ind w:firstLine="23"/>
              <w:rPr>
                <w:rFonts w:cstheme="minorHAnsi"/>
                <w:szCs w:val="22"/>
              </w:rPr>
            </w:pPr>
            <w:hyperlink r:id="rId12" w:history="1">
              <w:r w:rsidRPr="003C58BF">
                <w:rPr>
                  <w:rStyle w:val="Hyperlink"/>
                  <w:szCs w:val="22"/>
                </w:rPr>
                <w:t>tsbevents@itu.int</w:t>
              </w:r>
            </w:hyperlink>
          </w:p>
        </w:tc>
        <w:tc>
          <w:tcPr>
            <w:tcW w:w="5245" w:type="dxa"/>
            <w:gridSpan w:val="2"/>
            <w:vMerge/>
          </w:tcPr>
          <w:p w14:paraId="6FEAF3C9" w14:textId="77777777" w:rsidR="001A4CEB" w:rsidRPr="003D69B8" w:rsidRDefault="001A4CEB" w:rsidP="001A4CEB">
            <w:pPr>
              <w:pStyle w:val="Tabletext"/>
              <w:ind w:left="283" w:hanging="283"/>
              <w:rPr>
                <w:rFonts w:cstheme="minorHAnsi"/>
                <w:szCs w:val="22"/>
              </w:rPr>
            </w:pPr>
          </w:p>
        </w:tc>
      </w:tr>
      <w:tr w:rsidR="001A4CEB" w:rsidRPr="003D69B8" w14:paraId="130ED457" w14:textId="77777777" w:rsidTr="001A4CEB">
        <w:trPr>
          <w:cantSplit/>
          <w:trHeight w:val="1528"/>
        </w:trPr>
        <w:tc>
          <w:tcPr>
            <w:tcW w:w="1134" w:type="dxa"/>
          </w:tcPr>
          <w:p w14:paraId="7E3458C0" w14:textId="6C271922" w:rsidR="001A4CEB" w:rsidRPr="003D69B8" w:rsidRDefault="001A4CEB" w:rsidP="001A4CEB">
            <w:pPr>
              <w:pStyle w:val="Tabletext"/>
              <w:rPr>
                <w:rFonts w:cstheme="minorHAnsi"/>
                <w:szCs w:val="22"/>
              </w:rPr>
            </w:pPr>
          </w:p>
        </w:tc>
        <w:tc>
          <w:tcPr>
            <w:tcW w:w="3686" w:type="dxa"/>
            <w:gridSpan w:val="2"/>
          </w:tcPr>
          <w:p w14:paraId="393DAFA4" w14:textId="413F217A" w:rsidR="001A4CEB" w:rsidRPr="003D69B8" w:rsidRDefault="001A4CEB" w:rsidP="001A4CEB">
            <w:pPr>
              <w:pStyle w:val="Tabletext"/>
              <w:ind w:firstLine="23"/>
              <w:rPr>
                <w:rFonts w:cstheme="minorHAnsi"/>
                <w:szCs w:val="22"/>
              </w:rPr>
            </w:pPr>
          </w:p>
        </w:tc>
        <w:tc>
          <w:tcPr>
            <w:tcW w:w="5245" w:type="dxa"/>
            <w:gridSpan w:val="2"/>
            <w:vMerge/>
          </w:tcPr>
          <w:p w14:paraId="0E880404" w14:textId="77777777" w:rsidR="001A4CEB" w:rsidRPr="003D69B8" w:rsidRDefault="001A4CEB" w:rsidP="001A4CEB">
            <w:pPr>
              <w:pStyle w:val="Tabletext"/>
              <w:rPr>
                <w:rFonts w:cstheme="minorHAnsi"/>
                <w:szCs w:val="22"/>
              </w:rPr>
            </w:pPr>
          </w:p>
        </w:tc>
      </w:tr>
      <w:tr w:rsidR="001A4CEB" w:rsidRPr="003D69B8" w14:paraId="3E9014C4" w14:textId="77777777" w:rsidTr="00666DD6">
        <w:trPr>
          <w:cantSplit/>
          <w:trHeight w:val="340"/>
        </w:trPr>
        <w:tc>
          <w:tcPr>
            <w:tcW w:w="1134" w:type="dxa"/>
          </w:tcPr>
          <w:p w14:paraId="3AF4BAA3" w14:textId="688C0E82" w:rsidR="001A4CEB" w:rsidRPr="00A86797" w:rsidRDefault="001A4CEB" w:rsidP="001A4CEB">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60D0F9E4" w:rsidR="001A4CEB" w:rsidRPr="005F1929" w:rsidRDefault="001A4CEB" w:rsidP="001A4CEB">
            <w:pPr>
              <w:pStyle w:val="Tabletext"/>
              <w:spacing w:before="120" w:after="0"/>
              <w:ind w:firstLine="37"/>
              <w:rPr>
                <w:rFonts w:cstheme="minorHAnsi"/>
                <w:b/>
                <w:bCs/>
                <w:szCs w:val="22"/>
                <w:lang w:eastAsia="zh-CN"/>
              </w:rPr>
            </w:pPr>
            <w:r w:rsidRPr="003C41CE">
              <w:rPr>
                <w:rFonts w:hint="eastAsia"/>
                <w:b/>
                <w:bCs/>
                <w:color w:val="000000"/>
                <w:lang w:val="zh-CN" w:eastAsia="zh-CN"/>
              </w:rPr>
              <w:t>欧洲电信标准协会</w:t>
            </w:r>
            <w:r>
              <w:rPr>
                <w:rFonts w:hint="eastAsia"/>
                <w:b/>
                <w:bCs/>
                <w:color w:val="000000"/>
                <w:lang w:val="zh-CN" w:eastAsia="zh-CN"/>
              </w:rPr>
              <w:t xml:space="preserve"> </w:t>
            </w:r>
            <w:r w:rsidRPr="001A4CEB">
              <w:rPr>
                <w:b/>
                <w:bCs/>
                <w:color w:val="000000"/>
                <w:lang w:val="zh-CN" w:eastAsia="zh-CN"/>
              </w:rPr>
              <w:t>–</w:t>
            </w:r>
            <w:r>
              <w:rPr>
                <w:rFonts w:hint="eastAsia"/>
                <w:b/>
                <w:bCs/>
                <w:color w:val="000000"/>
                <w:lang w:val="zh-CN" w:eastAsia="zh-CN"/>
              </w:rPr>
              <w:t xml:space="preserve"> </w:t>
            </w:r>
            <w:r w:rsidRPr="003C41CE">
              <w:rPr>
                <w:rFonts w:hint="eastAsia"/>
                <w:b/>
                <w:bCs/>
                <w:color w:val="000000"/>
                <w:lang w:val="zh-CN" w:eastAsia="zh-CN"/>
              </w:rPr>
              <w:t>行业规范组</w:t>
            </w:r>
            <w:r>
              <w:rPr>
                <w:rFonts w:hint="eastAsia"/>
                <w:b/>
                <w:bCs/>
                <w:color w:val="000000"/>
                <w:lang w:val="zh-CN" w:eastAsia="zh-CN"/>
              </w:rPr>
              <w:t xml:space="preserve"> </w:t>
            </w:r>
            <w:r w:rsidRPr="001A4CEB">
              <w:rPr>
                <w:b/>
                <w:bCs/>
                <w:color w:val="000000"/>
                <w:lang w:val="zh-CN" w:eastAsia="zh-CN"/>
              </w:rPr>
              <w:t>–</w:t>
            </w:r>
            <w:r>
              <w:rPr>
                <w:rFonts w:hint="eastAsia"/>
                <w:b/>
                <w:bCs/>
                <w:color w:val="000000"/>
                <w:lang w:val="zh-CN" w:eastAsia="zh-CN"/>
              </w:rPr>
              <w:t xml:space="preserve"> </w:t>
            </w:r>
            <w:r w:rsidRPr="003C41CE">
              <w:rPr>
                <w:rFonts w:hint="eastAsia"/>
                <w:b/>
                <w:bCs/>
                <w:color w:val="000000"/>
                <w:lang w:val="zh-CN" w:eastAsia="zh-CN"/>
              </w:rPr>
              <w:t>网络功能虚拟化（</w:t>
            </w:r>
            <w:r w:rsidRPr="003C41CE">
              <w:rPr>
                <w:rFonts w:hint="eastAsia"/>
                <w:b/>
                <w:bCs/>
                <w:color w:val="000000"/>
                <w:lang w:val="zh-CN" w:eastAsia="zh-CN"/>
              </w:rPr>
              <w:t>ETSI ISG NFV</w:t>
            </w:r>
            <w:r w:rsidRPr="003C41CE">
              <w:rPr>
                <w:rFonts w:hint="eastAsia"/>
                <w:b/>
                <w:bCs/>
                <w:color w:val="000000"/>
                <w:lang w:val="zh-CN" w:eastAsia="zh-CN"/>
              </w:rPr>
              <w:t>）</w:t>
            </w:r>
            <w:r>
              <w:rPr>
                <w:rFonts w:hint="eastAsia"/>
                <w:b/>
                <w:bCs/>
                <w:color w:val="000000"/>
                <w:lang w:val="zh-CN" w:eastAsia="zh-CN"/>
              </w:rPr>
              <w:t>机构</w:t>
            </w:r>
            <w:r>
              <w:rPr>
                <w:b/>
                <w:bCs/>
                <w:color w:val="000000"/>
                <w:lang w:val="zh-CN" w:eastAsia="zh-CN"/>
              </w:rPr>
              <w:t>和</w:t>
            </w:r>
            <w:r>
              <w:rPr>
                <w:b/>
                <w:bCs/>
                <w:color w:val="000000"/>
                <w:lang w:val="zh-CN" w:eastAsia="zh-CN"/>
              </w:rPr>
              <w:t>ITU-T</w:t>
            </w:r>
            <w:r>
              <w:rPr>
                <w:rFonts w:hint="eastAsia"/>
                <w:b/>
                <w:bCs/>
                <w:color w:val="000000"/>
                <w:lang w:val="zh-CN" w:eastAsia="zh-CN"/>
              </w:rPr>
              <w:t>第</w:t>
            </w:r>
            <w:r>
              <w:rPr>
                <w:b/>
                <w:bCs/>
                <w:color w:val="000000"/>
                <w:lang w:val="zh-CN" w:eastAsia="zh-CN"/>
              </w:rPr>
              <w:t>13</w:t>
            </w:r>
            <w:r>
              <w:rPr>
                <w:rFonts w:hint="eastAsia"/>
                <w:b/>
                <w:bCs/>
                <w:color w:val="000000"/>
                <w:lang w:val="zh-CN" w:eastAsia="zh-CN"/>
              </w:rPr>
              <w:t>研究组</w:t>
            </w:r>
            <w:r>
              <w:rPr>
                <w:b/>
                <w:bCs/>
                <w:color w:val="000000"/>
                <w:lang w:val="zh-CN" w:eastAsia="zh-CN"/>
              </w:rPr>
              <w:t>联合举办的</w:t>
            </w:r>
            <w:r>
              <w:rPr>
                <w:rFonts w:hint="eastAsia"/>
                <w:b/>
                <w:bCs/>
                <w:color w:val="000000"/>
                <w:lang w:val="zh-CN" w:eastAsia="zh-CN"/>
              </w:rPr>
              <w:t>“</w:t>
            </w:r>
            <w:r>
              <w:rPr>
                <w:b/>
                <w:bCs/>
                <w:color w:val="000000"/>
                <w:lang w:val="zh-CN" w:eastAsia="zh-CN"/>
              </w:rPr>
              <w:t>人工智能促成的网络演进：面向电信未来的云原生和人工智能创新</w:t>
            </w:r>
            <w:r>
              <w:rPr>
                <w:rFonts w:hint="eastAsia"/>
                <w:b/>
                <w:bCs/>
                <w:color w:val="000000"/>
                <w:lang w:val="zh-CN" w:eastAsia="zh-CN"/>
              </w:rPr>
              <w:t>”</w:t>
            </w:r>
            <w:r>
              <w:rPr>
                <w:b/>
                <w:bCs/>
                <w:color w:val="000000"/>
                <w:lang w:val="zh-CN" w:eastAsia="zh-CN"/>
              </w:rPr>
              <w:t>讲习班（</w:t>
            </w:r>
            <w:r>
              <w:rPr>
                <w:b/>
                <w:bCs/>
                <w:color w:val="000000"/>
                <w:lang w:val="zh-CN" w:eastAsia="zh-CN"/>
              </w:rPr>
              <w:t>2026</w:t>
            </w:r>
            <w:r>
              <w:rPr>
                <w:b/>
                <w:bCs/>
                <w:color w:val="000000"/>
                <w:lang w:val="zh-CN" w:eastAsia="zh-CN"/>
              </w:rPr>
              <w:t>年</w:t>
            </w:r>
            <w:r>
              <w:rPr>
                <w:b/>
                <w:bCs/>
                <w:color w:val="000000"/>
                <w:lang w:val="zh-CN" w:eastAsia="zh-CN"/>
              </w:rPr>
              <w:t>6</w:t>
            </w:r>
            <w:r>
              <w:rPr>
                <w:b/>
                <w:bCs/>
                <w:color w:val="000000"/>
                <w:lang w:val="zh-CN" w:eastAsia="zh-CN"/>
              </w:rPr>
              <w:t>月</w:t>
            </w:r>
            <w:r>
              <w:rPr>
                <w:b/>
                <w:bCs/>
                <w:color w:val="000000"/>
                <w:lang w:val="zh-CN" w:eastAsia="zh-CN"/>
              </w:rPr>
              <w:t>24</w:t>
            </w:r>
            <w:r>
              <w:rPr>
                <w:b/>
                <w:bCs/>
                <w:color w:val="000000"/>
                <w:lang w:val="zh-CN" w:eastAsia="zh-CN"/>
              </w:rPr>
              <w:t>日，瑞士日内瓦）</w:t>
            </w:r>
          </w:p>
        </w:tc>
      </w:tr>
    </w:tbl>
    <w:p w14:paraId="77290EF7" w14:textId="77777777" w:rsidR="00BD2921" w:rsidRPr="00BD2921" w:rsidRDefault="00BD2921" w:rsidP="00BD2921">
      <w:pPr>
        <w:spacing w:before="240"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5D67C22C" w14:textId="77777777" w:rsidR="00BF2DBA" w:rsidRDefault="00BF2DBA" w:rsidP="00BF2DBA">
      <w:pPr>
        <w:pStyle w:val="Normalaftertitle0"/>
        <w:spacing w:before="0"/>
        <w:rPr>
          <w:rFonts w:ascii="Calibri" w:eastAsiaTheme="majorEastAsia" w:hAnsi="Calibri" w:cs="Calibri"/>
          <w:color w:val="000000"/>
          <w:szCs w:val="22"/>
          <w:shd w:val="clear" w:color="auto" w:fill="FFFFFF"/>
          <w:lang w:eastAsia="zh-CN"/>
        </w:rPr>
      </w:pPr>
      <w:r>
        <w:rPr>
          <w:lang w:val="zh-CN" w:eastAsia="zh-CN"/>
        </w:rPr>
        <w:t>1</w:t>
      </w:r>
      <w:r>
        <w:rPr>
          <w:lang w:val="zh-CN" w:eastAsia="zh-CN"/>
        </w:rPr>
        <w:tab/>
      </w:r>
      <w:r>
        <w:rPr>
          <w:lang w:val="zh-CN" w:eastAsia="zh-CN"/>
        </w:rPr>
        <w:t>我很高兴邀请您参加由国际电信联盟（</w:t>
      </w:r>
      <w:r>
        <w:rPr>
          <w:lang w:val="zh-CN" w:eastAsia="zh-CN"/>
        </w:rPr>
        <w:t>ITU</w:t>
      </w:r>
      <w:r>
        <w:rPr>
          <w:lang w:val="zh-CN" w:eastAsia="zh-CN"/>
        </w:rPr>
        <w:t>）第</w:t>
      </w:r>
      <w:r>
        <w:rPr>
          <w:lang w:val="zh-CN" w:eastAsia="zh-CN"/>
        </w:rPr>
        <w:t>13</w:t>
      </w:r>
      <w:r>
        <w:rPr>
          <w:lang w:val="zh-CN" w:eastAsia="zh-CN"/>
        </w:rPr>
        <w:t>研究组（</w:t>
      </w:r>
      <w:r>
        <w:rPr>
          <w:lang w:val="zh-CN" w:eastAsia="zh-CN"/>
        </w:rPr>
        <w:t>SG13</w:t>
      </w:r>
      <w:r>
        <w:rPr>
          <w:lang w:val="zh-CN" w:eastAsia="zh-CN"/>
        </w:rPr>
        <w:t>）和欧洲电信标准协会</w:t>
      </w:r>
      <w:r>
        <w:rPr>
          <w:lang w:val="zh-CN" w:eastAsia="zh-CN"/>
        </w:rPr>
        <w:t xml:space="preserve"> – </w:t>
      </w:r>
      <w:r>
        <w:rPr>
          <w:lang w:val="zh-CN" w:eastAsia="zh-CN"/>
        </w:rPr>
        <w:t>行业规范组</w:t>
      </w:r>
      <w:r>
        <w:rPr>
          <w:lang w:val="zh-CN" w:eastAsia="zh-CN"/>
        </w:rPr>
        <w:t xml:space="preserve"> – </w:t>
      </w:r>
      <w:r>
        <w:rPr>
          <w:lang w:val="zh-CN" w:eastAsia="zh-CN"/>
        </w:rPr>
        <w:t>网络功能虚拟化（</w:t>
      </w:r>
      <w:r>
        <w:rPr>
          <w:lang w:val="zh-CN" w:eastAsia="zh-CN"/>
        </w:rPr>
        <w:t>ETSI ISG NFV</w:t>
      </w:r>
      <w:r>
        <w:rPr>
          <w:lang w:val="zh-CN" w:eastAsia="zh-CN"/>
        </w:rPr>
        <w:t>）</w:t>
      </w:r>
      <w:r>
        <w:rPr>
          <w:rFonts w:hint="eastAsia"/>
          <w:lang w:val="zh-CN" w:eastAsia="zh-CN"/>
        </w:rPr>
        <w:t>机构</w:t>
      </w:r>
      <w:r>
        <w:rPr>
          <w:lang w:val="zh-CN" w:eastAsia="zh-CN"/>
        </w:rPr>
        <w:t>联合组织的讲习班，</w:t>
      </w:r>
      <w:r>
        <w:rPr>
          <w:rFonts w:hint="eastAsia"/>
          <w:lang w:val="zh-CN" w:eastAsia="zh-CN"/>
        </w:rPr>
        <w:t>该讲习班的主题</w:t>
      </w:r>
      <w:r>
        <w:rPr>
          <w:lang w:val="zh-CN" w:eastAsia="zh-CN"/>
        </w:rPr>
        <w:t>为</w:t>
      </w:r>
      <w:r w:rsidRPr="001A4CEB">
        <w:rPr>
          <w:rFonts w:hint="eastAsia"/>
          <w:b/>
          <w:bCs/>
          <w:lang w:val="zh-CN" w:eastAsia="zh-CN"/>
        </w:rPr>
        <w:t>“人工智能促成的网络演进：面向电信未来的云原生和人工智能创新”</w:t>
      </w:r>
      <w:r>
        <w:rPr>
          <w:rFonts w:hint="eastAsia"/>
          <w:lang w:val="zh-CN" w:eastAsia="zh-CN"/>
        </w:rPr>
        <w:t>。</w:t>
      </w:r>
      <w:r>
        <w:rPr>
          <w:lang w:val="zh-CN" w:eastAsia="zh-CN"/>
        </w:rPr>
        <w:t>讲习班将</w:t>
      </w:r>
      <w:r>
        <w:rPr>
          <w:rFonts w:hint="eastAsia"/>
          <w:lang w:val="zh-CN" w:eastAsia="zh-CN"/>
        </w:rPr>
        <w:t>于</w:t>
      </w:r>
      <w:r w:rsidRPr="00702E36">
        <w:rPr>
          <w:b/>
          <w:bCs/>
          <w:lang w:val="zh-CN" w:eastAsia="zh-CN"/>
        </w:rPr>
        <w:t>2026</w:t>
      </w:r>
      <w:r w:rsidRPr="00702E36">
        <w:rPr>
          <w:b/>
          <w:bCs/>
          <w:lang w:val="zh-CN" w:eastAsia="zh-CN"/>
        </w:rPr>
        <w:t>年</w:t>
      </w:r>
      <w:r w:rsidRPr="00702E36">
        <w:rPr>
          <w:b/>
          <w:bCs/>
          <w:lang w:val="zh-CN" w:eastAsia="zh-CN"/>
        </w:rPr>
        <w:t>6</w:t>
      </w:r>
      <w:r w:rsidRPr="00702E36">
        <w:rPr>
          <w:b/>
          <w:bCs/>
          <w:lang w:val="zh-CN" w:eastAsia="zh-CN"/>
        </w:rPr>
        <w:t>月</w:t>
      </w:r>
      <w:r w:rsidRPr="00702E36">
        <w:rPr>
          <w:b/>
          <w:bCs/>
          <w:lang w:val="zh-CN" w:eastAsia="zh-CN"/>
        </w:rPr>
        <w:t>24</w:t>
      </w:r>
      <w:r w:rsidRPr="00702E36">
        <w:rPr>
          <w:b/>
          <w:bCs/>
          <w:lang w:val="zh-CN" w:eastAsia="zh-CN"/>
        </w:rPr>
        <w:t>日，</w:t>
      </w:r>
      <w:r w:rsidRPr="00702E36">
        <w:rPr>
          <w:b/>
          <w:bCs/>
          <w:lang w:val="zh-CN" w:eastAsia="zh-CN"/>
        </w:rPr>
        <w:t>09</w:t>
      </w:r>
      <w:r w:rsidRPr="00702E36">
        <w:rPr>
          <w:rFonts w:hint="eastAsia"/>
          <w:b/>
          <w:bCs/>
          <w:lang w:val="zh-CN" w:eastAsia="zh-CN"/>
        </w:rPr>
        <w:t>:</w:t>
      </w:r>
      <w:r w:rsidRPr="00702E36">
        <w:rPr>
          <w:b/>
          <w:bCs/>
          <w:lang w:val="zh-CN" w:eastAsia="zh-CN"/>
        </w:rPr>
        <w:t>30-11</w:t>
      </w:r>
      <w:r w:rsidRPr="00702E36">
        <w:rPr>
          <w:rFonts w:hint="eastAsia"/>
          <w:b/>
          <w:bCs/>
          <w:lang w:val="zh-CN" w:eastAsia="zh-CN"/>
        </w:rPr>
        <w:t>:</w:t>
      </w:r>
      <w:r w:rsidRPr="00702E36">
        <w:rPr>
          <w:b/>
          <w:bCs/>
          <w:lang w:val="zh-CN" w:eastAsia="zh-CN"/>
        </w:rPr>
        <w:t>30</w:t>
      </w:r>
      <w:r w:rsidRPr="00702E36">
        <w:rPr>
          <w:b/>
          <w:bCs/>
          <w:lang w:val="zh-CN" w:eastAsia="zh-CN"/>
        </w:rPr>
        <w:t>（中欧夏令时）</w:t>
      </w:r>
      <w:r>
        <w:rPr>
          <w:lang w:val="zh-CN" w:eastAsia="zh-CN"/>
        </w:rPr>
        <w:t>在国际电联瑞士日内瓦总部举</w:t>
      </w:r>
      <w:r>
        <w:rPr>
          <w:rFonts w:hint="eastAsia"/>
          <w:lang w:val="zh-CN" w:eastAsia="zh-CN"/>
        </w:rPr>
        <w:t>办</w:t>
      </w:r>
      <w:r>
        <w:rPr>
          <w:lang w:val="zh-CN" w:eastAsia="zh-CN"/>
        </w:rPr>
        <w:t>。</w:t>
      </w:r>
    </w:p>
    <w:p w14:paraId="709103CC" w14:textId="0E31AE9D" w:rsidR="00BF2DBA" w:rsidRDefault="00BF2DBA" w:rsidP="00BF2DBA">
      <w:pPr>
        <w:tabs>
          <w:tab w:val="left" w:pos="900"/>
        </w:tabs>
        <w:rPr>
          <w:szCs w:val="22"/>
          <w:lang w:eastAsia="zh-CN"/>
        </w:rPr>
      </w:pPr>
      <w:r>
        <w:rPr>
          <w:lang w:val="zh-CN" w:eastAsia="zh-CN"/>
        </w:rPr>
        <w:t>2</w:t>
      </w:r>
      <w:r>
        <w:rPr>
          <w:lang w:val="zh-CN" w:eastAsia="zh-CN"/>
        </w:rPr>
        <w:tab/>
      </w:r>
      <w:r>
        <w:rPr>
          <w:lang w:val="zh-CN" w:eastAsia="zh-CN"/>
        </w:rPr>
        <w:t>该讲习班将与</w:t>
      </w:r>
      <w:r>
        <w:rPr>
          <w:lang w:val="zh-CN" w:eastAsia="zh-CN"/>
        </w:rPr>
        <w:t>2026</w:t>
      </w:r>
      <w:r>
        <w:rPr>
          <w:lang w:val="zh-CN" w:eastAsia="zh-CN"/>
        </w:rPr>
        <w:t>年</w:t>
      </w:r>
      <w:r>
        <w:rPr>
          <w:lang w:val="zh-CN" w:eastAsia="zh-CN"/>
        </w:rPr>
        <w:t>6</w:t>
      </w:r>
      <w:r>
        <w:rPr>
          <w:lang w:val="zh-CN" w:eastAsia="zh-CN"/>
        </w:rPr>
        <w:t>月</w:t>
      </w:r>
      <w:r>
        <w:rPr>
          <w:lang w:val="zh-CN" w:eastAsia="zh-CN"/>
        </w:rPr>
        <w:t>23</w:t>
      </w:r>
      <w:r>
        <w:rPr>
          <w:lang w:val="zh-CN" w:eastAsia="zh-CN"/>
        </w:rPr>
        <w:t>日至</w:t>
      </w:r>
      <w:r>
        <w:rPr>
          <w:lang w:val="zh-CN" w:eastAsia="zh-CN"/>
        </w:rPr>
        <w:t>7</w:t>
      </w:r>
      <w:r>
        <w:rPr>
          <w:lang w:val="zh-CN" w:eastAsia="zh-CN"/>
        </w:rPr>
        <w:t>月</w:t>
      </w:r>
      <w:r>
        <w:rPr>
          <w:lang w:val="zh-CN" w:eastAsia="zh-CN"/>
        </w:rPr>
        <w:t>2</w:t>
      </w:r>
      <w:r>
        <w:rPr>
          <w:lang w:val="zh-CN" w:eastAsia="zh-CN"/>
        </w:rPr>
        <w:t>日在同一地点举行的</w:t>
      </w:r>
      <w:r>
        <w:rPr>
          <w:lang w:val="zh-CN" w:eastAsia="zh-CN"/>
        </w:rPr>
        <w:t>ITU-T</w:t>
      </w:r>
      <w:r>
        <w:rPr>
          <w:lang w:val="zh-CN" w:eastAsia="zh-CN"/>
        </w:rPr>
        <w:t>第</w:t>
      </w:r>
      <w:r>
        <w:rPr>
          <w:lang w:val="zh-CN" w:eastAsia="zh-CN"/>
        </w:rPr>
        <w:t>13</w:t>
      </w:r>
      <w:r>
        <w:rPr>
          <w:lang w:val="zh-CN" w:eastAsia="zh-CN"/>
        </w:rPr>
        <w:t>研究组会议同时举行。有关第</w:t>
      </w:r>
      <w:r>
        <w:rPr>
          <w:lang w:val="zh-CN" w:eastAsia="zh-CN"/>
        </w:rPr>
        <w:t>13</w:t>
      </w:r>
      <w:r>
        <w:rPr>
          <w:lang w:val="zh-CN" w:eastAsia="zh-CN"/>
        </w:rPr>
        <w:t>研究组活动的更多详情见主页：</w:t>
      </w:r>
      <w:hyperlink r:id="rId13" w:history="1">
        <w:r w:rsidRPr="001A4CEB">
          <w:rPr>
            <w:rStyle w:val="Hyperlink"/>
            <w:lang w:val="zh-CN" w:eastAsia="zh-CN"/>
          </w:rPr>
          <w:t>https://itu.in</w:t>
        </w:r>
        <w:r w:rsidRPr="001A4CEB">
          <w:rPr>
            <w:rStyle w:val="Hyperlink"/>
            <w:lang w:val="zh-CN" w:eastAsia="zh-CN"/>
          </w:rPr>
          <w:t>t</w:t>
        </w:r>
        <w:r w:rsidRPr="001A4CEB">
          <w:rPr>
            <w:rStyle w:val="Hyperlink"/>
            <w:lang w:val="zh-CN" w:eastAsia="zh-CN"/>
          </w:rPr>
          <w:t>/go/tsg13</w:t>
        </w:r>
      </w:hyperlink>
      <w:r>
        <w:rPr>
          <w:lang w:val="zh-CN" w:eastAsia="zh-CN"/>
        </w:rPr>
        <w:t>。请注意，每项活动均需单独注册。</w:t>
      </w:r>
      <w:hyperlink r:id="rId14" w:history="1"/>
    </w:p>
    <w:p w14:paraId="064BA5F2" w14:textId="77777777" w:rsidR="00BF2DBA" w:rsidRPr="00547120" w:rsidRDefault="00BF2DBA" w:rsidP="00BF2DBA">
      <w:pPr>
        <w:rPr>
          <w:szCs w:val="22"/>
          <w:lang w:eastAsia="zh-CN"/>
        </w:rPr>
      </w:pPr>
      <w:r>
        <w:rPr>
          <w:lang w:val="zh-CN" w:eastAsia="zh-CN"/>
        </w:rPr>
        <w:t>3</w:t>
      </w:r>
      <w:r>
        <w:rPr>
          <w:lang w:val="zh-CN" w:eastAsia="zh-CN"/>
        </w:rPr>
        <w:tab/>
      </w:r>
      <w:r>
        <w:rPr>
          <w:lang w:val="zh-CN" w:eastAsia="zh-CN"/>
        </w:rPr>
        <w:t>本次讲习班将</w:t>
      </w:r>
      <w:r>
        <w:rPr>
          <w:rFonts w:hint="eastAsia"/>
          <w:lang w:val="zh-CN" w:eastAsia="zh-CN"/>
        </w:rPr>
        <w:t>为与会者</w:t>
      </w:r>
      <w:r>
        <w:rPr>
          <w:lang w:val="zh-CN" w:eastAsia="zh-CN"/>
        </w:rPr>
        <w:t>提供一个机会，</w:t>
      </w:r>
      <w:r>
        <w:rPr>
          <w:rFonts w:hint="eastAsia"/>
          <w:lang w:val="zh-CN" w:eastAsia="zh-CN"/>
        </w:rPr>
        <w:t>请他们共同</w:t>
      </w:r>
      <w:r>
        <w:rPr>
          <w:lang w:val="zh-CN" w:eastAsia="zh-CN"/>
        </w:rPr>
        <w:t>讨论电信业务现代网络架构、云技术和人工智能驱动型创新的发展前景。讲习班的重点与第</w:t>
      </w:r>
      <w:r>
        <w:rPr>
          <w:lang w:val="zh-CN" w:eastAsia="zh-CN"/>
        </w:rPr>
        <w:t>13</w:t>
      </w:r>
      <w:r>
        <w:rPr>
          <w:lang w:val="zh-CN" w:eastAsia="zh-CN"/>
        </w:rPr>
        <w:t>研究组的战略方向保持一致，</w:t>
      </w:r>
      <w:r>
        <w:rPr>
          <w:rFonts w:hint="eastAsia"/>
          <w:lang w:val="zh-CN" w:eastAsia="zh-CN"/>
        </w:rPr>
        <w:t>内容涉及</w:t>
      </w:r>
      <w:r>
        <w:rPr>
          <w:lang w:val="zh-CN" w:eastAsia="zh-CN"/>
        </w:rPr>
        <w:t>人工智能、网络软件化和新兴网络，以及</w:t>
      </w:r>
      <w:r>
        <w:rPr>
          <w:lang w:val="zh-CN" w:eastAsia="zh-CN"/>
        </w:rPr>
        <w:t>ETSI NFV</w:t>
      </w:r>
      <w:r>
        <w:rPr>
          <w:lang w:val="zh-CN" w:eastAsia="zh-CN"/>
        </w:rPr>
        <w:t>在电信云架构、网络功能编排以及云原生和人工智能演进方面的重点工作。本次讲习班将立足于</w:t>
      </w:r>
      <w:r>
        <w:rPr>
          <w:lang w:val="zh-CN" w:eastAsia="zh-CN"/>
        </w:rPr>
        <w:t>AI</w:t>
      </w:r>
      <w:r>
        <w:rPr>
          <w:lang w:val="zh-CN" w:eastAsia="zh-CN"/>
        </w:rPr>
        <w:t>与电信云</w:t>
      </w:r>
      <w:r>
        <w:rPr>
          <w:lang w:val="zh-CN" w:eastAsia="zh-CN"/>
        </w:rPr>
        <w:t>/NFV</w:t>
      </w:r>
      <w:r>
        <w:rPr>
          <w:lang w:val="zh-CN" w:eastAsia="zh-CN"/>
        </w:rPr>
        <w:t>深度融合的背景，探索人工智能驱动网络转型的标准化进展和</w:t>
      </w:r>
      <w:r w:rsidRPr="00547120">
        <w:rPr>
          <w:lang w:val="zh-CN" w:eastAsia="zh-CN"/>
        </w:rPr>
        <w:t>行业实践。</w:t>
      </w:r>
    </w:p>
    <w:p w14:paraId="1F29D9B5" w14:textId="77777777" w:rsidR="00BF2DBA" w:rsidRPr="000820DA" w:rsidRDefault="00BF2DBA" w:rsidP="001A4CEB">
      <w:pPr>
        <w:ind w:firstLineChars="200" w:firstLine="440"/>
        <w:rPr>
          <w:lang w:eastAsia="zh-CN"/>
        </w:rPr>
      </w:pPr>
      <w:r w:rsidRPr="00547120">
        <w:rPr>
          <w:lang w:val="zh-CN" w:eastAsia="zh-CN"/>
        </w:rPr>
        <w:t>本次讲习班的一个主要目标是通过</w:t>
      </w:r>
      <w:r w:rsidRPr="00547120">
        <w:rPr>
          <w:lang w:val="zh-CN" w:eastAsia="zh-CN"/>
        </w:rPr>
        <w:t>ITU-T</w:t>
      </w:r>
      <w:r w:rsidRPr="00547120">
        <w:rPr>
          <w:lang w:val="zh-CN" w:eastAsia="zh-CN"/>
        </w:rPr>
        <w:t>第</w:t>
      </w:r>
      <w:r w:rsidRPr="00547120">
        <w:rPr>
          <w:lang w:val="zh-CN" w:eastAsia="zh-CN"/>
        </w:rPr>
        <w:t>13</w:t>
      </w:r>
      <w:r w:rsidRPr="00547120">
        <w:rPr>
          <w:lang w:val="zh-CN" w:eastAsia="zh-CN"/>
        </w:rPr>
        <w:t>研究组和</w:t>
      </w:r>
      <w:r w:rsidRPr="00547120">
        <w:rPr>
          <w:lang w:val="zh-CN" w:eastAsia="zh-CN"/>
        </w:rPr>
        <w:t>ETSI NFV ISG</w:t>
      </w:r>
      <w:r w:rsidRPr="00547120">
        <w:rPr>
          <w:lang w:val="zh-CN" w:eastAsia="zh-CN"/>
        </w:rPr>
        <w:t>之间就标准化议题交换意见，以及</w:t>
      </w:r>
      <w:r>
        <w:rPr>
          <w:rFonts w:hint="eastAsia"/>
          <w:lang w:val="zh-CN" w:eastAsia="zh-CN"/>
        </w:rPr>
        <w:t>共同</w:t>
      </w:r>
      <w:r w:rsidRPr="00547120">
        <w:rPr>
          <w:lang w:val="zh-CN" w:eastAsia="zh-CN"/>
        </w:rPr>
        <w:t>调查行业解决方案和最佳做法，进一步加强核心技术标准制定方面的协作和协同，并深入研究智能和云原生电信演进的道路。</w:t>
      </w:r>
    </w:p>
    <w:p w14:paraId="2391AF5A" w14:textId="77777777" w:rsidR="00BF2DBA" w:rsidRPr="000820DA" w:rsidRDefault="00BF2DBA" w:rsidP="00BF2DBA">
      <w:pPr>
        <w:overflowPunct/>
        <w:autoSpaceDE/>
        <w:autoSpaceDN/>
        <w:adjustRightInd/>
        <w:textAlignment w:val="auto"/>
        <w:rPr>
          <w:rFonts w:ascii="Calibri" w:hAnsi="Calibri"/>
          <w:szCs w:val="22"/>
        </w:rPr>
      </w:pPr>
      <w:proofErr w:type="spellStart"/>
      <w:r>
        <w:rPr>
          <w:rFonts w:hint="eastAsia"/>
        </w:rPr>
        <w:t>本</w:t>
      </w:r>
      <w:r>
        <w:rPr>
          <w:lang w:val="zh-CN"/>
        </w:rPr>
        <w:t>讲习班将侧重于</w:t>
      </w:r>
      <w:proofErr w:type="spellEnd"/>
    </w:p>
    <w:p w14:paraId="2700C4D2" w14:textId="77777777" w:rsidR="00BF2DBA" w:rsidRPr="000820DA" w:rsidRDefault="00BF2DBA" w:rsidP="00BF2DBA">
      <w:pPr>
        <w:numPr>
          <w:ilvl w:val="0"/>
          <w:numId w:val="26"/>
        </w:numPr>
        <w:tabs>
          <w:tab w:val="clear" w:pos="794"/>
          <w:tab w:val="clear" w:pos="1191"/>
          <w:tab w:val="clear" w:pos="1588"/>
          <w:tab w:val="clear" w:pos="1985"/>
        </w:tabs>
        <w:spacing w:after="120" w:line="280" w:lineRule="exact"/>
        <w:ind w:left="567" w:hanging="567"/>
        <w:jc w:val="both"/>
        <w:rPr>
          <w:lang w:eastAsia="zh-CN"/>
        </w:rPr>
      </w:pPr>
      <w:r>
        <w:rPr>
          <w:lang w:val="zh-CN" w:eastAsia="zh-CN"/>
        </w:rPr>
        <w:t>基于电信云架构、网络功能编排、云原生和</w:t>
      </w:r>
      <w:r>
        <w:rPr>
          <w:lang w:val="zh-CN" w:eastAsia="zh-CN"/>
        </w:rPr>
        <w:t>AI</w:t>
      </w:r>
      <w:r>
        <w:rPr>
          <w:lang w:val="zh-CN" w:eastAsia="zh-CN"/>
        </w:rPr>
        <w:t>原生演进的最新技术趋势，</w:t>
      </w:r>
      <w:r>
        <w:rPr>
          <w:lang w:val="zh-CN" w:eastAsia="zh-CN"/>
        </w:rPr>
        <w:t>AI</w:t>
      </w:r>
      <w:r>
        <w:rPr>
          <w:lang w:val="zh-CN" w:eastAsia="zh-CN"/>
        </w:rPr>
        <w:t>与电信云</w:t>
      </w:r>
      <w:r>
        <w:rPr>
          <w:lang w:val="zh-CN" w:eastAsia="zh-CN"/>
        </w:rPr>
        <w:t>/NFV</w:t>
      </w:r>
      <w:r>
        <w:rPr>
          <w:lang w:val="zh-CN" w:eastAsia="zh-CN"/>
        </w:rPr>
        <w:t>的集成。</w:t>
      </w:r>
    </w:p>
    <w:p w14:paraId="638B7DCF" w14:textId="77777777" w:rsidR="00BF2DBA" w:rsidRPr="000820DA" w:rsidRDefault="00BF2DBA" w:rsidP="00BF2DBA">
      <w:pPr>
        <w:numPr>
          <w:ilvl w:val="0"/>
          <w:numId w:val="26"/>
        </w:numPr>
        <w:tabs>
          <w:tab w:val="clear" w:pos="794"/>
          <w:tab w:val="clear" w:pos="1191"/>
          <w:tab w:val="clear" w:pos="1588"/>
          <w:tab w:val="clear" w:pos="1985"/>
        </w:tabs>
        <w:spacing w:after="120" w:line="280" w:lineRule="exact"/>
        <w:ind w:left="567" w:hanging="567"/>
        <w:jc w:val="both"/>
        <w:rPr>
          <w:lang w:eastAsia="zh-CN"/>
        </w:rPr>
      </w:pPr>
      <w:r>
        <w:rPr>
          <w:lang w:val="zh-CN" w:eastAsia="zh-CN"/>
        </w:rPr>
        <w:t>探索人工智能驱动网络转型的标准化进展和行业实践。</w:t>
      </w:r>
    </w:p>
    <w:p w14:paraId="79666003" w14:textId="499A598C" w:rsidR="00BF2DBA" w:rsidRDefault="00BF2DBA" w:rsidP="00BF2DBA">
      <w:pPr>
        <w:tabs>
          <w:tab w:val="left" w:pos="900"/>
        </w:tabs>
        <w:rPr>
          <w:rFonts w:ascii="Calibri" w:hAnsi="Calibri" w:cs="Arial"/>
          <w:szCs w:val="22"/>
          <w:lang w:eastAsia="zh-CN"/>
        </w:rPr>
      </w:pPr>
      <w:r>
        <w:rPr>
          <w:lang w:val="zh-CN" w:eastAsia="zh-CN"/>
        </w:rPr>
        <w:t>4</w:t>
      </w:r>
      <w:r>
        <w:rPr>
          <w:lang w:val="zh-CN" w:eastAsia="zh-CN"/>
        </w:rPr>
        <w:tab/>
      </w:r>
      <w:r>
        <w:rPr>
          <w:lang w:val="zh-CN" w:eastAsia="zh-CN"/>
        </w:rPr>
        <w:t>讲习班将于</w:t>
      </w:r>
      <w:r>
        <w:rPr>
          <w:lang w:val="zh-CN" w:eastAsia="zh-CN"/>
        </w:rPr>
        <w:t>2026</w:t>
      </w:r>
      <w:r>
        <w:rPr>
          <w:lang w:val="zh-CN" w:eastAsia="zh-CN"/>
        </w:rPr>
        <w:t>年</w:t>
      </w:r>
      <w:r>
        <w:rPr>
          <w:lang w:val="zh-CN" w:eastAsia="zh-CN"/>
        </w:rPr>
        <w:t>6</w:t>
      </w:r>
      <w:r>
        <w:rPr>
          <w:lang w:val="zh-CN" w:eastAsia="zh-CN"/>
        </w:rPr>
        <w:t>月</w:t>
      </w:r>
      <w:r>
        <w:rPr>
          <w:lang w:val="zh-CN" w:eastAsia="zh-CN"/>
        </w:rPr>
        <w:t>24</w:t>
      </w:r>
      <w:r>
        <w:rPr>
          <w:lang w:val="zh-CN" w:eastAsia="zh-CN"/>
        </w:rPr>
        <w:t>日</w:t>
      </w:r>
      <w:r>
        <w:rPr>
          <w:lang w:val="zh-CN" w:eastAsia="zh-CN"/>
        </w:rPr>
        <w:t>09</w:t>
      </w:r>
      <w:r>
        <w:rPr>
          <w:rFonts w:hint="eastAsia"/>
          <w:lang w:val="zh-CN" w:eastAsia="zh-CN"/>
        </w:rPr>
        <w:t>:</w:t>
      </w:r>
      <w:r>
        <w:rPr>
          <w:lang w:val="zh-CN" w:eastAsia="zh-CN"/>
        </w:rPr>
        <w:t>30</w:t>
      </w:r>
      <w:r>
        <w:rPr>
          <w:lang w:val="zh-CN" w:eastAsia="zh-CN"/>
        </w:rPr>
        <w:t>开始，</w:t>
      </w:r>
      <w:r>
        <w:rPr>
          <w:rFonts w:hint="eastAsia"/>
          <w:lang w:val="zh-CN" w:eastAsia="zh-CN"/>
        </w:rPr>
        <w:t>现场</w:t>
      </w:r>
      <w:r>
        <w:rPr>
          <w:lang w:val="zh-CN" w:eastAsia="zh-CN"/>
        </w:rPr>
        <w:t>注册将于</w:t>
      </w:r>
      <w:r>
        <w:rPr>
          <w:lang w:val="zh-CN" w:eastAsia="zh-CN"/>
        </w:rPr>
        <w:t>08</w:t>
      </w:r>
      <w:r>
        <w:rPr>
          <w:rFonts w:hint="eastAsia"/>
          <w:lang w:val="zh-CN" w:eastAsia="zh-CN"/>
        </w:rPr>
        <w:t>:</w:t>
      </w:r>
      <w:r>
        <w:rPr>
          <w:lang w:val="zh-CN" w:eastAsia="zh-CN"/>
        </w:rPr>
        <w:t>30</w:t>
      </w:r>
      <w:r>
        <w:rPr>
          <w:lang w:val="zh-CN" w:eastAsia="zh-CN"/>
        </w:rPr>
        <w:t>在国际电联</w:t>
      </w:r>
      <w:hyperlink r:id="rId15" w:history="1">
        <w:r w:rsidRPr="001A4CEB">
          <w:rPr>
            <w:rStyle w:val="Hyperlink"/>
            <w:lang w:val="zh-CN" w:eastAsia="zh-CN"/>
          </w:rPr>
          <w:t>Mon</w:t>
        </w:r>
        <w:r w:rsidRPr="001A4CEB">
          <w:rPr>
            <w:rStyle w:val="Hyperlink"/>
            <w:lang w:val="zh-CN" w:eastAsia="zh-CN"/>
          </w:rPr>
          <w:t>t</w:t>
        </w:r>
        <w:r w:rsidRPr="001A4CEB">
          <w:rPr>
            <w:rStyle w:val="Hyperlink"/>
            <w:lang w:val="zh-CN" w:eastAsia="zh-CN"/>
          </w:rPr>
          <w:t>brillant</w:t>
        </w:r>
        <w:r w:rsidRPr="001A4CEB">
          <w:rPr>
            <w:rStyle w:val="Hyperlink"/>
            <w:lang w:val="zh-CN" w:eastAsia="zh-CN"/>
          </w:rPr>
          <w:t>办公楼入口处</w:t>
        </w:r>
      </w:hyperlink>
      <w:r>
        <w:rPr>
          <w:lang w:val="zh-CN" w:eastAsia="zh-CN"/>
        </w:rPr>
        <w:t>开始。</w:t>
      </w:r>
      <w:hyperlink r:id="rId16" w:history="1"/>
    </w:p>
    <w:p w14:paraId="677E4FEB" w14:textId="77777777" w:rsidR="00BF2DBA" w:rsidRDefault="00BF2DBA" w:rsidP="00BF2DBA">
      <w:pPr>
        <w:tabs>
          <w:tab w:val="left" w:pos="900"/>
        </w:tabs>
        <w:rPr>
          <w:rFonts w:ascii="Calibri" w:hAnsi="Calibri" w:cs="Arial"/>
          <w:szCs w:val="22"/>
          <w:lang w:eastAsia="zh-CN"/>
        </w:rPr>
      </w:pPr>
      <w:r>
        <w:rPr>
          <w:lang w:val="zh-CN" w:eastAsia="zh-CN"/>
        </w:rPr>
        <w:t>5</w:t>
      </w:r>
      <w:r>
        <w:rPr>
          <w:lang w:val="zh-CN" w:eastAsia="zh-CN"/>
        </w:rPr>
        <w:tab/>
      </w:r>
      <w:r>
        <w:rPr>
          <w:lang w:val="zh-CN" w:eastAsia="zh-CN"/>
        </w:rPr>
        <w:t>国际电联成员国、部门成员、部门准成员和学术机构、</w:t>
      </w:r>
      <w:r>
        <w:rPr>
          <w:lang w:val="zh-CN" w:eastAsia="zh-CN"/>
        </w:rPr>
        <w:t>ETSI NFV</w:t>
      </w:r>
      <w:r>
        <w:rPr>
          <w:lang w:val="zh-CN" w:eastAsia="zh-CN"/>
        </w:rPr>
        <w:t>和</w:t>
      </w:r>
      <w:r>
        <w:rPr>
          <w:lang w:val="zh-CN" w:eastAsia="zh-CN"/>
        </w:rPr>
        <w:t>ITU-T</w:t>
      </w:r>
      <w:r>
        <w:rPr>
          <w:lang w:val="zh-CN" w:eastAsia="zh-CN"/>
        </w:rPr>
        <w:t>第</w:t>
      </w:r>
      <w:r>
        <w:rPr>
          <w:lang w:val="zh-CN" w:eastAsia="zh-CN"/>
        </w:rPr>
        <w:t>13</w:t>
      </w:r>
      <w:r>
        <w:rPr>
          <w:lang w:val="zh-CN" w:eastAsia="zh-CN"/>
        </w:rPr>
        <w:t>研究组会议的所有定期参与者以及任何希望为此工作做出贡献的个人（来自国际电联成员国）均可免费参加讲习班。这里所指的</w:t>
      </w:r>
      <w:r>
        <w:rPr>
          <w:rFonts w:hint="eastAsia"/>
          <w:lang w:val="zh-CN" w:eastAsia="zh-CN"/>
        </w:rPr>
        <w:t>“</w:t>
      </w:r>
      <w:r>
        <w:rPr>
          <w:lang w:val="zh-CN" w:eastAsia="zh-CN"/>
        </w:rPr>
        <w:t>个人</w:t>
      </w:r>
      <w:r>
        <w:rPr>
          <w:rFonts w:hint="eastAsia"/>
          <w:lang w:val="zh-CN" w:eastAsia="zh-CN"/>
        </w:rPr>
        <w:t>”</w:t>
      </w:r>
      <w:r>
        <w:rPr>
          <w:lang w:val="zh-CN" w:eastAsia="zh-CN"/>
        </w:rPr>
        <w:t>亦包括身为国际、区域和国家组织成员的个人。会议将提供远程参会。</w:t>
      </w:r>
    </w:p>
    <w:p w14:paraId="73CCDBE2" w14:textId="0BAAF9DC" w:rsidR="00BF2DBA" w:rsidRPr="00994048" w:rsidRDefault="00BF2DBA" w:rsidP="00BF2DBA">
      <w:pPr>
        <w:tabs>
          <w:tab w:val="left" w:pos="900"/>
        </w:tabs>
        <w:rPr>
          <w:rFonts w:ascii="Calibri" w:hAnsi="Calibri" w:cs="Arial"/>
          <w:szCs w:val="22"/>
          <w:lang w:eastAsia="zh-CN"/>
        </w:rPr>
      </w:pPr>
      <w:r w:rsidRPr="001A4CEB">
        <w:rPr>
          <w:lang w:eastAsia="zh-CN"/>
        </w:rPr>
        <w:lastRenderedPageBreak/>
        <w:t>6</w:t>
      </w:r>
      <w:r w:rsidRPr="001A4CEB">
        <w:rPr>
          <w:lang w:eastAsia="zh-CN"/>
        </w:rPr>
        <w:tab/>
      </w:r>
      <w:r>
        <w:rPr>
          <w:lang w:val="zh-CN" w:eastAsia="zh-CN"/>
        </w:rPr>
        <w:t>与本次活动有关的所有相关信息</w:t>
      </w:r>
      <w:r w:rsidRPr="001A4CEB">
        <w:rPr>
          <w:lang w:eastAsia="zh-CN"/>
        </w:rPr>
        <w:t>（</w:t>
      </w:r>
      <w:r>
        <w:rPr>
          <w:lang w:val="zh-CN" w:eastAsia="zh-CN"/>
        </w:rPr>
        <w:t>如日程草案、发言人名单、注册链接、远程连接详情等</w:t>
      </w:r>
      <w:r w:rsidRPr="001A4CEB">
        <w:rPr>
          <w:lang w:eastAsia="zh-CN"/>
        </w:rPr>
        <w:t>）</w:t>
      </w:r>
      <w:r>
        <w:rPr>
          <w:lang w:val="zh-CN" w:eastAsia="zh-CN"/>
        </w:rPr>
        <w:t>均将在主活动网页上公布</w:t>
      </w:r>
      <w:r w:rsidRPr="001A4CEB">
        <w:rPr>
          <w:lang w:eastAsia="zh-CN"/>
        </w:rPr>
        <w:t>：</w:t>
      </w:r>
      <w:hyperlink r:id="rId17" w:history="1">
        <w:r w:rsidRPr="001A4CEB">
          <w:rPr>
            <w:rStyle w:val="Hyperlink"/>
            <w:lang w:eastAsia="zh-CN"/>
          </w:rPr>
          <w:t>https://itu.in</w:t>
        </w:r>
        <w:r w:rsidRPr="001A4CEB">
          <w:rPr>
            <w:rStyle w:val="Hyperlink"/>
            <w:lang w:eastAsia="zh-CN"/>
          </w:rPr>
          <w:t>t</w:t>
        </w:r>
        <w:r w:rsidRPr="001A4CEB">
          <w:rPr>
            <w:rStyle w:val="Hyperlink"/>
            <w:lang w:eastAsia="zh-CN"/>
          </w:rPr>
          <w:t>/en/ITU-T/Workshops-and-Seminars/2026/0624</w:t>
        </w:r>
      </w:hyperlink>
      <w:r>
        <w:rPr>
          <w:lang w:val="zh-CN" w:eastAsia="zh-CN"/>
        </w:rPr>
        <w:t>。随着新信息或修改信息的出现，该网站将定期更新，鼓励与会者定期查看最新信息。</w:t>
      </w:r>
      <w:hyperlink r:id="rId18" w:history="1"/>
    </w:p>
    <w:p w14:paraId="151C746D" w14:textId="058C3276" w:rsidR="00BF2DBA" w:rsidRDefault="00BF2DBA" w:rsidP="00BF2DBA">
      <w:pPr>
        <w:tabs>
          <w:tab w:val="left" w:pos="900"/>
        </w:tabs>
        <w:rPr>
          <w:szCs w:val="22"/>
          <w:lang w:eastAsia="zh-CN"/>
        </w:rPr>
      </w:pPr>
      <w:r w:rsidRPr="001A4CEB">
        <w:rPr>
          <w:lang w:eastAsia="zh-CN"/>
        </w:rPr>
        <w:t>7</w:t>
      </w:r>
      <w:r w:rsidRPr="001A4CEB">
        <w:rPr>
          <w:lang w:eastAsia="zh-CN"/>
        </w:rPr>
        <w:tab/>
      </w:r>
      <w:r>
        <w:rPr>
          <w:lang w:val="zh-CN" w:eastAsia="zh-CN"/>
        </w:rPr>
        <w:t>为便于组织者就讲习班的组织做出必要安排</w:t>
      </w:r>
      <w:r w:rsidRPr="001A4CEB">
        <w:rPr>
          <w:lang w:eastAsia="zh-CN"/>
        </w:rPr>
        <w:t>，</w:t>
      </w:r>
      <w:r>
        <w:rPr>
          <w:lang w:val="zh-CN" w:eastAsia="zh-CN"/>
        </w:rPr>
        <w:t>希望您能尽快通过填写</w:t>
      </w:r>
      <w:hyperlink r:id="rId19" w:history="1">
        <w:r w:rsidR="00516626" w:rsidRPr="00431391">
          <w:rPr>
            <w:rStyle w:val="Hyperlink"/>
            <w:szCs w:val="22"/>
            <w:lang w:eastAsia="zh-CN"/>
          </w:rPr>
          <w:t>https://itu.int/net4/CR</w:t>
        </w:r>
        <w:r w:rsidR="00516626" w:rsidRPr="00431391">
          <w:rPr>
            <w:rStyle w:val="Hyperlink"/>
            <w:szCs w:val="22"/>
            <w:lang w:eastAsia="zh-CN"/>
          </w:rPr>
          <w:t>M</w:t>
        </w:r>
        <w:r w:rsidR="00516626" w:rsidRPr="00431391">
          <w:rPr>
            <w:rStyle w:val="Hyperlink"/>
            <w:szCs w:val="22"/>
            <w:lang w:eastAsia="zh-CN"/>
          </w:rPr>
          <w:t>/xreg/web/Registration.aspx?Event=C-00016466</w:t>
        </w:r>
      </w:hyperlink>
      <w:r>
        <w:rPr>
          <w:lang w:val="zh-CN" w:eastAsia="zh-CN"/>
        </w:rPr>
        <w:t>的在线表格进行注册。请注意，讲习班与会者的</w:t>
      </w:r>
      <w:r w:rsidRPr="00547120">
        <w:rPr>
          <w:b/>
          <w:bCs/>
          <w:lang w:val="zh-CN" w:eastAsia="zh-CN"/>
        </w:rPr>
        <w:t>预注册</w:t>
      </w:r>
      <w:r>
        <w:rPr>
          <w:lang w:val="zh-CN" w:eastAsia="zh-CN"/>
        </w:rPr>
        <w:t>仅以</w:t>
      </w:r>
      <w:r w:rsidRPr="00547120">
        <w:rPr>
          <w:b/>
          <w:bCs/>
          <w:lang w:val="zh-CN" w:eastAsia="zh-CN"/>
        </w:rPr>
        <w:t>在线</w:t>
      </w:r>
      <w:r>
        <w:rPr>
          <w:lang w:val="zh-CN" w:eastAsia="zh-CN"/>
        </w:rPr>
        <w:t>方式进行，</w:t>
      </w:r>
      <w:r w:rsidRPr="00547120">
        <w:rPr>
          <w:b/>
          <w:bCs/>
          <w:lang w:val="zh-CN" w:eastAsia="zh-CN"/>
        </w:rPr>
        <w:t>现场和远程参会均必须</w:t>
      </w:r>
      <w:r w:rsidRPr="00547120">
        <w:rPr>
          <w:rFonts w:hint="eastAsia"/>
          <w:b/>
          <w:bCs/>
          <w:lang w:val="zh-CN" w:eastAsia="zh-CN"/>
        </w:rPr>
        <w:t>注册</w:t>
      </w:r>
      <w:r>
        <w:rPr>
          <w:lang w:val="zh-CN" w:eastAsia="zh-CN"/>
        </w:rPr>
        <w:t>。</w:t>
      </w:r>
      <w:hyperlink r:id="rId20" w:history="1"/>
    </w:p>
    <w:p w14:paraId="7FAB2EDE" w14:textId="39402651" w:rsidR="00BF2DBA" w:rsidRDefault="00BF2DBA" w:rsidP="00BF2DBA">
      <w:pPr>
        <w:tabs>
          <w:tab w:val="left" w:pos="900"/>
        </w:tabs>
        <w:rPr>
          <w:szCs w:val="22"/>
          <w:lang w:eastAsia="zh-CN"/>
        </w:rPr>
      </w:pPr>
      <w:r>
        <w:rPr>
          <w:lang w:val="zh-CN" w:eastAsia="zh-CN"/>
        </w:rPr>
        <w:t>8</w:t>
      </w:r>
      <w:r>
        <w:rPr>
          <w:lang w:val="zh-CN" w:eastAsia="zh-CN"/>
        </w:rPr>
        <w:tab/>
      </w:r>
      <w:r>
        <w:rPr>
          <w:lang w:val="zh-CN" w:eastAsia="zh-CN"/>
        </w:rPr>
        <w:t>谨在此提醒您，一些国家的公民需要获得签证才能入境瑞士并在此逗留。签证必须向驻贵国的瑞士代表机构（使馆或领事馆）申请领取。如贵国没有此类机构，则请向驻离出发国最近的国家的此类机构申请并领取。签证处理和批准可能需要一些时间，因此建议直接与适当的代表机构核实并尽早申请。</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11A39121" w14:textId="69C8B3E2" w:rsidR="00BD2921" w:rsidRPr="00BD2921" w:rsidRDefault="00BD2921" w:rsidP="009B1224">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53A9D053">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sectPr w:rsidR="00BD2921" w:rsidRPr="00BD2921" w:rsidSect="00922C8C">
      <w:headerReference w:type="default" r:id="rId22"/>
      <w:footerReference w:type="default" r:id="rId23"/>
      <w:footerReference w:type="first" r:id="rId24"/>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5F6D61"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13244DA9"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A65F1C">
      <w:rPr>
        <w:rFonts w:eastAsiaTheme="minorEastAsia" w:cstheme="minorHAnsi" w:hint="eastAsia"/>
        <w:szCs w:val="18"/>
        <w:lang w:val="zh-CN" w:eastAsia="zh-CN"/>
      </w:rPr>
      <w:t>129</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A95E7B"/>
    <w:multiLevelType w:val="hybridMultilevel"/>
    <w:tmpl w:val="C486C122"/>
    <w:lvl w:ilvl="0" w:tplc="F5EADD5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3"/>
  </w:num>
  <w:num w:numId="12" w16cid:durableId="2121794927">
    <w:abstractNumId w:val="19"/>
  </w:num>
  <w:num w:numId="13" w16cid:durableId="1148520483">
    <w:abstractNumId w:val="11"/>
  </w:num>
  <w:num w:numId="14" w16cid:durableId="1432972093">
    <w:abstractNumId w:val="22"/>
  </w:num>
  <w:num w:numId="15" w16cid:durableId="1352685271">
    <w:abstractNumId w:val="24"/>
  </w:num>
  <w:num w:numId="16" w16cid:durableId="1886523395">
    <w:abstractNumId w:val="15"/>
  </w:num>
  <w:num w:numId="17" w16cid:durableId="516313783">
    <w:abstractNumId w:val="20"/>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1"/>
  </w:num>
  <w:num w:numId="24" w16cid:durableId="1622833731">
    <w:abstractNumId w:val="17"/>
  </w:num>
  <w:num w:numId="25" w16cid:durableId="604076110">
    <w:abstractNumId w:val="10"/>
  </w:num>
  <w:num w:numId="26" w16cid:durableId="587203141">
    <w:abstractNumId w:val="18"/>
    <w:lvlOverride w:ilvl="0">
      <w:lvl w:ilvl="0" w:tplc="F5EADD56">
        <w:start w:val="1"/>
        <w:numFmt w:val="bullet"/>
        <w:lvlRestart w:val="0"/>
        <w:lvlText w:val="–"/>
        <w:lvlJc w:val="left"/>
        <w:pPr>
          <w:ind w:left="720" w:hanging="363"/>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4CEB"/>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67FD"/>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626"/>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6D61"/>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76382"/>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9CB"/>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5F1C"/>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2DBA"/>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CF6676"/>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int/go/tsg13" TargetMode="External"/><Relationship Id="rId18" Type="http://schemas.openxmlformats.org/officeDocument/2006/relationships/hyperlink" Target="https://itu.int/en/ITU-T/Workshops-and-Seminars/2026/06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itu.int/en/ITU-T/Workshops-and-Seminars/2026/06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0" Type="http://schemas.openxmlformats.org/officeDocument/2006/relationships/hyperlink" Target="https://itu.int/net4/CRM/xreg/web/Registration.aspx?Event=C-000164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en/about/Documents/itu-pla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tu.int/net4/CRM/xreg/web/Registration.aspx?Event=C-000164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int/go/tsg13"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1308</Words>
  <Characters>1005</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2309</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5</cp:revision>
  <cp:lastPrinted>2026-04-16T08:44:00Z</cp:lastPrinted>
  <dcterms:created xsi:type="dcterms:W3CDTF">2026-04-14T12:28:00Z</dcterms:created>
  <dcterms:modified xsi:type="dcterms:W3CDTF">2026-04-16T08:45:00Z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