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3"/>
        <w:gridCol w:w="5057"/>
      </w:tblGrid>
      <w:tr w:rsidR="00EF6A23" w:rsidRPr="008013CF" w14:paraId="3FDAE1F3" w14:textId="77777777" w:rsidTr="003F083D">
        <w:trPr>
          <w:cantSplit/>
        </w:trPr>
        <w:tc>
          <w:tcPr>
            <w:tcW w:w="0" w:type="auto"/>
            <w:vAlign w:val="center"/>
          </w:tcPr>
          <w:p w14:paraId="3DE42CAA" w14:textId="77777777" w:rsidR="00EF6A23" w:rsidRPr="008013CF" w:rsidRDefault="00EF6A23" w:rsidP="00D14F31">
            <w:pPr>
              <w:tabs>
                <w:tab w:val="right" w:pos="8732"/>
              </w:tabs>
              <w:spacing w:before="0"/>
              <w:rPr>
                <w:b/>
                <w:bCs/>
                <w:iCs/>
                <w:color w:val="FFFFFF"/>
                <w:sz w:val="30"/>
                <w:szCs w:val="30"/>
              </w:rPr>
            </w:pPr>
            <w:r w:rsidRPr="008013CF">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8013CF" w:rsidRDefault="00EF6A23" w:rsidP="00EF6A23">
            <w:pPr>
              <w:spacing w:before="0"/>
              <w:rPr>
                <w:rFonts w:cs="Times New Roman Bold"/>
                <w:b/>
                <w:bCs/>
                <w:iCs/>
                <w:smallCaps/>
                <w:sz w:val="34"/>
                <w:szCs w:val="34"/>
              </w:rPr>
            </w:pPr>
            <w:r w:rsidRPr="008013CF">
              <w:rPr>
                <w:rFonts w:cs="Times New Roman Bold"/>
                <w:b/>
                <w:bCs/>
                <w:iCs/>
                <w:smallCaps/>
                <w:sz w:val="34"/>
                <w:szCs w:val="34"/>
              </w:rPr>
              <w:t>Union internationale des télécommunications</w:t>
            </w:r>
          </w:p>
          <w:p w14:paraId="089E66D0" w14:textId="77777777" w:rsidR="00EF6A23" w:rsidRPr="008013CF" w:rsidRDefault="00EF6A23" w:rsidP="00EF6A23">
            <w:pPr>
              <w:spacing w:before="0"/>
              <w:rPr>
                <w:color w:val="FFFFFF"/>
                <w:sz w:val="26"/>
                <w:szCs w:val="26"/>
              </w:rPr>
            </w:pPr>
            <w:r w:rsidRPr="008013CF">
              <w:rPr>
                <w:rFonts w:cs="Times New Roman Bold"/>
                <w:b/>
                <w:bCs/>
                <w:iCs/>
                <w:smallCaps/>
                <w:sz w:val="28"/>
                <w:szCs w:val="28"/>
              </w:rPr>
              <w:t>B</w:t>
            </w:r>
            <w:r w:rsidRPr="008013CF">
              <w:rPr>
                <w:b/>
                <w:bCs/>
                <w:iCs/>
                <w:smallCaps/>
                <w:sz w:val="28"/>
                <w:szCs w:val="28"/>
              </w:rPr>
              <w:t>ureau de la Normalisation des Télécommunications</w:t>
            </w:r>
          </w:p>
        </w:tc>
      </w:tr>
      <w:tr w:rsidR="00036F4F" w:rsidRPr="008013CF" w14:paraId="18B25741" w14:textId="77777777" w:rsidTr="00307FB4">
        <w:trPr>
          <w:cantSplit/>
        </w:trPr>
        <w:tc>
          <w:tcPr>
            <w:tcW w:w="0" w:type="auto"/>
          </w:tcPr>
          <w:p w14:paraId="4B1AFD72" w14:textId="77777777" w:rsidR="00036F4F" w:rsidRPr="008013CF" w:rsidRDefault="00036F4F" w:rsidP="00A5280F">
            <w:pPr>
              <w:tabs>
                <w:tab w:val="left" w:pos="4111"/>
              </w:tabs>
              <w:spacing w:before="10"/>
              <w:ind w:left="57"/>
            </w:pPr>
          </w:p>
        </w:tc>
        <w:tc>
          <w:tcPr>
            <w:tcW w:w="3399" w:type="dxa"/>
          </w:tcPr>
          <w:p w14:paraId="6579D3E8" w14:textId="77777777" w:rsidR="00036F4F" w:rsidRPr="008013CF" w:rsidRDefault="00036F4F" w:rsidP="00A5280F">
            <w:pPr>
              <w:tabs>
                <w:tab w:val="left" w:pos="4111"/>
              </w:tabs>
              <w:spacing w:before="10"/>
              <w:ind w:left="57"/>
              <w:rPr>
                <w:b/>
              </w:rPr>
            </w:pPr>
          </w:p>
        </w:tc>
        <w:tc>
          <w:tcPr>
            <w:tcW w:w="5051" w:type="dxa"/>
          </w:tcPr>
          <w:p w14:paraId="0DC34ECA" w14:textId="2FE82435" w:rsidR="00036F4F" w:rsidRPr="008013CF" w:rsidRDefault="00036F4F" w:rsidP="00A5645A">
            <w:pPr>
              <w:tabs>
                <w:tab w:val="clear" w:pos="794"/>
                <w:tab w:val="clear" w:pos="1191"/>
                <w:tab w:val="clear" w:pos="1588"/>
                <w:tab w:val="clear" w:pos="1985"/>
                <w:tab w:val="left" w:pos="284"/>
              </w:tabs>
              <w:spacing w:after="120"/>
              <w:ind w:left="284" w:hanging="227"/>
            </w:pPr>
            <w:r w:rsidRPr="008013CF">
              <w:t>Genève, le</w:t>
            </w:r>
            <w:r w:rsidR="004419E9" w:rsidRPr="008013CF">
              <w:t xml:space="preserve"> </w:t>
            </w:r>
            <w:r w:rsidR="00107AAD" w:rsidRPr="008013CF">
              <w:rPr>
                <w:color w:val="000000"/>
              </w:rPr>
              <w:t>26 mars 2026</w:t>
            </w:r>
          </w:p>
        </w:tc>
      </w:tr>
      <w:tr w:rsidR="00445B68" w:rsidRPr="008013CF" w14:paraId="16CDDFEF" w14:textId="77777777" w:rsidTr="00307FB4">
        <w:trPr>
          <w:cantSplit/>
          <w:trHeight w:val="340"/>
        </w:trPr>
        <w:tc>
          <w:tcPr>
            <w:tcW w:w="0" w:type="auto"/>
          </w:tcPr>
          <w:p w14:paraId="3EFF375D" w14:textId="58556577" w:rsidR="00445B68" w:rsidRPr="008013CF" w:rsidRDefault="00445B68" w:rsidP="00307FB4">
            <w:pPr>
              <w:tabs>
                <w:tab w:val="left" w:pos="4111"/>
              </w:tabs>
              <w:spacing w:before="10"/>
              <w:ind w:left="57"/>
              <w:rPr>
                <w:b/>
                <w:bCs/>
              </w:rPr>
            </w:pPr>
            <w:r w:rsidRPr="008013CF">
              <w:rPr>
                <w:b/>
                <w:bCs/>
              </w:rPr>
              <w:t>Réf.:</w:t>
            </w:r>
          </w:p>
        </w:tc>
        <w:tc>
          <w:tcPr>
            <w:tcW w:w="3399" w:type="dxa"/>
          </w:tcPr>
          <w:p w14:paraId="5FFBBC9B" w14:textId="27995D2D" w:rsidR="00445B68" w:rsidRPr="008013CF" w:rsidRDefault="00445B68" w:rsidP="00A5280F">
            <w:pPr>
              <w:tabs>
                <w:tab w:val="left" w:pos="4111"/>
              </w:tabs>
              <w:spacing w:before="10"/>
              <w:ind w:left="57"/>
              <w:rPr>
                <w:b/>
              </w:rPr>
            </w:pPr>
            <w:r w:rsidRPr="008013CF">
              <w:rPr>
                <w:b/>
              </w:rPr>
              <w:t xml:space="preserve">Circulaire TSB </w:t>
            </w:r>
            <w:r w:rsidR="00107AAD" w:rsidRPr="008013CF">
              <w:rPr>
                <w:b/>
              </w:rPr>
              <w:t>127</w:t>
            </w:r>
          </w:p>
          <w:p w14:paraId="577F6DA2" w14:textId="0115DAD0" w:rsidR="00445B68" w:rsidRPr="008013CF" w:rsidRDefault="00107AAD" w:rsidP="00307FB4">
            <w:pPr>
              <w:tabs>
                <w:tab w:val="left" w:pos="4111"/>
              </w:tabs>
              <w:spacing w:before="10"/>
              <w:ind w:left="57"/>
            </w:pPr>
            <w:r w:rsidRPr="008013CF">
              <w:t>CB</w:t>
            </w:r>
          </w:p>
        </w:tc>
        <w:tc>
          <w:tcPr>
            <w:tcW w:w="5051" w:type="dxa"/>
            <w:vMerge w:val="restart"/>
          </w:tcPr>
          <w:p w14:paraId="371F0E8A" w14:textId="77777777" w:rsidR="00107AAD" w:rsidRPr="008013CF" w:rsidRDefault="00307FB4" w:rsidP="00107AAD">
            <w:pPr>
              <w:pStyle w:val="Tabletext0"/>
              <w:tabs>
                <w:tab w:val="clear" w:pos="284"/>
              </w:tabs>
              <w:spacing w:before="0"/>
              <w:ind w:left="430" w:hanging="425"/>
              <w:rPr>
                <w:rFonts w:cstheme="minorHAnsi"/>
                <w:sz w:val="22"/>
                <w:szCs w:val="22"/>
                <w:lang w:val="fr-FR"/>
              </w:rPr>
            </w:pPr>
            <w:bookmarkStart w:id="0" w:name="Addressee_F"/>
            <w:bookmarkEnd w:id="0"/>
            <w:r w:rsidRPr="008013CF">
              <w:rPr>
                <w:lang w:val="fr-FR"/>
              </w:rPr>
              <w:t>–</w:t>
            </w:r>
            <w:r w:rsidRPr="008013CF">
              <w:rPr>
                <w:lang w:val="fr-FR"/>
              </w:rPr>
              <w:tab/>
            </w:r>
            <w:r w:rsidR="00107AAD" w:rsidRPr="008013CF">
              <w:rPr>
                <w:color w:val="000000"/>
                <w:lang w:val="fr-FR"/>
              </w:rPr>
              <w:t>Aux Administrations des États Membres de l'Union;</w:t>
            </w:r>
          </w:p>
          <w:p w14:paraId="3D7D8C2D" w14:textId="4AD7A634" w:rsidR="00107AAD" w:rsidRPr="008013CF" w:rsidRDefault="00107AAD" w:rsidP="00107AAD">
            <w:pPr>
              <w:pStyle w:val="Tabletext0"/>
              <w:tabs>
                <w:tab w:val="clear" w:pos="284"/>
              </w:tabs>
              <w:spacing w:before="0"/>
              <w:ind w:left="430" w:hanging="425"/>
              <w:rPr>
                <w:rFonts w:cstheme="minorHAnsi"/>
                <w:sz w:val="22"/>
                <w:szCs w:val="22"/>
                <w:lang w:val="fr-FR"/>
              </w:rPr>
            </w:pPr>
            <w:r w:rsidRPr="008013CF">
              <w:rPr>
                <w:lang w:val="fr-FR"/>
              </w:rPr>
              <w:t>–</w:t>
            </w:r>
            <w:r w:rsidRPr="008013CF">
              <w:rPr>
                <w:lang w:val="fr-FR"/>
              </w:rPr>
              <w:tab/>
            </w:r>
            <w:r w:rsidRPr="008013CF">
              <w:rPr>
                <w:color w:val="000000"/>
                <w:lang w:val="fr-FR"/>
              </w:rPr>
              <w:t>À l'État de Palestine (Résolution 99 (Rév. Dubaï, 2018));</w:t>
            </w:r>
          </w:p>
          <w:p w14:paraId="147779CF" w14:textId="4E100516" w:rsidR="00107AAD" w:rsidRPr="008013CF" w:rsidRDefault="00107AAD" w:rsidP="00107AAD">
            <w:pPr>
              <w:pStyle w:val="Tabletext0"/>
              <w:tabs>
                <w:tab w:val="clear" w:pos="284"/>
              </w:tabs>
              <w:spacing w:before="0"/>
              <w:ind w:left="430" w:hanging="425"/>
              <w:rPr>
                <w:rFonts w:cstheme="minorHAnsi"/>
                <w:color w:val="000000"/>
                <w:sz w:val="22"/>
                <w:szCs w:val="22"/>
                <w:lang w:val="fr-FR"/>
              </w:rPr>
            </w:pPr>
            <w:r w:rsidRPr="008013CF">
              <w:rPr>
                <w:lang w:val="fr-FR"/>
              </w:rPr>
              <w:t>–</w:t>
            </w:r>
            <w:r w:rsidRPr="008013CF">
              <w:rPr>
                <w:lang w:val="fr-FR"/>
              </w:rPr>
              <w:tab/>
            </w:r>
            <w:r w:rsidRPr="008013CF">
              <w:rPr>
                <w:color w:val="000000"/>
                <w:lang w:val="fr-FR"/>
              </w:rPr>
              <w:t>Aux Membres du Secteur de l'UIT-T;</w:t>
            </w:r>
          </w:p>
          <w:p w14:paraId="4688BD69" w14:textId="57A001EB" w:rsidR="00107AAD" w:rsidRPr="008013CF" w:rsidRDefault="00107AAD" w:rsidP="00107AAD">
            <w:pPr>
              <w:pStyle w:val="Tabletext0"/>
              <w:tabs>
                <w:tab w:val="clear" w:pos="284"/>
              </w:tabs>
              <w:spacing w:before="0"/>
              <w:ind w:left="430" w:hanging="425"/>
              <w:rPr>
                <w:rFonts w:cstheme="minorHAnsi"/>
                <w:color w:val="000000"/>
                <w:sz w:val="22"/>
                <w:szCs w:val="22"/>
                <w:lang w:val="fr-FR"/>
              </w:rPr>
            </w:pPr>
            <w:r w:rsidRPr="008013CF">
              <w:rPr>
                <w:lang w:val="fr-FR"/>
              </w:rPr>
              <w:t>–</w:t>
            </w:r>
            <w:r w:rsidRPr="008013CF">
              <w:rPr>
                <w:lang w:val="fr-FR"/>
              </w:rPr>
              <w:tab/>
            </w:r>
            <w:r w:rsidRPr="008013CF">
              <w:rPr>
                <w:color w:val="000000"/>
                <w:lang w:val="fr-FR"/>
              </w:rPr>
              <w:t>Aux Associés de l'UIT-T;</w:t>
            </w:r>
          </w:p>
          <w:p w14:paraId="461460AE" w14:textId="37270DD3" w:rsidR="00445B68" w:rsidRPr="008013CF" w:rsidRDefault="00107AAD" w:rsidP="00107AAD">
            <w:pPr>
              <w:tabs>
                <w:tab w:val="left" w:pos="4111"/>
              </w:tabs>
              <w:spacing w:before="0"/>
              <w:ind w:left="430" w:hanging="425"/>
            </w:pPr>
            <w:r w:rsidRPr="008013CF">
              <w:t>–</w:t>
            </w:r>
            <w:r w:rsidRPr="008013CF">
              <w:tab/>
            </w:r>
            <w:r w:rsidRPr="008013CF">
              <w:rPr>
                <w:color w:val="000000"/>
              </w:rPr>
              <w:t>Aux établissements universitaires participant aux travaux de l'UIT</w:t>
            </w:r>
          </w:p>
        </w:tc>
      </w:tr>
      <w:tr w:rsidR="00307FB4" w:rsidRPr="008013CF" w14:paraId="06A3F0E7" w14:textId="77777777" w:rsidTr="00307FB4">
        <w:trPr>
          <w:cantSplit/>
          <w:trHeight w:val="340"/>
        </w:trPr>
        <w:tc>
          <w:tcPr>
            <w:tcW w:w="0" w:type="auto"/>
          </w:tcPr>
          <w:p w14:paraId="5CF43A7B" w14:textId="3933CF6D" w:rsidR="00307FB4" w:rsidRPr="008013CF" w:rsidRDefault="00307FB4" w:rsidP="00A5280F">
            <w:pPr>
              <w:tabs>
                <w:tab w:val="left" w:pos="4111"/>
              </w:tabs>
              <w:spacing w:before="10"/>
              <w:ind w:left="57"/>
              <w:rPr>
                <w:b/>
                <w:bCs/>
              </w:rPr>
            </w:pPr>
            <w:r w:rsidRPr="008013CF">
              <w:rPr>
                <w:b/>
                <w:bCs/>
              </w:rPr>
              <w:t>Contact:</w:t>
            </w:r>
          </w:p>
        </w:tc>
        <w:tc>
          <w:tcPr>
            <w:tcW w:w="3399" w:type="dxa"/>
          </w:tcPr>
          <w:p w14:paraId="2074781F" w14:textId="02E3F279" w:rsidR="00307FB4" w:rsidRPr="008013CF" w:rsidRDefault="00107AAD" w:rsidP="00A5280F">
            <w:pPr>
              <w:tabs>
                <w:tab w:val="left" w:pos="4111"/>
              </w:tabs>
              <w:spacing w:before="10"/>
              <w:ind w:left="57"/>
              <w:rPr>
                <w:b/>
              </w:rPr>
            </w:pPr>
            <w:r w:rsidRPr="008013CF">
              <w:rPr>
                <w:color w:val="000000"/>
              </w:rPr>
              <w:t>Cristina Bueti</w:t>
            </w:r>
          </w:p>
        </w:tc>
        <w:tc>
          <w:tcPr>
            <w:tcW w:w="5051" w:type="dxa"/>
            <w:vMerge/>
          </w:tcPr>
          <w:p w14:paraId="2F310545" w14:textId="77777777" w:rsidR="00307FB4" w:rsidRPr="008013CF" w:rsidRDefault="00307FB4" w:rsidP="00A5280F">
            <w:pPr>
              <w:tabs>
                <w:tab w:val="clear" w:pos="794"/>
                <w:tab w:val="clear" w:pos="1191"/>
                <w:tab w:val="clear" w:pos="1588"/>
                <w:tab w:val="clear" w:pos="1985"/>
                <w:tab w:val="left" w:pos="284"/>
              </w:tabs>
              <w:spacing w:before="0"/>
              <w:ind w:left="284" w:hanging="227"/>
            </w:pPr>
          </w:p>
        </w:tc>
      </w:tr>
      <w:tr w:rsidR="00445B68" w:rsidRPr="008013CF" w14:paraId="724FD23E" w14:textId="77777777" w:rsidTr="00307FB4">
        <w:trPr>
          <w:cantSplit/>
        </w:trPr>
        <w:tc>
          <w:tcPr>
            <w:tcW w:w="0" w:type="auto"/>
          </w:tcPr>
          <w:p w14:paraId="73149CCD" w14:textId="77777777" w:rsidR="00445B68" w:rsidRPr="008013CF" w:rsidRDefault="00445B68" w:rsidP="00A5280F">
            <w:pPr>
              <w:tabs>
                <w:tab w:val="left" w:pos="4111"/>
              </w:tabs>
              <w:spacing w:before="10"/>
              <w:ind w:left="57"/>
              <w:rPr>
                <w:b/>
                <w:bCs/>
                <w:sz w:val="20"/>
              </w:rPr>
            </w:pPr>
            <w:r w:rsidRPr="008013CF">
              <w:rPr>
                <w:b/>
                <w:bCs/>
              </w:rPr>
              <w:t>Tél.:</w:t>
            </w:r>
          </w:p>
        </w:tc>
        <w:tc>
          <w:tcPr>
            <w:tcW w:w="3399" w:type="dxa"/>
          </w:tcPr>
          <w:p w14:paraId="78D06186" w14:textId="7CA653CF" w:rsidR="00445B68" w:rsidRPr="008013CF" w:rsidRDefault="00445B68" w:rsidP="00A5280F">
            <w:pPr>
              <w:tabs>
                <w:tab w:val="left" w:pos="4111"/>
              </w:tabs>
              <w:spacing w:before="0"/>
              <w:ind w:left="57"/>
            </w:pPr>
            <w:r w:rsidRPr="008013CF">
              <w:t>+41 22 730</w:t>
            </w:r>
            <w:r w:rsidR="00307FB4" w:rsidRPr="008013CF">
              <w:t xml:space="preserve"> </w:t>
            </w:r>
            <w:r w:rsidR="00107AAD" w:rsidRPr="008013CF">
              <w:rPr>
                <w:color w:val="000000"/>
              </w:rPr>
              <w:t>6301</w:t>
            </w:r>
          </w:p>
        </w:tc>
        <w:tc>
          <w:tcPr>
            <w:tcW w:w="5051" w:type="dxa"/>
            <w:vMerge/>
          </w:tcPr>
          <w:p w14:paraId="6D3A5806" w14:textId="77777777" w:rsidR="00445B68" w:rsidRPr="008013CF" w:rsidRDefault="00445B68" w:rsidP="00A5280F">
            <w:pPr>
              <w:tabs>
                <w:tab w:val="left" w:pos="226"/>
                <w:tab w:val="left" w:pos="4111"/>
              </w:tabs>
              <w:spacing w:before="0"/>
              <w:ind w:left="226" w:hanging="226"/>
              <w:rPr>
                <w:b/>
              </w:rPr>
            </w:pPr>
          </w:p>
        </w:tc>
      </w:tr>
      <w:tr w:rsidR="00107AAD" w:rsidRPr="008013CF" w14:paraId="30C54E36" w14:textId="77777777" w:rsidTr="00307FB4">
        <w:trPr>
          <w:cantSplit/>
        </w:trPr>
        <w:tc>
          <w:tcPr>
            <w:tcW w:w="0" w:type="auto"/>
          </w:tcPr>
          <w:p w14:paraId="6D808D30" w14:textId="70D4EA6D" w:rsidR="00107AAD" w:rsidRPr="008013CF" w:rsidRDefault="00107AAD" w:rsidP="00107AAD">
            <w:pPr>
              <w:tabs>
                <w:tab w:val="left" w:pos="4111"/>
              </w:tabs>
              <w:spacing w:before="10"/>
              <w:ind w:left="57"/>
              <w:rPr>
                <w:b/>
                <w:bCs/>
              </w:rPr>
            </w:pPr>
            <w:r w:rsidRPr="008013CF">
              <w:rPr>
                <w:b/>
                <w:bCs/>
              </w:rPr>
              <w:t>Télécopie:</w:t>
            </w:r>
          </w:p>
        </w:tc>
        <w:tc>
          <w:tcPr>
            <w:tcW w:w="3399" w:type="dxa"/>
          </w:tcPr>
          <w:p w14:paraId="77B568D7" w14:textId="33324478" w:rsidR="00107AAD" w:rsidRPr="008013CF" w:rsidRDefault="00107AAD" w:rsidP="00107AAD">
            <w:pPr>
              <w:tabs>
                <w:tab w:val="left" w:pos="4111"/>
              </w:tabs>
              <w:spacing w:before="0"/>
              <w:ind w:left="57"/>
            </w:pPr>
            <w:r w:rsidRPr="008013CF">
              <w:t>+41 22 730 5853</w:t>
            </w:r>
          </w:p>
        </w:tc>
        <w:tc>
          <w:tcPr>
            <w:tcW w:w="5051" w:type="dxa"/>
            <w:vMerge/>
          </w:tcPr>
          <w:p w14:paraId="0583EA6F" w14:textId="77777777" w:rsidR="00107AAD" w:rsidRPr="008013CF" w:rsidRDefault="00107AAD" w:rsidP="00107AAD">
            <w:pPr>
              <w:tabs>
                <w:tab w:val="left" w:pos="226"/>
                <w:tab w:val="left" w:pos="4111"/>
              </w:tabs>
              <w:spacing w:before="0"/>
              <w:ind w:left="226" w:hanging="226"/>
              <w:rPr>
                <w:b/>
              </w:rPr>
            </w:pPr>
          </w:p>
        </w:tc>
      </w:tr>
      <w:tr w:rsidR="00107AAD" w:rsidRPr="008013CF" w14:paraId="030F9AE5" w14:textId="77777777" w:rsidTr="00E75269">
        <w:trPr>
          <w:cantSplit/>
          <w:trHeight w:val="586"/>
        </w:trPr>
        <w:tc>
          <w:tcPr>
            <w:tcW w:w="0" w:type="auto"/>
            <w:vMerge w:val="restart"/>
          </w:tcPr>
          <w:p w14:paraId="7B417C4C" w14:textId="4B63D0EA" w:rsidR="00107AAD" w:rsidRPr="008013CF" w:rsidRDefault="00107AAD" w:rsidP="00107AAD">
            <w:pPr>
              <w:tabs>
                <w:tab w:val="left" w:pos="4111"/>
              </w:tabs>
              <w:spacing w:before="10"/>
              <w:ind w:left="57"/>
              <w:rPr>
                <w:b/>
                <w:bCs/>
                <w:sz w:val="20"/>
              </w:rPr>
            </w:pPr>
            <w:r w:rsidRPr="008013CF">
              <w:rPr>
                <w:b/>
                <w:bCs/>
              </w:rPr>
              <w:t>Courriel:</w:t>
            </w:r>
          </w:p>
        </w:tc>
        <w:tc>
          <w:tcPr>
            <w:tcW w:w="3399" w:type="dxa"/>
            <w:vMerge w:val="restart"/>
          </w:tcPr>
          <w:p w14:paraId="1A4A5F7B" w14:textId="4F528F87" w:rsidR="00107AAD" w:rsidRPr="008013CF" w:rsidRDefault="00107AAD" w:rsidP="00107AAD">
            <w:pPr>
              <w:tabs>
                <w:tab w:val="left" w:pos="4111"/>
              </w:tabs>
              <w:spacing w:before="0"/>
              <w:ind w:left="57"/>
            </w:pPr>
            <w:hyperlink r:id="rId9" w:history="1">
              <w:r w:rsidRPr="008013CF">
                <w:rPr>
                  <w:rStyle w:val="Hyperlink"/>
                  <w:rFonts w:cstheme="minorHAnsi"/>
                  <w:szCs w:val="24"/>
                </w:rPr>
                <w:t>tsbjcamv@itu.int</w:t>
              </w:r>
            </w:hyperlink>
          </w:p>
        </w:tc>
        <w:tc>
          <w:tcPr>
            <w:tcW w:w="5051" w:type="dxa"/>
            <w:vMerge/>
          </w:tcPr>
          <w:p w14:paraId="323DAC81" w14:textId="77777777" w:rsidR="00107AAD" w:rsidRPr="008013CF" w:rsidRDefault="00107AAD" w:rsidP="00107AAD">
            <w:pPr>
              <w:tabs>
                <w:tab w:val="left" w:pos="226"/>
                <w:tab w:val="left" w:pos="4111"/>
              </w:tabs>
              <w:spacing w:before="0"/>
              <w:ind w:left="226" w:hanging="226"/>
              <w:rPr>
                <w:b/>
              </w:rPr>
            </w:pPr>
          </w:p>
        </w:tc>
      </w:tr>
      <w:tr w:rsidR="00107AAD" w:rsidRPr="008013CF" w14:paraId="640FB6B9" w14:textId="77777777" w:rsidTr="00307FB4">
        <w:trPr>
          <w:cantSplit/>
        </w:trPr>
        <w:tc>
          <w:tcPr>
            <w:tcW w:w="0" w:type="auto"/>
            <w:vMerge/>
          </w:tcPr>
          <w:p w14:paraId="15527369" w14:textId="4A11C652" w:rsidR="00107AAD" w:rsidRPr="008013CF" w:rsidRDefault="00107AAD" w:rsidP="00107AAD">
            <w:pPr>
              <w:tabs>
                <w:tab w:val="left" w:pos="4111"/>
              </w:tabs>
              <w:spacing w:before="10"/>
              <w:ind w:left="57"/>
              <w:rPr>
                <w:b/>
                <w:bCs/>
              </w:rPr>
            </w:pPr>
          </w:p>
        </w:tc>
        <w:tc>
          <w:tcPr>
            <w:tcW w:w="3399" w:type="dxa"/>
            <w:vMerge/>
          </w:tcPr>
          <w:p w14:paraId="172249CE" w14:textId="0559334D" w:rsidR="00107AAD" w:rsidRPr="008013CF" w:rsidRDefault="00107AAD" w:rsidP="00107AAD">
            <w:pPr>
              <w:tabs>
                <w:tab w:val="left" w:pos="4111"/>
              </w:tabs>
              <w:spacing w:before="0"/>
              <w:ind w:left="57"/>
              <w:rPr>
                <w:szCs w:val="24"/>
              </w:rPr>
            </w:pPr>
          </w:p>
        </w:tc>
        <w:tc>
          <w:tcPr>
            <w:tcW w:w="5051" w:type="dxa"/>
          </w:tcPr>
          <w:p w14:paraId="55E5D357" w14:textId="77777777" w:rsidR="00107AAD" w:rsidRPr="008013CF" w:rsidRDefault="00107AAD" w:rsidP="00107AAD">
            <w:pPr>
              <w:tabs>
                <w:tab w:val="clear" w:pos="794"/>
                <w:tab w:val="left" w:pos="226"/>
                <w:tab w:val="left" w:pos="4111"/>
              </w:tabs>
              <w:spacing w:before="0"/>
              <w:ind w:left="226" w:hanging="226"/>
              <w:rPr>
                <w:b/>
                <w:bCs/>
              </w:rPr>
            </w:pPr>
            <w:r w:rsidRPr="008013CF">
              <w:rPr>
                <w:b/>
                <w:bCs/>
              </w:rPr>
              <w:t>Copie:</w:t>
            </w:r>
          </w:p>
          <w:p w14:paraId="1BB5F38A" w14:textId="73BFE9F2" w:rsidR="00107AAD" w:rsidRPr="008013CF" w:rsidRDefault="00107AAD" w:rsidP="00107AAD">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ind w:left="430" w:hanging="430"/>
              <w:rPr>
                <w:rFonts w:cstheme="minorHAnsi"/>
                <w:sz w:val="22"/>
                <w:szCs w:val="22"/>
                <w:lang w:val="fr-FR"/>
              </w:rPr>
            </w:pPr>
            <w:r w:rsidRPr="008013CF">
              <w:rPr>
                <w:lang w:val="fr-FR"/>
              </w:rPr>
              <w:t>–</w:t>
            </w:r>
            <w:r w:rsidRPr="008013CF">
              <w:rPr>
                <w:lang w:val="fr-FR"/>
              </w:rPr>
              <w:tab/>
            </w:r>
            <w:r w:rsidRPr="008013CF">
              <w:rPr>
                <w:color w:val="000000"/>
                <w:lang w:val="fr-FR"/>
              </w:rPr>
              <w:t>Aux Présidents et Vice-Présidents des commissions d'études de l'UIT-T;</w:t>
            </w:r>
          </w:p>
          <w:p w14:paraId="2E4CA769" w14:textId="247ECCF2" w:rsidR="00107AAD" w:rsidRPr="008013CF" w:rsidRDefault="00107AAD" w:rsidP="00107AAD">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ind w:left="430" w:hanging="430"/>
              <w:rPr>
                <w:rFonts w:cstheme="minorHAnsi"/>
                <w:sz w:val="22"/>
                <w:szCs w:val="22"/>
                <w:lang w:val="fr-FR"/>
              </w:rPr>
            </w:pPr>
            <w:r w:rsidRPr="008013CF">
              <w:rPr>
                <w:lang w:val="fr-FR"/>
              </w:rPr>
              <w:t>–</w:t>
            </w:r>
            <w:r w:rsidRPr="008013CF">
              <w:rPr>
                <w:lang w:val="fr-FR"/>
              </w:rPr>
              <w:tab/>
            </w:r>
            <w:r w:rsidRPr="008013CF">
              <w:rPr>
                <w:color w:val="000000"/>
                <w:lang w:val="fr-FR"/>
              </w:rPr>
              <w:t>Au Directeur du Bureau de développement des télécommunications;</w:t>
            </w:r>
          </w:p>
          <w:p w14:paraId="4DBF3C6A" w14:textId="2F892646" w:rsidR="00107AAD" w:rsidRPr="008013CF" w:rsidRDefault="00107AAD" w:rsidP="00107AAD">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ind w:left="430" w:hanging="430"/>
              <w:rPr>
                <w:rFonts w:cstheme="minorHAnsi"/>
                <w:sz w:val="22"/>
                <w:szCs w:val="22"/>
                <w:lang w:val="fr-FR"/>
              </w:rPr>
            </w:pPr>
            <w:r w:rsidRPr="008013CF">
              <w:rPr>
                <w:lang w:val="fr-FR"/>
              </w:rPr>
              <w:t>–</w:t>
            </w:r>
            <w:r w:rsidRPr="008013CF">
              <w:rPr>
                <w:lang w:val="fr-FR"/>
              </w:rPr>
              <w:tab/>
            </w:r>
            <w:r w:rsidRPr="008013CF">
              <w:rPr>
                <w:color w:val="000000"/>
                <w:lang w:val="fr-FR"/>
              </w:rPr>
              <w:t>Au Directeur du Bureau des radiocommunications;</w:t>
            </w:r>
          </w:p>
          <w:p w14:paraId="19762254" w14:textId="3B8E1469" w:rsidR="00107AAD" w:rsidRPr="008013CF" w:rsidRDefault="00107AAD" w:rsidP="00107AAD">
            <w:pPr>
              <w:tabs>
                <w:tab w:val="clear" w:pos="794"/>
                <w:tab w:val="left" w:pos="4111"/>
              </w:tabs>
              <w:spacing w:before="0"/>
              <w:ind w:left="430" w:hanging="430"/>
            </w:pPr>
            <w:r w:rsidRPr="008013CF">
              <w:t>–</w:t>
            </w:r>
            <w:r w:rsidRPr="008013CF">
              <w:tab/>
            </w:r>
            <w:r w:rsidRPr="008013CF">
              <w:rPr>
                <w:color w:val="000000"/>
              </w:rPr>
              <w:t>Aux Directeurs des bureaux régionaux de l'UIT</w:t>
            </w:r>
          </w:p>
        </w:tc>
      </w:tr>
      <w:tr w:rsidR="00107AAD" w:rsidRPr="008013CF" w14:paraId="5435C04A" w14:textId="77777777" w:rsidTr="00C41B89">
        <w:trPr>
          <w:cantSplit/>
          <w:trHeight w:val="397"/>
        </w:trPr>
        <w:tc>
          <w:tcPr>
            <w:tcW w:w="0" w:type="auto"/>
          </w:tcPr>
          <w:p w14:paraId="2A0B9B4F" w14:textId="77777777" w:rsidR="00107AAD" w:rsidRPr="008013CF" w:rsidRDefault="00107AAD" w:rsidP="00107AAD">
            <w:pPr>
              <w:tabs>
                <w:tab w:val="left" w:pos="4111"/>
              </w:tabs>
              <w:ind w:left="57"/>
              <w:rPr>
                <w:b/>
                <w:bCs/>
                <w:szCs w:val="22"/>
              </w:rPr>
            </w:pPr>
            <w:r w:rsidRPr="008013CF">
              <w:rPr>
                <w:b/>
                <w:bCs/>
                <w:szCs w:val="22"/>
              </w:rPr>
              <w:t>Objet:</w:t>
            </w:r>
          </w:p>
        </w:tc>
        <w:tc>
          <w:tcPr>
            <w:tcW w:w="0" w:type="auto"/>
            <w:gridSpan w:val="2"/>
          </w:tcPr>
          <w:p w14:paraId="1A51EE75" w14:textId="38611360" w:rsidR="00107AAD" w:rsidRPr="008013CF" w:rsidRDefault="00107AAD" w:rsidP="00107AAD">
            <w:pPr>
              <w:tabs>
                <w:tab w:val="left" w:pos="4111"/>
              </w:tabs>
              <w:spacing w:after="120"/>
              <w:ind w:left="57"/>
              <w:rPr>
                <w:b/>
                <w:bCs/>
                <w:szCs w:val="22"/>
              </w:rPr>
            </w:pPr>
            <w:r w:rsidRPr="008013CF">
              <w:rPr>
                <w:b/>
                <w:bCs/>
                <w:color w:val="000000"/>
              </w:rPr>
              <w:t>Deuxième réunion de l'Activité conjointe de coordination sur la normalisation du métavers (JCA-MV)</w:t>
            </w:r>
            <w:r w:rsidRPr="008013CF">
              <w:rPr>
                <w:b/>
                <w:bCs/>
                <w:color w:val="000000"/>
              </w:rPr>
              <w:br/>
              <w:t>(Genève, Suisse, 13 mai 2026)</w:t>
            </w:r>
          </w:p>
        </w:tc>
      </w:tr>
    </w:tbl>
    <w:p w14:paraId="2D1EC328" w14:textId="77777777" w:rsidR="00517A03" w:rsidRPr="008013CF" w:rsidRDefault="00517A03" w:rsidP="0048088B">
      <w:pPr>
        <w:spacing w:before="360"/>
      </w:pPr>
      <w:bookmarkStart w:id="1" w:name="StartTyping_F"/>
      <w:bookmarkEnd w:id="1"/>
      <w:r w:rsidRPr="008013CF">
        <w:t>Madame, Monsieur,</w:t>
      </w:r>
    </w:p>
    <w:p w14:paraId="5CB73EC2" w14:textId="119FC3D8" w:rsidR="00107AAD" w:rsidRPr="00107AAD" w:rsidRDefault="00107AAD" w:rsidP="00107AAD">
      <w:pPr>
        <w:rPr>
          <w:bCs/>
        </w:rPr>
      </w:pPr>
      <w:r w:rsidRPr="00107AAD">
        <w:rPr>
          <w:bCs/>
        </w:rPr>
        <w:t>1</w:t>
      </w:r>
      <w:r w:rsidRPr="00107AAD">
        <w:rPr>
          <w:bCs/>
        </w:rPr>
        <w:tab/>
        <w:t xml:space="preserve">J'ai l'honneur de vous informer que la </w:t>
      </w:r>
      <w:hyperlink r:id="rId10" w:history="1">
        <w:r w:rsidRPr="00107AAD">
          <w:rPr>
            <w:rStyle w:val="Hyperlink"/>
            <w:bCs/>
          </w:rPr>
          <w:t>deuxième réunion de l'Activité conjointe de coordination sur la normalisation du métavers (JCA-MV)</w:t>
        </w:r>
      </w:hyperlink>
      <w:r w:rsidRPr="00107AAD">
        <w:rPr>
          <w:bCs/>
        </w:rPr>
        <w:t xml:space="preserve"> se tiendra au siège de l'Union internationale des télécommunications (UIT) à Genève (Suisse), le 13 mai 2026, de 8 h 30 à 10 h 30.</w:t>
      </w:r>
      <w:hyperlink r:id="rId11" w:history="1"/>
    </w:p>
    <w:p w14:paraId="7CEF8665" w14:textId="3928EDBE" w:rsidR="00107AAD" w:rsidRPr="00107AAD" w:rsidRDefault="00107AAD" w:rsidP="00107AAD">
      <w:pPr>
        <w:rPr>
          <w:bCs/>
        </w:rPr>
      </w:pPr>
      <w:r w:rsidRPr="00107AAD">
        <w:rPr>
          <w:bCs/>
        </w:rPr>
        <w:t>2</w:t>
      </w:r>
      <w:r w:rsidRPr="00107AAD">
        <w:rPr>
          <w:bCs/>
        </w:rPr>
        <w:tab/>
        <w:t xml:space="preserve">La JCA-MV a pour mission de coordonner les travaux de normalisation relatifs au métavers menés par le Secteur de la normalisation des télécommunications de l'UIT (UIT-T) et d'encourager la collaboration entre toutes les commissions d'études concernées. Elle sert également de point de contact central pour les échanges avec les organisations de normalisation, consortiums et forums extérieurs travaillant sur les normes relatives au métavers, afin de faciliter une communication efficace allant dans les deux sens avec ces organismes. Le mandat de la JCA-MV est disponible à l'adresse </w:t>
      </w:r>
      <w:hyperlink r:id="rId12" w:history="1">
        <w:r w:rsidRPr="00107AAD">
          <w:rPr>
            <w:rStyle w:val="Hyperlink"/>
            <w:bCs/>
          </w:rPr>
          <w:t>https://www.itu.int/en/ITU-T/jca/mv/Pages/tor.aspx</w:t>
        </w:r>
      </w:hyperlink>
      <w:r w:rsidRPr="00107AAD">
        <w:rPr>
          <w:bCs/>
        </w:rPr>
        <w:t>.</w:t>
      </w:r>
      <w:hyperlink r:id="rId13" w:history="1"/>
    </w:p>
    <w:p w14:paraId="0C03BC71" w14:textId="77777777" w:rsidR="00107AAD" w:rsidRPr="00107AAD" w:rsidRDefault="00107AAD" w:rsidP="00107AAD">
      <w:pPr>
        <w:rPr>
          <w:bCs/>
        </w:rPr>
      </w:pPr>
      <w:r w:rsidRPr="00107AAD">
        <w:rPr>
          <w:bCs/>
        </w:rPr>
        <w:t>3</w:t>
      </w:r>
      <w:r w:rsidRPr="00107AAD">
        <w:rPr>
          <w:bCs/>
        </w:rPr>
        <w:tab/>
        <w:t>Le Groupe consultatif de la normalisation des télécommunications (GCNT) a nommé M. Muath AlRumayh de la Commission des communications, de l'espace et des technologies (CST) du Royaume d'Arabie saoudite, et M. Shin-Gak Kang de l'Institut de recherche en électronique et en télécommunications (ETRI) de la République de Corée, à la coprésidence de la JCA-MV.</w:t>
      </w:r>
    </w:p>
    <w:p w14:paraId="0660F653" w14:textId="77777777" w:rsidR="00107AAD" w:rsidRPr="00107AAD" w:rsidRDefault="00107AAD" w:rsidP="00107AAD">
      <w:pPr>
        <w:rPr>
          <w:bCs/>
        </w:rPr>
      </w:pPr>
      <w:r w:rsidRPr="00107AAD">
        <w:rPr>
          <w:bCs/>
        </w:rPr>
        <w:t>4</w:t>
      </w:r>
      <w:r w:rsidRPr="00107AAD">
        <w:rPr>
          <w:bCs/>
        </w:rPr>
        <w:tab/>
        <w:t>La JCA-MV est ouverte aux membres de l'UIT-T. Les experts invités ainsi que les représentants désignés d'autres organisations intergouvernementales, organisations de normalisation et forums concernés peuvent prendre part aux travaux de la JCA.</w:t>
      </w:r>
    </w:p>
    <w:p w14:paraId="50D67544" w14:textId="27BF3A44" w:rsidR="00107AAD" w:rsidRPr="00107AAD" w:rsidRDefault="00107AAD" w:rsidP="00107AAD">
      <w:pPr>
        <w:rPr>
          <w:bCs/>
        </w:rPr>
      </w:pPr>
      <w:r w:rsidRPr="00107AAD">
        <w:rPr>
          <w:bCs/>
        </w:rPr>
        <w:lastRenderedPageBreak/>
        <w:t>5</w:t>
      </w:r>
      <w:r w:rsidRPr="00107AAD">
        <w:rPr>
          <w:bCs/>
        </w:rPr>
        <w:tab/>
        <w:t xml:space="preserve">L'inscription est obligatoire et doit être effectuée au moyen du formulaire d'inscription en ligne disponible sur la </w:t>
      </w:r>
      <w:hyperlink r:id="rId14" w:history="1">
        <w:r w:rsidRPr="00107AAD">
          <w:rPr>
            <w:rStyle w:val="Hyperlink"/>
            <w:bCs/>
          </w:rPr>
          <w:t>page d'accueil de la JCA-MV</w:t>
        </w:r>
      </w:hyperlink>
      <w:r w:rsidRPr="00107AAD">
        <w:rPr>
          <w:bCs/>
        </w:rPr>
        <w:t>.</w:t>
      </w:r>
      <w:hyperlink r:id="rId15" w:history="1"/>
    </w:p>
    <w:p w14:paraId="4E5D8480" w14:textId="77777777" w:rsidR="00107AAD" w:rsidRPr="00107AAD" w:rsidRDefault="00107AAD" w:rsidP="00107AAD">
      <w:pPr>
        <w:rPr>
          <w:bCs/>
        </w:rPr>
      </w:pPr>
      <w:r w:rsidRPr="00107AAD">
        <w:rPr>
          <w:bCs/>
        </w:rPr>
        <w:t>6</w:t>
      </w:r>
      <w:r w:rsidRPr="00107AAD">
        <w:rPr>
          <w:bCs/>
        </w:rPr>
        <w:tab/>
        <w:t>La réunion aura lieu en anglais seulement.</w:t>
      </w:r>
    </w:p>
    <w:p w14:paraId="74B0F152" w14:textId="77777777" w:rsidR="00107AAD" w:rsidRPr="00107AAD" w:rsidRDefault="00107AAD" w:rsidP="00107AAD">
      <w:pPr>
        <w:rPr>
          <w:bCs/>
        </w:rPr>
      </w:pPr>
      <w:r w:rsidRPr="00107AAD">
        <w:rPr>
          <w:bCs/>
        </w:rPr>
        <w:t>7</w:t>
      </w:r>
      <w:r w:rsidRPr="00107AAD">
        <w:rPr>
          <w:bCs/>
        </w:rPr>
        <w:tab/>
        <w:t>La réunion de la JCA-MV sera organisée en même temps que les manifestations suivantes:</w:t>
      </w:r>
    </w:p>
    <w:p w14:paraId="4326DA4A" w14:textId="10232222" w:rsidR="00107AAD" w:rsidRPr="008013CF" w:rsidRDefault="00930707" w:rsidP="00930707">
      <w:pPr>
        <w:pStyle w:val="enumlev1"/>
      </w:pPr>
      <w:r w:rsidRPr="008013CF">
        <w:t>•</w:t>
      </w:r>
      <w:r w:rsidRPr="008013CF">
        <w:tab/>
      </w:r>
      <w:r w:rsidR="00107AAD" w:rsidRPr="008013CF">
        <w:t xml:space="preserve">La </w:t>
      </w:r>
      <w:hyperlink r:id="rId16" w:anchor="/fr" w:history="1">
        <w:r w:rsidR="00107AAD" w:rsidRPr="008013CF">
          <w:rPr>
            <w:rStyle w:val="Hyperlink"/>
          </w:rPr>
          <w:t>troisième Journée des mondes virtuels des Nations Unies (les 11 et 12 mai 2026)</w:t>
        </w:r>
      </w:hyperlink>
      <w:r w:rsidR="00107AAD" w:rsidRPr="008013CF">
        <w:t>.</w:t>
      </w:r>
      <w:hyperlink r:id="rId17" w:history="1"/>
    </w:p>
    <w:p w14:paraId="44911A54" w14:textId="14DF2476" w:rsidR="00107AAD" w:rsidRPr="008013CF" w:rsidRDefault="00930707" w:rsidP="00930707">
      <w:pPr>
        <w:pStyle w:val="enumlev1"/>
      </w:pPr>
      <w:r w:rsidRPr="008013CF">
        <w:t>•</w:t>
      </w:r>
      <w:r w:rsidRPr="008013CF">
        <w:tab/>
      </w:r>
      <w:r w:rsidR="00107AAD" w:rsidRPr="008013CF">
        <w:t xml:space="preserve">La </w:t>
      </w:r>
      <w:hyperlink r:id="rId18" w:history="1">
        <w:r w:rsidR="00107AAD" w:rsidRPr="008013CF">
          <w:rPr>
            <w:rStyle w:val="Hyperlink"/>
          </w:rPr>
          <w:t xml:space="preserve">deuxième Assemblée sur les </w:t>
        </w:r>
        <w:proofErr w:type="spellStart"/>
        <w:r w:rsidR="00107AAD" w:rsidRPr="008013CF">
          <w:rPr>
            <w:rStyle w:val="Hyperlink"/>
          </w:rPr>
          <w:t>métavilles</w:t>
        </w:r>
        <w:proofErr w:type="spellEnd"/>
        <w:r w:rsidR="00107AAD" w:rsidRPr="008013CF">
          <w:rPr>
            <w:rStyle w:val="Hyperlink"/>
          </w:rPr>
          <w:t xml:space="preserve"> (le 12 mai 2026)</w:t>
        </w:r>
      </w:hyperlink>
      <w:r w:rsidR="00107AAD" w:rsidRPr="008013CF">
        <w:t>.</w:t>
      </w:r>
      <w:hyperlink r:id="rId19" w:history="1"/>
    </w:p>
    <w:p w14:paraId="0DABF35E" w14:textId="55C94BBB" w:rsidR="00107AAD" w:rsidRPr="008013CF" w:rsidRDefault="00930707" w:rsidP="00930707">
      <w:pPr>
        <w:pStyle w:val="enumlev1"/>
      </w:pPr>
      <w:r w:rsidRPr="008013CF">
        <w:t>•</w:t>
      </w:r>
      <w:r w:rsidRPr="008013CF">
        <w:tab/>
      </w:r>
      <w:r w:rsidR="00107AAD" w:rsidRPr="008013CF">
        <w:t xml:space="preserve">La </w:t>
      </w:r>
      <w:hyperlink r:id="rId20" w:anchor="/fr" w:history="1">
        <w:r w:rsidR="00107AAD" w:rsidRPr="008013CF">
          <w:rPr>
            <w:rStyle w:val="Hyperlink"/>
          </w:rPr>
          <w:t>réunion de la Commission d'études 20 de l'UIT-T (Internet des objets (IoT), jumeaux numériques et villes et communautés intelligentes et durables) (du 12 au 21 mai 2026)</w:t>
        </w:r>
      </w:hyperlink>
      <w:r w:rsidR="00107AAD" w:rsidRPr="008013CF">
        <w:t>.</w:t>
      </w:r>
      <w:hyperlink r:id="rId21" w:history="1"/>
    </w:p>
    <w:p w14:paraId="18A41160" w14:textId="389C44DE" w:rsidR="00107AAD" w:rsidRPr="00107AAD" w:rsidRDefault="00107AAD" w:rsidP="00107AAD">
      <w:pPr>
        <w:rPr>
          <w:bCs/>
        </w:rPr>
      </w:pPr>
      <w:r w:rsidRPr="00107AAD">
        <w:rPr>
          <w:bCs/>
        </w:rPr>
        <w:t>8</w:t>
      </w:r>
      <w:r w:rsidRPr="00107AAD">
        <w:rPr>
          <w:bCs/>
        </w:rPr>
        <w:tab/>
        <w:t xml:space="preserve">Des informations concernant la réunion de la JCA-MV, notamment les modalités d'inscription, le projet d'ordre du jour et les documents de la réunion, seront publiées sur la </w:t>
      </w:r>
      <w:hyperlink r:id="rId22" w:history="1">
        <w:r w:rsidRPr="00107AAD">
          <w:rPr>
            <w:rStyle w:val="Hyperlink"/>
            <w:bCs/>
          </w:rPr>
          <w:t>page d'accueil de la JCA-MV</w:t>
        </w:r>
      </w:hyperlink>
      <w:r w:rsidRPr="00107AAD">
        <w:rPr>
          <w:bCs/>
        </w:rPr>
        <w:t>.</w:t>
      </w:r>
      <w:hyperlink r:id="rId23" w:history="1"/>
    </w:p>
    <w:p w14:paraId="46F2C3C2" w14:textId="16452527" w:rsidR="00307FB4" w:rsidRPr="008013CF" w:rsidRDefault="00107AAD" w:rsidP="00107AAD">
      <w:pPr>
        <w:rPr>
          <w:bCs/>
        </w:rPr>
      </w:pPr>
      <w:r w:rsidRPr="008013CF">
        <w:rPr>
          <w:bCs/>
        </w:rPr>
        <w:t>9</w:t>
      </w:r>
      <w:r w:rsidRPr="008013CF">
        <w:rPr>
          <w:bCs/>
        </w:rPr>
        <w:tab/>
        <w:t xml:space="preserve">Les participants sont encouragés à soumettre leur contribution à la JCA-MV par courrier électronique à l'adresse </w:t>
      </w:r>
      <w:hyperlink r:id="rId24" w:history="1">
        <w:r w:rsidRPr="008013CF">
          <w:rPr>
            <w:rStyle w:val="Hyperlink"/>
            <w:bCs/>
          </w:rPr>
          <w:t>tsbjcamv@itu.int</w:t>
        </w:r>
      </w:hyperlink>
      <w:r w:rsidRPr="008013CF">
        <w:rPr>
          <w:bCs/>
        </w:rPr>
        <w:t xml:space="preserve">, en utilisant le modèle de document disponible sur la </w:t>
      </w:r>
      <w:hyperlink r:id="rId25" w:history="1">
        <w:r w:rsidRPr="008013CF">
          <w:rPr>
            <w:rStyle w:val="Hyperlink"/>
            <w:bCs/>
          </w:rPr>
          <w:t>page d'accueil de la JCA-MV</w:t>
        </w:r>
      </w:hyperlink>
      <w:r w:rsidRPr="008013CF">
        <w:rPr>
          <w:bCs/>
        </w:rPr>
        <w:t xml:space="preserve">. Afin de laisser suffisamment de temps pour préparer la réunion, la date limite de soumission des contributions est fixée au </w:t>
      </w:r>
      <w:r w:rsidRPr="008013CF">
        <w:rPr>
          <w:b/>
          <w:bCs/>
        </w:rPr>
        <w:t>30 avril 2026</w:t>
      </w:r>
      <w:r w:rsidRPr="008013CF">
        <w:rPr>
          <w:bCs/>
        </w:rPr>
        <w:t>.</w:t>
      </w:r>
    </w:p>
    <w:p w14:paraId="5535F9A2" w14:textId="77777777" w:rsidR="00107AAD" w:rsidRPr="008013CF" w:rsidRDefault="00107AAD" w:rsidP="009741F7">
      <w:pPr>
        <w:pStyle w:val="headingb"/>
        <w:spacing w:after="120"/>
        <w:rPr>
          <w:rFonts w:cstheme="minorHAnsi"/>
          <w:sz w:val="22"/>
          <w:szCs w:val="22"/>
        </w:rPr>
      </w:pPr>
      <w:r w:rsidRPr="008013CF">
        <w:t>Principales échéances: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7577"/>
      </w:tblGrid>
      <w:tr w:rsidR="00107AAD" w:rsidRPr="008013CF" w14:paraId="0B441EEB" w14:textId="77777777" w:rsidTr="00970495">
        <w:tc>
          <w:tcPr>
            <w:tcW w:w="2138" w:type="dxa"/>
          </w:tcPr>
          <w:p w14:paraId="12B69D30" w14:textId="77777777" w:rsidR="00107AAD" w:rsidRPr="008013CF" w:rsidRDefault="00107AAD" w:rsidP="00970495">
            <w:pPr>
              <w:pStyle w:val="Tabletext0"/>
              <w:rPr>
                <w:rFonts w:cstheme="minorHAnsi"/>
                <w:sz w:val="22"/>
                <w:szCs w:val="22"/>
                <w:lang w:val="fr-FR"/>
              </w:rPr>
            </w:pPr>
            <w:r w:rsidRPr="008013CF">
              <w:rPr>
                <w:color w:val="000000"/>
                <w:lang w:val="fr-FR"/>
              </w:rPr>
              <w:t>30 avril 2026</w:t>
            </w:r>
          </w:p>
        </w:tc>
        <w:tc>
          <w:tcPr>
            <w:tcW w:w="7577" w:type="dxa"/>
            <w:tcBorders>
              <w:right w:val="single" w:sz="4" w:space="0" w:color="auto"/>
            </w:tcBorders>
          </w:tcPr>
          <w:p w14:paraId="02B8EC0B" w14:textId="11EF8CD7" w:rsidR="00107AAD" w:rsidRPr="008013CF" w:rsidRDefault="009741F7" w:rsidP="00970495">
            <w:pPr>
              <w:pStyle w:val="Tabletext0"/>
              <w:ind w:left="284" w:hanging="284"/>
              <w:rPr>
                <w:rFonts w:cstheme="minorHAnsi"/>
                <w:sz w:val="22"/>
                <w:szCs w:val="22"/>
                <w:lang w:val="fr-FR"/>
              </w:rPr>
            </w:pPr>
            <w:r w:rsidRPr="008013CF">
              <w:rPr>
                <w:color w:val="000000"/>
                <w:lang w:val="fr-FR"/>
              </w:rPr>
              <w:t>–</w:t>
            </w:r>
            <w:r w:rsidRPr="008013CF">
              <w:rPr>
                <w:color w:val="000000"/>
                <w:lang w:val="fr-FR"/>
              </w:rPr>
              <w:tab/>
            </w:r>
            <w:r w:rsidR="00107AAD" w:rsidRPr="008013CF">
              <w:rPr>
                <w:color w:val="000000"/>
                <w:lang w:val="fr-FR"/>
              </w:rPr>
              <w:t xml:space="preserve">Soumission des contributions à la JCA-MV par courrier électronique à l'adresse </w:t>
            </w:r>
            <w:hyperlink r:id="rId26" w:history="1">
              <w:r w:rsidR="00107AAD" w:rsidRPr="008013CF">
                <w:rPr>
                  <w:rStyle w:val="Hyperlink"/>
                  <w:lang w:val="fr-FR"/>
                </w:rPr>
                <w:t>tsbjcamv@itu.int</w:t>
              </w:r>
            </w:hyperlink>
            <w:r w:rsidR="00107AAD" w:rsidRPr="008013CF">
              <w:rPr>
                <w:color w:val="000000"/>
                <w:lang w:val="fr-FR"/>
              </w:rPr>
              <w:t>.</w:t>
            </w:r>
            <w:hyperlink r:id="rId27" w:history="1"/>
          </w:p>
        </w:tc>
      </w:tr>
      <w:tr w:rsidR="00107AAD" w:rsidRPr="008013CF" w14:paraId="4104C4CC" w14:textId="77777777" w:rsidTr="00970495">
        <w:tc>
          <w:tcPr>
            <w:tcW w:w="2138" w:type="dxa"/>
          </w:tcPr>
          <w:p w14:paraId="4F62C456" w14:textId="77777777" w:rsidR="00107AAD" w:rsidRPr="008013CF" w:rsidRDefault="00107AAD" w:rsidP="00970495">
            <w:pPr>
              <w:pStyle w:val="Tabletext0"/>
              <w:rPr>
                <w:rFonts w:cstheme="minorHAnsi"/>
                <w:sz w:val="22"/>
                <w:szCs w:val="22"/>
                <w:lang w:val="fr-FR"/>
              </w:rPr>
            </w:pPr>
            <w:r w:rsidRPr="008013CF">
              <w:rPr>
                <w:color w:val="000000"/>
                <w:lang w:val="fr-FR"/>
              </w:rPr>
              <w:t>4 mai 2026</w:t>
            </w:r>
          </w:p>
        </w:tc>
        <w:tc>
          <w:tcPr>
            <w:tcW w:w="7577" w:type="dxa"/>
            <w:tcBorders>
              <w:right w:val="single" w:sz="4" w:space="0" w:color="auto"/>
            </w:tcBorders>
          </w:tcPr>
          <w:p w14:paraId="1B12F319" w14:textId="6AB8C1FC" w:rsidR="00107AAD" w:rsidRPr="008013CF" w:rsidRDefault="009741F7" w:rsidP="00970495">
            <w:pPr>
              <w:pStyle w:val="Tabletext0"/>
              <w:ind w:left="284" w:hanging="284"/>
              <w:rPr>
                <w:rFonts w:cstheme="minorHAnsi"/>
                <w:sz w:val="22"/>
                <w:szCs w:val="22"/>
                <w:lang w:val="fr-FR"/>
              </w:rPr>
            </w:pPr>
            <w:r w:rsidRPr="008013CF">
              <w:rPr>
                <w:color w:val="000000"/>
                <w:lang w:val="fr-FR"/>
              </w:rPr>
              <w:t>–</w:t>
            </w:r>
            <w:r w:rsidRPr="008013CF">
              <w:rPr>
                <w:color w:val="000000"/>
                <w:lang w:val="fr-FR"/>
              </w:rPr>
              <w:tab/>
            </w:r>
            <w:r w:rsidR="00107AAD" w:rsidRPr="008013CF">
              <w:rPr>
                <w:color w:val="000000"/>
                <w:lang w:val="fr-FR"/>
              </w:rPr>
              <w:t xml:space="preserve">Inscription préalable (au moyen du formulaire d'inscription en ligne disponible sur la </w:t>
            </w:r>
            <w:hyperlink r:id="rId28" w:history="1">
              <w:r w:rsidR="00107AAD" w:rsidRPr="008013CF">
                <w:rPr>
                  <w:rStyle w:val="Hyperlink"/>
                  <w:lang w:val="fr-FR"/>
                </w:rPr>
                <w:t>page d'accueil de la JCA-MV</w:t>
              </w:r>
            </w:hyperlink>
            <w:r w:rsidR="00107AAD" w:rsidRPr="008013CF">
              <w:rPr>
                <w:color w:val="000000"/>
                <w:lang w:val="fr-FR"/>
              </w:rPr>
              <w:t>).</w:t>
            </w:r>
            <w:hyperlink r:id="rId29">
              <w:hyperlink r:id="rId30" w:history="1"/>
            </w:hyperlink>
          </w:p>
        </w:tc>
      </w:tr>
    </w:tbl>
    <w:p w14:paraId="2AC4BDF6" w14:textId="6EFEA138" w:rsidR="00107AAD" w:rsidRPr="008013CF" w:rsidRDefault="00107AAD" w:rsidP="00107AAD">
      <w:pPr>
        <w:rPr>
          <w:bCs/>
        </w:rPr>
      </w:pPr>
      <w:r w:rsidRPr="008013CF">
        <w:t>Je vous souhaite une réunion constructive et agréable.</w:t>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5"/>
        <w:gridCol w:w="2355"/>
      </w:tblGrid>
      <w:tr w:rsidR="00107AAD" w:rsidRPr="008013CF" w14:paraId="49E15CBD" w14:textId="77777777" w:rsidTr="00970495">
        <w:trPr>
          <w:trHeight w:val="2090"/>
        </w:trPr>
        <w:tc>
          <w:tcPr>
            <w:tcW w:w="7395" w:type="dxa"/>
          </w:tcPr>
          <w:p w14:paraId="7ADA69C4" w14:textId="77777777" w:rsidR="00107AAD" w:rsidRPr="008013CF" w:rsidRDefault="00107AAD" w:rsidP="00970495">
            <w:pPr>
              <w:ind w:left="-115" w:firstLine="10"/>
              <w:rPr>
                <w:color w:val="000000"/>
              </w:rPr>
            </w:pPr>
            <w:r w:rsidRPr="008013CF">
              <w:rPr>
                <w:color w:val="000000"/>
              </w:rPr>
              <w:t>Veuillez agréer, Madame, Monsieur, l'assurance de ma considération distinguée.</w:t>
            </w:r>
          </w:p>
          <w:p w14:paraId="71BDE6C1" w14:textId="77777777" w:rsidR="00107AAD" w:rsidRPr="008013CF" w:rsidRDefault="00107AAD" w:rsidP="00107AAD">
            <w:pPr>
              <w:spacing w:before="480" w:after="480"/>
              <w:ind w:left="-109"/>
              <w:rPr>
                <w:bCs/>
              </w:rPr>
            </w:pPr>
            <w:r w:rsidRPr="008013CF">
              <w:rPr>
                <w:bCs/>
              </w:rPr>
              <w:t>(</w:t>
            </w:r>
            <w:proofErr w:type="gramStart"/>
            <w:r w:rsidRPr="008013CF">
              <w:rPr>
                <w:bCs/>
                <w:i/>
              </w:rPr>
              <w:t>signé</w:t>
            </w:r>
            <w:proofErr w:type="gramEnd"/>
            <w:r w:rsidRPr="008013CF">
              <w:rPr>
                <w:bCs/>
              </w:rPr>
              <w:t>)</w:t>
            </w:r>
          </w:p>
          <w:p w14:paraId="281884DB" w14:textId="4DDE8993" w:rsidR="00107AAD" w:rsidRPr="008013CF" w:rsidRDefault="00107AAD" w:rsidP="00107AAD">
            <w:pPr>
              <w:tabs>
                <w:tab w:val="left" w:pos="1418"/>
                <w:tab w:val="left" w:pos="1702"/>
                <w:tab w:val="left" w:pos="2160"/>
              </w:tabs>
              <w:spacing w:before="480"/>
              <w:ind w:left="-115" w:right="92"/>
              <w:rPr>
                <w:rFonts w:eastAsia="SimSun"/>
                <w:sz w:val="22"/>
                <w:szCs w:val="22"/>
              </w:rPr>
            </w:pPr>
            <w:r w:rsidRPr="008013CF">
              <w:rPr>
                <w:color w:val="000000"/>
              </w:rPr>
              <w:t xml:space="preserve">Seizo Onoe </w:t>
            </w:r>
            <w:r w:rsidRPr="008013CF">
              <w:rPr>
                <w:color w:val="000000"/>
              </w:rPr>
              <w:br/>
              <w:t>Directeur du Bureau de la normalisation</w:t>
            </w:r>
            <w:r w:rsidR="009741F7" w:rsidRPr="008013CF">
              <w:rPr>
                <w:color w:val="000000"/>
              </w:rPr>
              <w:br/>
            </w:r>
            <w:r w:rsidRPr="008013CF">
              <w:rPr>
                <w:color w:val="000000"/>
              </w:rPr>
              <w:t>des télécommunications</w:t>
            </w:r>
          </w:p>
        </w:tc>
        <w:tc>
          <w:tcPr>
            <w:tcW w:w="2355" w:type="dxa"/>
            <w:textDirection w:val="btLr"/>
          </w:tcPr>
          <w:p w14:paraId="4FAD9AC0" w14:textId="77777777" w:rsidR="00107AAD" w:rsidRPr="008013CF" w:rsidRDefault="00107AAD" w:rsidP="00970495">
            <w:pPr>
              <w:spacing w:before="0" w:after="120"/>
              <w:ind w:left="113" w:right="113"/>
              <w:jc w:val="center"/>
              <w:rPr>
                <w:rFonts w:cstheme="minorHAnsi"/>
                <w:sz w:val="22"/>
                <w:szCs w:val="22"/>
              </w:rPr>
            </w:pPr>
            <w:r w:rsidRPr="008013CF">
              <w:rPr>
                <w:rFonts w:cstheme="minorHAnsi"/>
                <w:noProof/>
                <w:color w:val="000000"/>
                <w:sz w:val="22"/>
                <w:szCs w:val="22"/>
              </w:rPr>
              <w:drawing>
                <wp:inline distT="0" distB="0" distL="0" distR="0" wp14:anchorId="56B73A3C" wp14:editId="4E41EFA1">
                  <wp:extent cx="988201" cy="988201"/>
                  <wp:effectExtent l="0" t="0" r="2540" b="2540"/>
                  <wp:docPr id="7522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p w14:paraId="5216A5BE" w14:textId="77777777" w:rsidR="00107AAD" w:rsidRPr="008013CF" w:rsidRDefault="00107AAD" w:rsidP="00970495">
            <w:pPr>
              <w:tabs>
                <w:tab w:val="left" w:pos="1418"/>
                <w:tab w:val="left" w:pos="1702"/>
                <w:tab w:val="left" w:pos="2160"/>
              </w:tabs>
              <w:ind w:right="92"/>
              <w:jc w:val="center"/>
              <w:rPr>
                <w:rFonts w:eastAsia="SimSun"/>
                <w:sz w:val="20"/>
              </w:rPr>
            </w:pPr>
            <w:r w:rsidRPr="008013CF">
              <w:rPr>
                <w:color w:val="000000"/>
                <w:sz w:val="20"/>
              </w:rPr>
              <w:t>Plus d'informations</w:t>
            </w:r>
          </w:p>
        </w:tc>
      </w:tr>
    </w:tbl>
    <w:p w14:paraId="3B647157" w14:textId="77777777" w:rsidR="00517A03" w:rsidRPr="008013CF" w:rsidRDefault="00517A03" w:rsidP="009741F7">
      <w:pPr>
        <w:rPr>
          <w:bCs/>
        </w:rPr>
      </w:pPr>
    </w:p>
    <w:sectPr w:rsidR="00517A03" w:rsidRPr="008013CF" w:rsidSect="00A15179">
      <w:headerReference w:type="default" r:id="rId32"/>
      <w:footerReference w:type="first" r:id="rId3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05DE8A3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C4374E7" w:rsidR="00697BC1" w:rsidRPr="00697BC1" w:rsidRDefault="00E854E6"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107AAD">
      <w:rPr>
        <w:noProof/>
        <w:sz w:val="18"/>
        <w:szCs w:val="16"/>
      </w:rPr>
      <w:t>127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0DE5738"/>
    <w:multiLevelType w:val="hybridMultilevel"/>
    <w:tmpl w:val="8F06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2661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07AAD"/>
    <w:rsid w:val="00115DD7"/>
    <w:rsid w:val="00167472"/>
    <w:rsid w:val="00167F92"/>
    <w:rsid w:val="00173738"/>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6579C"/>
    <w:rsid w:val="00775E4B"/>
    <w:rsid w:val="0079553B"/>
    <w:rsid w:val="00795679"/>
    <w:rsid w:val="007A40FE"/>
    <w:rsid w:val="008013CF"/>
    <w:rsid w:val="00810105"/>
    <w:rsid w:val="008157E0"/>
    <w:rsid w:val="00850477"/>
    <w:rsid w:val="00854E1D"/>
    <w:rsid w:val="008739AF"/>
    <w:rsid w:val="00887FA6"/>
    <w:rsid w:val="008C4397"/>
    <w:rsid w:val="008C465A"/>
    <w:rsid w:val="008E5AED"/>
    <w:rsid w:val="008F2C9B"/>
    <w:rsid w:val="00923CD6"/>
    <w:rsid w:val="00930707"/>
    <w:rsid w:val="00935AA8"/>
    <w:rsid w:val="00971C9A"/>
    <w:rsid w:val="009741F7"/>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533D3"/>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21F37"/>
    <w:rsid w:val="00D46B68"/>
    <w:rsid w:val="00D542A5"/>
    <w:rsid w:val="00DC3D47"/>
    <w:rsid w:val="00DD77DA"/>
    <w:rsid w:val="00E06C61"/>
    <w:rsid w:val="00E13DB3"/>
    <w:rsid w:val="00E2408B"/>
    <w:rsid w:val="00E62CEA"/>
    <w:rsid w:val="00E72AE1"/>
    <w:rsid w:val="00EB7956"/>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CEO_Hyperlink,超?级链,Style 58,超????,하이퍼링크2,超链接1,하이퍼링크21,超??级链Ú,fL????,fL?级,超??级链"/>
    <w:uiPriority w:val="99"/>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107AA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lang w:val="en-GB"/>
    </w:rPr>
  </w:style>
  <w:style w:type="table" w:styleId="TableGrid">
    <w:name w:val="Table Grid"/>
    <w:basedOn w:val="TableNormal"/>
    <w:rsid w:val="00107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jca/mv/Pages/tor.aspx" TargetMode="External"/><Relationship Id="rId18" Type="http://schemas.openxmlformats.org/officeDocument/2006/relationships/hyperlink" Target="https://www.itu.int/metaverse/virtual-worlds/2nd-citiverse-assembly/" TargetMode="External"/><Relationship Id="rId26" Type="http://schemas.openxmlformats.org/officeDocument/2006/relationships/hyperlink" Target="mailto:tsbjcamv@itu.int" TargetMode="External"/><Relationship Id="rId3" Type="http://schemas.openxmlformats.org/officeDocument/2006/relationships/styles" Target="styles.xml"/><Relationship Id="rId21" Type="http://schemas.openxmlformats.org/officeDocument/2006/relationships/hyperlink" Target="https://www.itu.int/en/ITU-T/studygroups/2025-2028/20/Pages/default.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T/jca/mv/Pages/tor.aspx" TargetMode="External"/><Relationship Id="rId17" Type="http://schemas.openxmlformats.org/officeDocument/2006/relationships/hyperlink" Target="https://www.itu.int/un-virtual-worlds-day/2026/" TargetMode="External"/><Relationship Id="rId25" Type="http://schemas.openxmlformats.org/officeDocument/2006/relationships/hyperlink" Target="https://www.itu.int/en/ITU-T/jca/mv/Pages/default.asp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un-virtual-worlds-day/2026/" TargetMode="External"/><Relationship Id="rId20" Type="http://schemas.openxmlformats.org/officeDocument/2006/relationships/hyperlink" Target="https://www.itu.int/en/ITU-T/studygroups/2025-2028/20/Pages/default.aspx" TargetMode="External"/><Relationship Id="rId29" Type="http://schemas.openxmlformats.org/officeDocument/2006/relationships/hyperlink" Target="http://itu.int/en/ITU-T/jca/qk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jca/mv" TargetMode="External"/><Relationship Id="rId24" Type="http://schemas.openxmlformats.org/officeDocument/2006/relationships/hyperlink" Target="mailto:mtsbjcamv@itu.i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tu.int/en/ITU-T/jca/mv" TargetMode="External"/><Relationship Id="rId23" Type="http://schemas.openxmlformats.org/officeDocument/2006/relationships/hyperlink" Target="http://itu.int/en/ITU-T/jca/mv" TargetMode="External"/><Relationship Id="rId28" Type="http://schemas.openxmlformats.org/officeDocument/2006/relationships/hyperlink" Target="https://www.itu.int/en/ITU-T/jca/mv/Pages/default.aspx" TargetMode="External"/><Relationship Id="rId10" Type="http://schemas.openxmlformats.org/officeDocument/2006/relationships/hyperlink" Target="https://www.itu.int/en/ITU-T/jca/mv/Pages/default.aspx" TargetMode="External"/><Relationship Id="rId19" Type="http://schemas.openxmlformats.org/officeDocument/2006/relationships/hyperlink" Target="https://www.itu.int/metaverse/virtual-worlds/2nd-citiverse-assembly/"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jcamv@itu.int" TargetMode="External"/><Relationship Id="rId14" Type="http://schemas.openxmlformats.org/officeDocument/2006/relationships/hyperlink" Target="https://www.itu.int/en/ITU-T/jca/mv/Pages/default.aspx" TargetMode="External"/><Relationship Id="rId22" Type="http://schemas.openxmlformats.org/officeDocument/2006/relationships/hyperlink" Target="https://www.itu.int/en/ITU-T/jca/mv/Pages/default.aspx" TargetMode="External"/><Relationship Id="rId27" Type="http://schemas.openxmlformats.org/officeDocument/2006/relationships/hyperlink" Target="mailto:tsbjcamv@itu.int" TargetMode="External"/><Relationship Id="rId30" Type="http://schemas.openxmlformats.org/officeDocument/2006/relationships/hyperlink" Target="http://itu.int/en/ITU-T/jca/mv"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821</Words>
  <Characters>4636</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5378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2026-04-08T13:08:00Z</dcterms:created>
  <dcterms:modified xsi:type="dcterms:W3CDTF">2026-04-08T13:08:00Z</dcterms:modified>
</cp:coreProperties>
</file>