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990" w:type="dxa"/>
        <w:tblLayout w:type="fixed"/>
        <w:tblCellMar>
          <w:left w:w="0" w:type="dxa"/>
          <w:right w:w="0" w:type="dxa"/>
        </w:tblCellMar>
        <w:tblLook w:val="0000" w:firstRow="0" w:lastRow="0" w:firstColumn="0" w:lastColumn="0" w:noHBand="0" w:noVBand="0"/>
      </w:tblPr>
      <w:tblGrid>
        <w:gridCol w:w="1350"/>
        <w:gridCol w:w="60"/>
        <w:gridCol w:w="3450"/>
        <w:gridCol w:w="5130"/>
      </w:tblGrid>
      <w:tr w:rsidR="007B6316" w14:paraId="168C7D6A" w14:textId="77777777" w:rsidTr="001E09D0">
        <w:trPr>
          <w:cantSplit/>
          <w:trHeight w:val="340"/>
        </w:trPr>
        <w:tc>
          <w:tcPr>
            <w:tcW w:w="1410" w:type="dxa"/>
            <w:gridSpan w:val="2"/>
          </w:tcPr>
          <w:p w14:paraId="5C56A6A3" w14:textId="77777777" w:rsidR="007B6316" w:rsidRDefault="007B6316" w:rsidP="001E09D0">
            <w:pPr>
              <w:tabs>
                <w:tab w:val="left" w:pos="4111"/>
              </w:tabs>
              <w:spacing w:before="10"/>
              <w:ind w:left="57"/>
              <w:rPr>
                <w:sz w:val="22"/>
              </w:rPr>
            </w:pPr>
            <w:r w:rsidRPr="00F1238A">
              <w:rPr>
                <w:noProof/>
                <w:lang w:val="en-US" w:eastAsia="zh-CN"/>
              </w:rPr>
              <w:drawing>
                <wp:inline distT="0" distB="0" distL="0" distR="0" wp14:anchorId="65DB4512" wp14:editId="27F5A446">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580" w:type="dxa"/>
            <w:gridSpan w:val="2"/>
            <w:vAlign w:val="center"/>
          </w:tcPr>
          <w:p w14:paraId="0343ABFC" w14:textId="77777777" w:rsidR="007B6316" w:rsidRPr="00081FE5" w:rsidRDefault="007B6316" w:rsidP="001E09D0">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5629A42F" w14:textId="77777777" w:rsidR="007B6316" w:rsidRDefault="007B6316" w:rsidP="001E09D0">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1E09D0" w14:paraId="121FD421" w14:textId="77777777" w:rsidTr="001E09D0">
        <w:trPr>
          <w:cantSplit/>
          <w:trHeight w:val="777"/>
        </w:trPr>
        <w:tc>
          <w:tcPr>
            <w:tcW w:w="1350" w:type="dxa"/>
          </w:tcPr>
          <w:p w14:paraId="26B409ED" w14:textId="77777777" w:rsidR="007B6316" w:rsidRPr="001E09D0" w:rsidRDefault="007B6316" w:rsidP="001E09D0">
            <w:pPr>
              <w:tabs>
                <w:tab w:val="left" w:pos="4111"/>
              </w:tabs>
              <w:spacing w:before="10"/>
              <w:ind w:left="57"/>
              <w:rPr>
                <w:b/>
                <w:bCs/>
                <w:sz w:val="22"/>
                <w:szCs w:val="22"/>
              </w:rPr>
            </w:pPr>
          </w:p>
        </w:tc>
        <w:tc>
          <w:tcPr>
            <w:tcW w:w="3510" w:type="dxa"/>
            <w:gridSpan w:val="2"/>
          </w:tcPr>
          <w:p w14:paraId="63ED8856" w14:textId="77777777" w:rsidR="007B6316" w:rsidRPr="001E09D0" w:rsidRDefault="007B6316" w:rsidP="001E09D0">
            <w:pPr>
              <w:tabs>
                <w:tab w:val="left" w:pos="4111"/>
              </w:tabs>
              <w:spacing w:before="0"/>
              <w:ind w:left="57"/>
              <w:rPr>
                <w:b/>
                <w:sz w:val="22"/>
                <w:szCs w:val="22"/>
              </w:rPr>
            </w:pPr>
          </w:p>
        </w:tc>
        <w:tc>
          <w:tcPr>
            <w:tcW w:w="5130" w:type="dxa"/>
          </w:tcPr>
          <w:p w14:paraId="2A9430C6" w14:textId="5A0B4FCF" w:rsidR="007B6316" w:rsidRPr="001E09D0" w:rsidRDefault="007B6316" w:rsidP="001E09D0">
            <w:pPr>
              <w:tabs>
                <w:tab w:val="clear" w:pos="794"/>
                <w:tab w:val="clear" w:pos="1191"/>
                <w:tab w:val="clear" w:pos="1588"/>
                <w:tab w:val="clear" w:pos="1985"/>
                <w:tab w:val="left" w:pos="284"/>
              </w:tabs>
              <w:spacing w:after="120"/>
              <w:ind w:left="284" w:hanging="227"/>
              <w:rPr>
                <w:sz w:val="22"/>
                <w:szCs w:val="22"/>
              </w:rPr>
            </w:pPr>
            <w:r w:rsidRPr="001E09D0">
              <w:rPr>
                <w:sz w:val="22"/>
                <w:szCs w:val="22"/>
              </w:rPr>
              <w:t>Ginebra,</w:t>
            </w:r>
            <w:r w:rsidR="00A13A1A" w:rsidRPr="001E09D0">
              <w:rPr>
                <w:sz w:val="22"/>
                <w:szCs w:val="22"/>
              </w:rPr>
              <w:t xml:space="preserve"> 1 de abril de 2026</w:t>
            </w:r>
          </w:p>
        </w:tc>
      </w:tr>
      <w:tr w:rsidR="001350B9" w:rsidRPr="001E09D0" w14:paraId="14F2CF7E" w14:textId="77777777" w:rsidTr="001E09D0">
        <w:trPr>
          <w:cantSplit/>
          <w:trHeight w:val="340"/>
        </w:trPr>
        <w:tc>
          <w:tcPr>
            <w:tcW w:w="1350" w:type="dxa"/>
          </w:tcPr>
          <w:p w14:paraId="6A19B24E" w14:textId="77777777" w:rsidR="001350B9" w:rsidRPr="001E09D0" w:rsidRDefault="001350B9" w:rsidP="001E09D0">
            <w:pPr>
              <w:tabs>
                <w:tab w:val="left" w:pos="4111"/>
              </w:tabs>
              <w:spacing w:before="10"/>
              <w:rPr>
                <w:sz w:val="22"/>
                <w:szCs w:val="22"/>
              </w:rPr>
            </w:pPr>
            <w:r w:rsidRPr="001E09D0">
              <w:rPr>
                <w:b/>
                <w:bCs/>
                <w:sz w:val="22"/>
                <w:szCs w:val="22"/>
              </w:rPr>
              <w:t>Ref</w:t>
            </w:r>
            <w:r w:rsidRPr="001E09D0">
              <w:rPr>
                <w:sz w:val="22"/>
                <w:szCs w:val="22"/>
              </w:rPr>
              <w:t>.:</w:t>
            </w:r>
          </w:p>
          <w:p w14:paraId="76DA3CA4" w14:textId="77777777" w:rsidR="001350B9" w:rsidRPr="001E09D0" w:rsidRDefault="001350B9" w:rsidP="001E09D0">
            <w:pPr>
              <w:tabs>
                <w:tab w:val="left" w:pos="4111"/>
              </w:tabs>
              <w:spacing w:before="10"/>
              <w:rPr>
                <w:sz w:val="22"/>
                <w:szCs w:val="22"/>
              </w:rPr>
            </w:pPr>
          </w:p>
        </w:tc>
        <w:tc>
          <w:tcPr>
            <w:tcW w:w="3510" w:type="dxa"/>
            <w:gridSpan w:val="2"/>
          </w:tcPr>
          <w:p w14:paraId="2D554568" w14:textId="395A1C67" w:rsidR="001350B9" w:rsidRPr="001E09D0" w:rsidRDefault="001350B9" w:rsidP="001E09D0">
            <w:pPr>
              <w:tabs>
                <w:tab w:val="left" w:pos="4111"/>
              </w:tabs>
              <w:spacing w:before="0"/>
              <w:ind w:left="57"/>
              <w:rPr>
                <w:b/>
                <w:sz w:val="22"/>
                <w:szCs w:val="22"/>
              </w:rPr>
            </w:pPr>
            <w:r w:rsidRPr="001E09D0">
              <w:rPr>
                <w:b/>
                <w:sz w:val="22"/>
                <w:szCs w:val="22"/>
              </w:rPr>
              <w:t xml:space="preserve">Circular TSB </w:t>
            </w:r>
            <w:r w:rsidR="00A13A1A" w:rsidRPr="001E09D0">
              <w:rPr>
                <w:b/>
                <w:sz w:val="22"/>
                <w:szCs w:val="22"/>
              </w:rPr>
              <w:t>125</w:t>
            </w:r>
          </w:p>
          <w:p w14:paraId="3B547AED" w14:textId="390D9729" w:rsidR="001350B9" w:rsidRPr="001E09D0" w:rsidRDefault="00A13A1A" w:rsidP="001E09D0">
            <w:pPr>
              <w:tabs>
                <w:tab w:val="left" w:pos="4111"/>
              </w:tabs>
              <w:spacing w:before="0"/>
              <w:ind w:left="57"/>
              <w:rPr>
                <w:b/>
                <w:sz w:val="22"/>
                <w:szCs w:val="22"/>
              </w:rPr>
            </w:pPr>
            <w:r w:rsidRPr="001E09D0">
              <w:rPr>
                <w:sz w:val="22"/>
                <w:szCs w:val="22"/>
              </w:rPr>
              <w:t>CE 11/DA</w:t>
            </w:r>
          </w:p>
          <w:p w14:paraId="32FCAF43" w14:textId="77777777" w:rsidR="001350B9" w:rsidRPr="001E09D0" w:rsidRDefault="001350B9" w:rsidP="001E09D0">
            <w:pPr>
              <w:tabs>
                <w:tab w:val="left" w:pos="4111"/>
              </w:tabs>
              <w:spacing w:before="0"/>
              <w:ind w:left="57"/>
              <w:rPr>
                <w:sz w:val="22"/>
                <w:szCs w:val="22"/>
              </w:rPr>
            </w:pPr>
          </w:p>
        </w:tc>
        <w:tc>
          <w:tcPr>
            <w:tcW w:w="5130" w:type="dxa"/>
            <w:vMerge w:val="restart"/>
          </w:tcPr>
          <w:p w14:paraId="22DC7D06" w14:textId="5C55527F" w:rsidR="001350B9" w:rsidRPr="001E09D0" w:rsidRDefault="00A13A1A" w:rsidP="001E09D0">
            <w:pPr>
              <w:tabs>
                <w:tab w:val="clear" w:pos="794"/>
                <w:tab w:val="clear" w:pos="1191"/>
                <w:tab w:val="clear" w:pos="1588"/>
                <w:tab w:val="clear" w:pos="1985"/>
                <w:tab w:val="left" w:pos="284"/>
              </w:tabs>
              <w:spacing w:before="0"/>
              <w:rPr>
                <w:sz w:val="22"/>
                <w:szCs w:val="22"/>
              </w:rPr>
            </w:pPr>
            <w:bookmarkStart w:id="0" w:name="Addressee_S"/>
            <w:bookmarkEnd w:id="0"/>
            <w:r w:rsidRPr="001E09D0">
              <w:rPr>
                <w:sz w:val="22"/>
                <w:szCs w:val="22"/>
              </w:rPr>
              <w:t>–</w:t>
            </w:r>
            <w:r w:rsidRPr="001E09D0">
              <w:rPr>
                <w:sz w:val="22"/>
                <w:szCs w:val="22"/>
              </w:rPr>
              <w:tab/>
            </w:r>
            <w:r w:rsidR="001350B9" w:rsidRPr="001E09D0">
              <w:rPr>
                <w:sz w:val="22"/>
                <w:szCs w:val="22"/>
              </w:rPr>
              <w:t xml:space="preserve">A las Administraciones de los Estados Miembros de la </w:t>
            </w:r>
            <w:r w:rsidR="001E09D0">
              <w:rPr>
                <w:sz w:val="22"/>
                <w:szCs w:val="22"/>
              </w:rPr>
              <w:tab/>
            </w:r>
            <w:r w:rsidR="001350B9" w:rsidRPr="001E09D0">
              <w:rPr>
                <w:sz w:val="22"/>
                <w:szCs w:val="22"/>
              </w:rPr>
              <w:t>Unión</w:t>
            </w:r>
            <w:r w:rsidR="001E09D0">
              <w:rPr>
                <w:sz w:val="22"/>
                <w:szCs w:val="22"/>
              </w:rPr>
              <w:t>;</w:t>
            </w:r>
          </w:p>
          <w:p w14:paraId="2BCA01CE" w14:textId="2F2B66B1" w:rsidR="00A13A1A" w:rsidRPr="001E09D0" w:rsidRDefault="00A13A1A" w:rsidP="001E09D0">
            <w:pPr>
              <w:tabs>
                <w:tab w:val="clear" w:pos="794"/>
                <w:tab w:val="clear" w:pos="1191"/>
                <w:tab w:val="clear" w:pos="1588"/>
                <w:tab w:val="clear" w:pos="1985"/>
                <w:tab w:val="left" w:pos="284"/>
              </w:tabs>
              <w:spacing w:before="0"/>
              <w:rPr>
                <w:sz w:val="22"/>
                <w:szCs w:val="22"/>
              </w:rPr>
            </w:pPr>
            <w:r w:rsidRPr="001E09D0">
              <w:rPr>
                <w:sz w:val="22"/>
                <w:szCs w:val="22"/>
              </w:rPr>
              <w:t>–</w:t>
            </w:r>
            <w:r w:rsidRPr="001E09D0">
              <w:rPr>
                <w:sz w:val="22"/>
                <w:szCs w:val="22"/>
              </w:rPr>
              <w:tab/>
              <w:t>Al Estado de Palestina (Res.99 (Rev. Dubái, 2018));</w:t>
            </w:r>
          </w:p>
          <w:p w14:paraId="7B74AA1B" w14:textId="77777777" w:rsidR="00EA68E6" w:rsidRPr="001E09D0" w:rsidRDefault="00EA68E6" w:rsidP="001E09D0">
            <w:pPr>
              <w:tabs>
                <w:tab w:val="clear" w:pos="794"/>
                <w:tab w:val="left" w:pos="226"/>
                <w:tab w:val="left" w:pos="4111"/>
              </w:tabs>
              <w:spacing w:before="0"/>
              <w:rPr>
                <w:sz w:val="22"/>
                <w:szCs w:val="22"/>
              </w:rPr>
            </w:pPr>
            <w:r w:rsidRPr="001E09D0">
              <w:rPr>
                <w:sz w:val="22"/>
                <w:szCs w:val="22"/>
              </w:rPr>
              <w:t>–</w:t>
            </w:r>
            <w:r w:rsidRPr="001E09D0">
              <w:rPr>
                <w:sz w:val="22"/>
                <w:szCs w:val="22"/>
              </w:rPr>
              <w:tab/>
              <w:t>A los Miembros del Sector UIT</w:t>
            </w:r>
            <w:r w:rsidRPr="001E09D0">
              <w:rPr>
                <w:sz w:val="22"/>
                <w:szCs w:val="22"/>
              </w:rPr>
              <w:noBreakHyphen/>
              <w:t>T;</w:t>
            </w:r>
          </w:p>
          <w:p w14:paraId="45AEB5F5" w14:textId="5ED3838A" w:rsidR="00EA68E6" w:rsidRPr="001E09D0" w:rsidRDefault="00EA68E6" w:rsidP="001E09D0">
            <w:pPr>
              <w:tabs>
                <w:tab w:val="clear" w:pos="794"/>
                <w:tab w:val="left" w:pos="226"/>
                <w:tab w:val="left" w:pos="4111"/>
              </w:tabs>
              <w:spacing w:before="0"/>
              <w:rPr>
                <w:sz w:val="22"/>
                <w:szCs w:val="22"/>
              </w:rPr>
            </w:pPr>
            <w:r w:rsidRPr="001E09D0">
              <w:rPr>
                <w:sz w:val="22"/>
                <w:szCs w:val="22"/>
              </w:rPr>
              <w:t>–</w:t>
            </w:r>
            <w:r w:rsidRPr="001E09D0">
              <w:rPr>
                <w:sz w:val="22"/>
                <w:szCs w:val="22"/>
              </w:rPr>
              <w:tab/>
              <w:t>A los Asociados del UIT</w:t>
            </w:r>
            <w:r w:rsidRPr="001E09D0">
              <w:rPr>
                <w:sz w:val="22"/>
                <w:szCs w:val="22"/>
              </w:rPr>
              <w:noBreakHyphen/>
              <w:t xml:space="preserve">T de la Comisión de </w:t>
            </w:r>
            <w:r w:rsidR="001E09D0">
              <w:rPr>
                <w:sz w:val="22"/>
                <w:szCs w:val="22"/>
              </w:rPr>
              <w:tab/>
            </w:r>
            <w:r w:rsidRPr="001E09D0">
              <w:rPr>
                <w:sz w:val="22"/>
                <w:szCs w:val="22"/>
              </w:rPr>
              <w:t>Estudio 11;</w:t>
            </w:r>
          </w:p>
          <w:p w14:paraId="5A87646D" w14:textId="0BC36F05" w:rsidR="00EA68E6" w:rsidRPr="001E09D0" w:rsidRDefault="00EA68E6" w:rsidP="001E09D0">
            <w:pPr>
              <w:tabs>
                <w:tab w:val="clear" w:pos="794"/>
                <w:tab w:val="left" w:pos="226"/>
                <w:tab w:val="left" w:pos="4111"/>
              </w:tabs>
              <w:spacing w:before="0"/>
              <w:rPr>
                <w:sz w:val="22"/>
                <w:szCs w:val="22"/>
              </w:rPr>
            </w:pPr>
            <w:r w:rsidRPr="001E09D0">
              <w:rPr>
                <w:sz w:val="22"/>
                <w:szCs w:val="22"/>
              </w:rPr>
              <w:t>–</w:t>
            </w:r>
            <w:r w:rsidRPr="001E09D0">
              <w:rPr>
                <w:sz w:val="22"/>
                <w:szCs w:val="22"/>
              </w:rPr>
              <w:tab/>
              <w:t>A las Instituciones Académicas del UIT-T</w:t>
            </w:r>
          </w:p>
          <w:p w14:paraId="7FB5274B" w14:textId="38C087AE" w:rsidR="001350B9" w:rsidRPr="001E09D0" w:rsidRDefault="00A13A1A" w:rsidP="001E09D0">
            <w:pPr>
              <w:tabs>
                <w:tab w:val="left" w:pos="4111"/>
              </w:tabs>
              <w:spacing w:before="0"/>
              <w:ind w:left="57"/>
              <w:rPr>
                <w:b/>
                <w:bCs/>
                <w:sz w:val="22"/>
                <w:szCs w:val="22"/>
              </w:rPr>
            </w:pPr>
            <w:r w:rsidRPr="001E09D0">
              <w:rPr>
                <w:b/>
                <w:bCs/>
                <w:sz w:val="22"/>
                <w:szCs w:val="22"/>
              </w:rPr>
              <w:t>Copia</w:t>
            </w:r>
          </w:p>
          <w:p w14:paraId="37AEDF2F" w14:textId="4B5E7451" w:rsidR="001350B9" w:rsidRPr="001E09D0" w:rsidRDefault="00A13A1A" w:rsidP="001E09D0">
            <w:pPr>
              <w:tabs>
                <w:tab w:val="left" w:pos="226"/>
                <w:tab w:val="left" w:pos="4111"/>
              </w:tabs>
              <w:spacing w:before="0"/>
              <w:ind w:left="226" w:hanging="226"/>
              <w:rPr>
                <w:sz w:val="22"/>
                <w:szCs w:val="22"/>
              </w:rPr>
            </w:pPr>
            <w:r w:rsidRPr="001E09D0">
              <w:rPr>
                <w:sz w:val="22"/>
                <w:szCs w:val="22"/>
              </w:rPr>
              <w:t>–</w:t>
            </w:r>
            <w:r w:rsidRPr="001E09D0">
              <w:rPr>
                <w:sz w:val="22"/>
                <w:szCs w:val="22"/>
              </w:rPr>
              <w:tab/>
            </w:r>
            <w:r w:rsidR="001350B9" w:rsidRPr="001E09D0">
              <w:rPr>
                <w:sz w:val="22"/>
                <w:szCs w:val="22"/>
              </w:rPr>
              <w:t xml:space="preserve">Al </w:t>
            </w:r>
            <w:proofErr w:type="gramStart"/>
            <w:r w:rsidR="001350B9" w:rsidRPr="001E09D0">
              <w:rPr>
                <w:sz w:val="22"/>
                <w:szCs w:val="22"/>
              </w:rPr>
              <w:t>Presidente</w:t>
            </w:r>
            <w:proofErr w:type="gramEnd"/>
            <w:r w:rsidR="001350B9" w:rsidRPr="001E09D0">
              <w:rPr>
                <w:sz w:val="22"/>
                <w:szCs w:val="22"/>
              </w:rPr>
              <w:t xml:space="preserve"> y a los </w:t>
            </w:r>
            <w:proofErr w:type="gramStart"/>
            <w:r w:rsidR="001350B9" w:rsidRPr="001E09D0">
              <w:rPr>
                <w:sz w:val="22"/>
                <w:szCs w:val="22"/>
              </w:rPr>
              <w:t>Vicepresidentes</w:t>
            </w:r>
            <w:proofErr w:type="gramEnd"/>
            <w:r w:rsidR="001350B9" w:rsidRPr="001E09D0">
              <w:rPr>
                <w:sz w:val="22"/>
                <w:szCs w:val="22"/>
              </w:rPr>
              <w:t xml:space="preserve"> de la</w:t>
            </w:r>
            <w:r w:rsidR="001350B9" w:rsidRPr="001E09D0">
              <w:rPr>
                <w:sz w:val="22"/>
                <w:szCs w:val="22"/>
              </w:rPr>
              <w:br/>
              <w:t xml:space="preserve">Comisión de Estudio </w:t>
            </w:r>
            <w:r w:rsidRPr="001E09D0">
              <w:rPr>
                <w:sz w:val="22"/>
                <w:szCs w:val="22"/>
              </w:rPr>
              <w:t>11;</w:t>
            </w:r>
          </w:p>
          <w:p w14:paraId="4AB4E7FD" w14:textId="504AC0CE" w:rsidR="001350B9" w:rsidRPr="001E09D0" w:rsidRDefault="00A13A1A" w:rsidP="001E09D0">
            <w:pPr>
              <w:tabs>
                <w:tab w:val="clear" w:pos="794"/>
                <w:tab w:val="clear" w:pos="1191"/>
                <w:tab w:val="clear" w:pos="1588"/>
                <w:tab w:val="clear" w:pos="1985"/>
                <w:tab w:val="left" w:pos="226"/>
                <w:tab w:val="left" w:pos="510"/>
              </w:tabs>
              <w:spacing w:before="0"/>
              <w:rPr>
                <w:sz w:val="22"/>
                <w:szCs w:val="22"/>
              </w:rPr>
            </w:pPr>
            <w:r w:rsidRPr="001E09D0">
              <w:rPr>
                <w:sz w:val="22"/>
                <w:szCs w:val="22"/>
              </w:rPr>
              <w:t>–</w:t>
            </w:r>
            <w:r w:rsidRPr="001E09D0">
              <w:rPr>
                <w:sz w:val="22"/>
                <w:szCs w:val="22"/>
              </w:rPr>
              <w:tab/>
            </w:r>
            <w:r w:rsidR="001350B9" w:rsidRPr="001E09D0">
              <w:rPr>
                <w:sz w:val="22"/>
                <w:szCs w:val="22"/>
              </w:rPr>
              <w:t xml:space="preserve">A la </w:t>
            </w:r>
            <w:proofErr w:type="gramStart"/>
            <w:r w:rsidR="001350B9" w:rsidRPr="001E09D0">
              <w:rPr>
                <w:sz w:val="22"/>
                <w:szCs w:val="22"/>
              </w:rPr>
              <w:t>Directora</w:t>
            </w:r>
            <w:proofErr w:type="gramEnd"/>
            <w:r w:rsidR="001350B9" w:rsidRPr="001E09D0">
              <w:rPr>
                <w:sz w:val="22"/>
                <w:szCs w:val="22"/>
              </w:rPr>
              <w:t xml:space="preserve"> de la Oficina de Desarrollo de las </w:t>
            </w:r>
            <w:r w:rsidR="001E09D0">
              <w:rPr>
                <w:sz w:val="22"/>
                <w:szCs w:val="22"/>
              </w:rPr>
              <w:tab/>
            </w:r>
            <w:r w:rsidR="001350B9" w:rsidRPr="001E09D0">
              <w:rPr>
                <w:sz w:val="22"/>
                <w:szCs w:val="22"/>
              </w:rPr>
              <w:t>Telecomunicaciones;</w:t>
            </w:r>
          </w:p>
          <w:p w14:paraId="1934AD8E" w14:textId="1E6788A4" w:rsidR="001350B9" w:rsidRPr="001E09D0" w:rsidRDefault="00A13A1A" w:rsidP="001E09D0">
            <w:pPr>
              <w:tabs>
                <w:tab w:val="left" w:pos="226"/>
                <w:tab w:val="left" w:pos="510"/>
              </w:tabs>
              <w:spacing w:before="0"/>
              <w:rPr>
                <w:sz w:val="22"/>
                <w:szCs w:val="22"/>
              </w:rPr>
            </w:pPr>
            <w:r w:rsidRPr="001E09D0">
              <w:rPr>
                <w:sz w:val="22"/>
                <w:szCs w:val="22"/>
              </w:rPr>
              <w:t>–</w:t>
            </w:r>
            <w:r w:rsidRPr="001E09D0">
              <w:rPr>
                <w:sz w:val="22"/>
                <w:szCs w:val="22"/>
              </w:rPr>
              <w:tab/>
            </w:r>
            <w:r w:rsidR="001350B9" w:rsidRPr="001E09D0">
              <w:rPr>
                <w:sz w:val="22"/>
                <w:szCs w:val="22"/>
              </w:rPr>
              <w:t xml:space="preserve">Al </w:t>
            </w:r>
            <w:proofErr w:type="gramStart"/>
            <w:r w:rsidR="001350B9" w:rsidRPr="001E09D0">
              <w:rPr>
                <w:sz w:val="22"/>
                <w:szCs w:val="22"/>
              </w:rPr>
              <w:t>Director</w:t>
            </w:r>
            <w:proofErr w:type="gramEnd"/>
            <w:r w:rsidR="001350B9" w:rsidRPr="001E09D0">
              <w:rPr>
                <w:sz w:val="22"/>
                <w:szCs w:val="22"/>
              </w:rPr>
              <w:t xml:space="preserve"> de la Oficina de Radiocomunicaciones</w:t>
            </w:r>
          </w:p>
        </w:tc>
      </w:tr>
      <w:tr w:rsidR="001350B9" w:rsidRPr="001E09D0" w14:paraId="63928E40" w14:textId="77777777" w:rsidTr="001E09D0">
        <w:trPr>
          <w:cantSplit/>
        </w:trPr>
        <w:tc>
          <w:tcPr>
            <w:tcW w:w="1350" w:type="dxa"/>
          </w:tcPr>
          <w:p w14:paraId="420EE360" w14:textId="77777777" w:rsidR="001350B9" w:rsidRPr="001E09D0" w:rsidRDefault="001350B9" w:rsidP="001E09D0">
            <w:pPr>
              <w:tabs>
                <w:tab w:val="left" w:pos="4111"/>
              </w:tabs>
              <w:spacing w:before="10"/>
              <w:rPr>
                <w:sz w:val="22"/>
                <w:szCs w:val="22"/>
              </w:rPr>
            </w:pPr>
            <w:r w:rsidRPr="001E09D0">
              <w:rPr>
                <w:sz w:val="22"/>
                <w:szCs w:val="22"/>
              </w:rPr>
              <w:t>Tel.:</w:t>
            </w:r>
          </w:p>
        </w:tc>
        <w:tc>
          <w:tcPr>
            <w:tcW w:w="3510" w:type="dxa"/>
            <w:gridSpan w:val="2"/>
          </w:tcPr>
          <w:p w14:paraId="5035A21B" w14:textId="51B298C4" w:rsidR="001350B9" w:rsidRPr="001E09D0" w:rsidRDefault="001350B9" w:rsidP="001E09D0">
            <w:pPr>
              <w:tabs>
                <w:tab w:val="left" w:pos="4111"/>
              </w:tabs>
              <w:spacing w:before="0"/>
              <w:ind w:left="57"/>
              <w:rPr>
                <w:rStyle w:val="Hyperlink"/>
                <w:sz w:val="22"/>
                <w:szCs w:val="22"/>
              </w:rPr>
            </w:pPr>
            <w:r w:rsidRPr="001E09D0">
              <w:rPr>
                <w:sz w:val="22"/>
                <w:szCs w:val="22"/>
              </w:rPr>
              <w:t>+41 22 730</w:t>
            </w:r>
            <w:r w:rsidR="00A13A1A" w:rsidRPr="001E09D0">
              <w:rPr>
                <w:sz w:val="22"/>
                <w:szCs w:val="22"/>
              </w:rPr>
              <w:t xml:space="preserve"> 5780</w:t>
            </w:r>
          </w:p>
        </w:tc>
        <w:tc>
          <w:tcPr>
            <w:tcW w:w="5130" w:type="dxa"/>
            <w:vMerge/>
          </w:tcPr>
          <w:p w14:paraId="3498C38B" w14:textId="77777777" w:rsidR="001350B9" w:rsidRPr="001E09D0" w:rsidRDefault="001350B9" w:rsidP="001E09D0">
            <w:pPr>
              <w:tabs>
                <w:tab w:val="left" w:pos="226"/>
                <w:tab w:val="left" w:pos="510"/>
              </w:tabs>
              <w:spacing w:before="0"/>
              <w:ind w:left="226" w:hanging="169"/>
              <w:rPr>
                <w:b/>
                <w:sz w:val="22"/>
                <w:szCs w:val="22"/>
              </w:rPr>
            </w:pPr>
          </w:p>
        </w:tc>
      </w:tr>
      <w:tr w:rsidR="001350B9" w:rsidRPr="001E09D0" w14:paraId="591CE0D1" w14:textId="77777777" w:rsidTr="001E09D0">
        <w:trPr>
          <w:cantSplit/>
        </w:trPr>
        <w:tc>
          <w:tcPr>
            <w:tcW w:w="1350" w:type="dxa"/>
          </w:tcPr>
          <w:p w14:paraId="08681687" w14:textId="77777777" w:rsidR="001350B9" w:rsidRPr="001E09D0" w:rsidRDefault="001350B9" w:rsidP="001E09D0">
            <w:pPr>
              <w:tabs>
                <w:tab w:val="left" w:pos="4111"/>
              </w:tabs>
              <w:spacing w:before="10"/>
              <w:rPr>
                <w:sz w:val="22"/>
                <w:szCs w:val="22"/>
              </w:rPr>
            </w:pPr>
            <w:r w:rsidRPr="001E09D0">
              <w:rPr>
                <w:sz w:val="22"/>
                <w:szCs w:val="22"/>
              </w:rPr>
              <w:t>Fax:</w:t>
            </w:r>
          </w:p>
        </w:tc>
        <w:tc>
          <w:tcPr>
            <w:tcW w:w="3510" w:type="dxa"/>
            <w:gridSpan w:val="2"/>
          </w:tcPr>
          <w:p w14:paraId="1C34F464" w14:textId="77777777" w:rsidR="001350B9" w:rsidRPr="001E09D0" w:rsidRDefault="001350B9" w:rsidP="001E09D0">
            <w:pPr>
              <w:tabs>
                <w:tab w:val="left" w:pos="4111"/>
              </w:tabs>
              <w:spacing w:before="0"/>
              <w:ind w:left="57"/>
              <w:rPr>
                <w:rStyle w:val="Hyperlink"/>
                <w:sz w:val="22"/>
                <w:szCs w:val="22"/>
              </w:rPr>
            </w:pPr>
            <w:r w:rsidRPr="001E09D0">
              <w:rPr>
                <w:sz w:val="22"/>
                <w:szCs w:val="22"/>
              </w:rPr>
              <w:t>+41 22 730 5853</w:t>
            </w:r>
          </w:p>
        </w:tc>
        <w:tc>
          <w:tcPr>
            <w:tcW w:w="5130" w:type="dxa"/>
            <w:vMerge/>
          </w:tcPr>
          <w:p w14:paraId="36904E69" w14:textId="77777777" w:rsidR="001350B9" w:rsidRPr="001E09D0" w:rsidRDefault="001350B9" w:rsidP="001E09D0">
            <w:pPr>
              <w:tabs>
                <w:tab w:val="left" w:pos="226"/>
                <w:tab w:val="left" w:pos="510"/>
              </w:tabs>
              <w:spacing w:before="0"/>
              <w:ind w:left="226" w:hanging="169"/>
              <w:rPr>
                <w:b/>
                <w:sz w:val="22"/>
                <w:szCs w:val="22"/>
              </w:rPr>
            </w:pPr>
          </w:p>
        </w:tc>
      </w:tr>
      <w:tr w:rsidR="001350B9" w:rsidRPr="001E09D0" w14:paraId="45C60187" w14:textId="77777777" w:rsidTr="001E09D0">
        <w:trPr>
          <w:cantSplit/>
          <w:trHeight w:val="2325"/>
        </w:trPr>
        <w:tc>
          <w:tcPr>
            <w:tcW w:w="1350" w:type="dxa"/>
          </w:tcPr>
          <w:p w14:paraId="43E9A77D" w14:textId="77777777" w:rsidR="001350B9" w:rsidRPr="001E09D0" w:rsidRDefault="001350B9" w:rsidP="001E09D0">
            <w:pPr>
              <w:tabs>
                <w:tab w:val="left" w:pos="4111"/>
              </w:tabs>
              <w:spacing w:before="10"/>
              <w:rPr>
                <w:sz w:val="22"/>
                <w:szCs w:val="22"/>
              </w:rPr>
            </w:pPr>
            <w:r w:rsidRPr="001E09D0">
              <w:rPr>
                <w:sz w:val="22"/>
                <w:szCs w:val="22"/>
              </w:rPr>
              <w:t>Correo-e:</w:t>
            </w:r>
          </w:p>
        </w:tc>
        <w:tc>
          <w:tcPr>
            <w:tcW w:w="3510" w:type="dxa"/>
            <w:gridSpan w:val="2"/>
          </w:tcPr>
          <w:p w14:paraId="75CB4005" w14:textId="69EB9359" w:rsidR="001350B9" w:rsidRPr="001E09D0" w:rsidRDefault="001E09D0" w:rsidP="001E09D0">
            <w:pPr>
              <w:tabs>
                <w:tab w:val="left" w:pos="4111"/>
              </w:tabs>
              <w:spacing w:before="0"/>
              <w:ind w:left="57"/>
              <w:rPr>
                <w:sz w:val="22"/>
                <w:szCs w:val="22"/>
              </w:rPr>
            </w:pPr>
            <w:hyperlink r:id="rId9" w:history="1">
              <w:r w:rsidRPr="00E0099F">
                <w:rPr>
                  <w:rStyle w:val="Hyperlink"/>
                  <w:sz w:val="22"/>
                  <w:szCs w:val="22"/>
                </w:rPr>
                <w:t>tsbsg11@itu.int</w:t>
              </w:r>
            </w:hyperlink>
            <w:r w:rsidR="001350B9" w:rsidRPr="001E09D0">
              <w:rPr>
                <w:sz w:val="22"/>
                <w:szCs w:val="22"/>
              </w:rPr>
              <w:t xml:space="preserve"> </w:t>
            </w:r>
          </w:p>
        </w:tc>
        <w:tc>
          <w:tcPr>
            <w:tcW w:w="5130" w:type="dxa"/>
            <w:vMerge/>
          </w:tcPr>
          <w:p w14:paraId="11640950" w14:textId="77777777" w:rsidR="001350B9" w:rsidRPr="001E09D0" w:rsidRDefault="001350B9" w:rsidP="001E09D0">
            <w:pPr>
              <w:tabs>
                <w:tab w:val="clear" w:pos="794"/>
                <w:tab w:val="clear" w:pos="1191"/>
                <w:tab w:val="clear" w:pos="1588"/>
                <w:tab w:val="clear" w:pos="1985"/>
                <w:tab w:val="left" w:pos="226"/>
                <w:tab w:val="left" w:pos="510"/>
              </w:tabs>
              <w:spacing w:before="0"/>
              <w:ind w:left="226" w:hanging="169"/>
              <w:rPr>
                <w:sz w:val="22"/>
                <w:szCs w:val="22"/>
              </w:rPr>
            </w:pPr>
          </w:p>
        </w:tc>
      </w:tr>
      <w:tr w:rsidR="007B6316" w:rsidRPr="001E09D0" w14:paraId="49523B6F" w14:textId="77777777" w:rsidTr="001E09D0">
        <w:trPr>
          <w:cantSplit/>
          <w:trHeight w:val="993"/>
        </w:trPr>
        <w:tc>
          <w:tcPr>
            <w:tcW w:w="1350" w:type="dxa"/>
          </w:tcPr>
          <w:p w14:paraId="4782E567" w14:textId="77777777" w:rsidR="007B6316" w:rsidRPr="001E09D0" w:rsidRDefault="007B6316" w:rsidP="001E09D0">
            <w:pPr>
              <w:tabs>
                <w:tab w:val="left" w:pos="4111"/>
              </w:tabs>
              <w:spacing w:before="10"/>
              <w:rPr>
                <w:sz w:val="22"/>
                <w:szCs w:val="22"/>
              </w:rPr>
            </w:pPr>
            <w:r w:rsidRPr="001E09D0">
              <w:rPr>
                <w:b/>
                <w:bCs/>
                <w:sz w:val="22"/>
                <w:szCs w:val="22"/>
              </w:rPr>
              <w:t>Asunto</w:t>
            </w:r>
            <w:r w:rsidRPr="001E09D0">
              <w:rPr>
                <w:sz w:val="22"/>
                <w:szCs w:val="22"/>
              </w:rPr>
              <w:t>:</w:t>
            </w:r>
          </w:p>
        </w:tc>
        <w:tc>
          <w:tcPr>
            <w:tcW w:w="8640" w:type="dxa"/>
            <w:gridSpan w:val="3"/>
          </w:tcPr>
          <w:p w14:paraId="03A76ECC" w14:textId="0C643653" w:rsidR="007B6316" w:rsidRPr="001E09D0" w:rsidRDefault="00A13A1A" w:rsidP="001E09D0">
            <w:pPr>
              <w:tabs>
                <w:tab w:val="left" w:pos="4111"/>
              </w:tabs>
              <w:spacing w:before="0"/>
              <w:rPr>
                <w:b/>
                <w:sz w:val="22"/>
                <w:szCs w:val="22"/>
              </w:rPr>
            </w:pPr>
            <w:r w:rsidRPr="001E09D0">
              <w:rPr>
                <w:b/>
                <w:sz w:val="22"/>
                <w:szCs w:val="22"/>
              </w:rPr>
              <w:t>Consulta a los Estados Miembros sobre el proyecto de Recomendación determinada UIT-T Q.5057 (antes Q.GIR) propuestos para aprobación en la reunión de la Comisión de Estudio 11 del UIT-T (prevista en Ginebra, del 14-22 de julio de 2026)</w:t>
            </w:r>
          </w:p>
        </w:tc>
      </w:tr>
    </w:tbl>
    <w:p w14:paraId="72BEFB6B" w14:textId="74668FAA" w:rsidR="00C34772" w:rsidRPr="001E09D0" w:rsidRDefault="00C34772" w:rsidP="000C3C8B">
      <w:pPr>
        <w:spacing w:before="100"/>
        <w:rPr>
          <w:sz w:val="22"/>
          <w:szCs w:val="22"/>
        </w:rPr>
      </w:pPr>
      <w:bookmarkStart w:id="1" w:name="StartTyping_S"/>
      <w:bookmarkStart w:id="2" w:name="suitetext"/>
      <w:bookmarkStart w:id="3" w:name="text"/>
      <w:bookmarkEnd w:id="1"/>
      <w:bookmarkEnd w:id="2"/>
      <w:bookmarkEnd w:id="3"/>
      <w:r w:rsidRPr="001E09D0">
        <w:rPr>
          <w:sz w:val="22"/>
          <w:szCs w:val="22"/>
        </w:rPr>
        <w:t>Muy Señora mía/Muy Señor mío</w:t>
      </w:r>
      <w:r w:rsidR="001E09D0">
        <w:rPr>
          <w:sz w:val="22"/>
          <w:szCs w:val="22"/>
        </w:rPr>
        <w:t>,</w:t>
      </w:r>
    </w:p>
    <w:p w14:paraId="5BB06009" w14:textId="7B58E3A5" w:rsidR="00A13A1A" w:rsidRPr="001E09D0" w:rsidRDefault="00A13A1A" w:rsidP="000C3C8B">
      <w:pPr>
        <w:spacing w:before="100"/>
        <w:rPr>
          <w:sz w:val="22"/>
          <w:szCs w:val="22"/>
        </w:rPr>
      </w:pPr>
      <w:r w:rsidRPr="001E09D0">
        <w:rPr>
          <w:sz w:val="22"/>
          <w:szCs w:val="22"/>
        </w:rPr>
        <w:t>1</w:t>
      </w:r>
      <w:r w:rsidRPr="001E09D0">
        <w:rPr>
          <w:sz w:val="22"/>
          <w:szCs w:val="22"/>
        </w:rPr>
        <w:tab/>
      </w:r>
      <w:proofErr w:type="gramStart"/>
      <w:r w:rsidRPr="001E09D0">
        <w:rPr>
          <w:sz w:val="22"/>
          <w:szCs w:val="22"/>
        </w:rPr>
        <w:t>La</w:t>
      </w:r>
      <w:proofErr w:type="gramEnd"/>
      <w:r w:rsidRPr="001E09D0">
        <w:rPr>
          <w:sz w:val="22"/>
          <w:szCs w:val="22"/>
        </w:rPr>
        <w:t xml:space="preserve"> Comisión de Estudio 11 (Requisitos de señalización, protocolos, especificaciones de pruebas y lucha contra la falsificación de dispositivos de telecomunicaciones/TIC) tiene previsto aplicar el procedimiento de aprobación tradicional descrito en la Sección 9 de la Resolución 1 (Rev.</w:t>
      </w:r>
      <w:r w:rsidR="001D2F59" w:rsidRPr="001E09D0">
        <w:rPr>
          <w:sz w:val="22"/>
          <w:szCs w:val="22"/>
        </w:rPr>
        <w:t> </w:t>
      </w:r>
      <w:r w:rsidRPr="001E09D0">
        <w:rPr>
          <w:sz w:val="22"/>
          <w:szCs w:val="22"/>
        </w:rPr>
        <w:t>Ginebra, 2022) de la AMNT para la aprobación del proyecto de Recomendación mencionado en su próxima reunión prevista en Ginebra, del 14-22 de julio de 2026. El orden del día y toda la información pertinente sobre la reunión de la Comisión de Estudio 11 del UIT T se publicarán a su debido tiempo.</w:t>
      </w:r>
    </w:p>
    <w:p w14:paraId="18613069" w14:textId="77777777" w:rsidR="00A13A1A" w:rsidRPr="001E09D0" w:rsidRDefault="00A13A1A" w:rsidP="000C3C8B">
      <w:pPr>
        <w:spacing w:before="100"/>
        <w:rPr>
          <w:sz w:val="22"/>
          <w:szCs w:val="22"/>
        </w:rPr>
      </w:pPr>
      <w:r w:rsidRPr="001E09D0">
        <w:rPr>
          <w:sz w:val="22"/>
          <w:szCs w:val="22"/>
        </w:rPr>
        <w:t>2</w:t>
      </w:r>
      <w:r w:rsidRPr="001E09D0">
        <w:rPr>
          <w:sz w:val="22"/>
          <w:szCs w:val="22"/>
        </w:rPr>
        <w:tab/>
      </w:r>
      <w:proofErr w:type="gramStart"/>
      <w:r w:rsidRPr="001E09D0">
        <w:rPr>
          <w:sz w:val="22"/>
          <w:szCs w:val="22"/>
        </w:rPr>
        <w:t>El</w:t>
      </w:r>
      <w:proofErr w:type="gramEnd"/>
      <w:r w:rsidRPr="001E09D0">
        <w:rPr>
          <w:sz w:val="22"/>
          <w:szCs w:val="22"/>
        </w:rPr>
        <w:t xml:space="preserve"> </w:t>
      </w:r>
      <w:r w:rsidRPr="001E09D0">
        <w:rPr>
          <w:b/>
          <w:bCs/>
          <w:sz w:val="22"/>
          <w:szCs w:val="22"/>
        </w:rPr>
        <w:t>Anexo 1</w:t>
      </w:r>
      <w:r w:rsidRPr="001E09D0">
        <w:rPr>
          <w:sz w:val="22"/>
          <w:szCs w:val="22"/>
        </w:rPr>
        <w:t xml:space="preserve"> contiene el título, resumen y ubicación del proyecto de Recomendación UIT-T propuestos para aprobación.</w:t>
      </w:r>
    </w:p>
    <w:p w14:paraId="638AD847" w14:textId="19D3F654" w:rsidR="00A13A1A" w:rsidRPr="001E09D0" w:rsidRDefault="00A13A1A" w:rsidP="000C3C8B">
      <w:pPr>
        <w:spacing w:before="100"/>
        <w:rPr>
          <w:sz w:val="22"/>
          <w:szCs w:val="22"/>
        </w:rPr>
      </w:pPr>
      <w:r w:rsidRPr="001E09D0">
        <w:rPr>
          <w:sz w:val="22"/>
          <w:szCs w:val="22"/>
        </w:rPr>
        <w:t>3</w:t>
      </w:r>
      <w:r w:rsidRPr="001E09D0">
        <w:rPr>
          <w:sz w:val="22"/>
          <w:szCs w:val="22"/>
        </w:rPr>
        <w:tab/>
      </w:r>
      <w:proofErr w:type="gramStart"/>
      <w:r w:rsidRPr="001E09D0">
        <w:rPr>
          <w:sz w:val="22"/>
          <w:szCs w:val="22"/>
        </w:rPr>
        <w:t>Con</w:t>
      </w:r>
      <w:proofErr w:type="gramEnd"/>
      <w:r w:rsidRPr="001E09D0">
        <w:rPr>
          <w:sz w:val="22"/>
          <w:szCs w:val="22"/>
        </w:rPr>
        <w:t xml:space="preserve"> esta Circular se inicia la consulta oficial con los Estados Miembros de la UIT sobre si este texto puede considerarse para </w:t>
      </w:r>
      <w:r w:rsidR="00EA68E6" w:rsidRPr="001E09D0">
        <w:rPr>
          <w:sz w:val="22"/>
          <w:szCs w:val="22"/>
        </w:rPr>
        <w:t xml:space="preserve">su </w:t>
      </w:r>
      <w:r w:rsidRPr="001E09D0">
        <w:rPr>
          <w:sz w:val="22"/>
          <w:szCs w:val="22"/>
        </w:rPr>
        <w:t xml:space="preserve">aprobación en la próxima reunión, de acuerdo con la cláusula 9.4 de la Resolución 1. Se ruega a los Estados Miembros que completen y devuelvan el formulario del </w:t>
      </w:r>
      <w:r w:rsidRPr="001E09D0">
        <w:rPr>
          <w:b/>
          <w:bCs/>
          <w:sz w:val="22"/>
          <w:szCs w:val="22"/>
        </w:rPr>
        <w:t>Anexo 2</w:t>
      </w:r>
      <w:r w:rsidRPr="001E09D0">
        <w:rPr>
          <w:sz w:val="22"/>
          <w:szCs w:val="22"/>
        </w:rPr>
        <w:t xml:space="preserve"> antes de las 23.59 horas UTC del </w:t>
      </w:r>
      <w:r w:rsidRPr="001E09D0">
        <w:rPr>
          <w:b/>
          <w:bCs/>
          <w:sz w:val="22"/>
          <w:szCs w:val="22"/>
        </w:rPr>
        <w:t>2 de julio</w:t>
      </w:r>
      <w:r w:rsidRPr="001E09D0">
        <w:rPr>
          <w:sz w:val="22"/>
          <w:szCs w:val="22"/>
        </w:rPr>
        <w:t xml:space="preserve"> </w:t>
      </w:r>
      <w:r w:rsidRPr="001E09D0">
        <w:rPr>
          <w:b/>
          <w:bCs/>
          <w:sz w:val="22"/>
          <w:szCs w:val="22"/>
        </w:rPr>
        <w:t>de 2026</w:t>
      </w:r>
      <w:r w:rsidRPr="001E09D0">
        <w:rPr>
          <w:sz w:val="22"/>
          <w:szCs w:val="22"/>
        </w:rPr>
        <w:t>.</w:t>
      </w:r>
    </w:p>
    <w:p w14:paraId="215EF534" w14:textId="2C4CB4BD" w:rsidR="007B6316" w:rsidRPr="001E09D0" w:rsidRDefault="00A13A1A" w:rsidP="000C3C8B">
      <w:pPr>
        <w:spacing w:before="100"/>
        <w:rPr>
          <w:sz w:val="22"/>
          <w:szCs w:val="22"/>
        </w:rPr>
      </w:pPr>
      <w:r w:rsidRPr="001E09D0">
        <w:rPr>
          <w:sz w:val="22"/>
          <w:szCs w:val="22"/>
        </w:rPr>
        <w:t>4</w:t>
      </w:r>
      <w:r w:rsidRPr="001E09D0">
        <w:rPr>
          <w:sz w:val="22"/>
          <w:szCs w:val="22"/>
        </w:rPr>
        <w:tab/>
      </w:r>
      <w:proofErr w:type="gramStart"/>
      <w:r w:rsidRPr="001E09D0">
        <w:rPr>
          <w:sz w:val="22"/>
          <w:szCs w:val="22"/>
        </w:rPr>
        <w:t>Si</w:t>
      </w:r>
      <w:proofErr w:type="gramEnd"/>
      <w:r w:rsidRPr="001E09D0">
        <w:rPr>
          <w:sz w:val="22"/>
          <w:szCs w:val="22"/>
        </w:rPr>
        <w:t xml:space="preserve"> el 70 %</w:t>
      </w:r>
      <w:r w:rsidR="000368FB" w:rsidRPr="001E09D0">
        <w:rPr>
          <w:sz w:val="22"/>
          <w:szCs w:val="22"/>
        </w:rPr>
        <w:t>,</w:t>
      </w:r>
      <w:r w:rsidRPr="001E09D0">
        <w:rPr>
          <w:sz w:val="22"/>
          <w:szCs w:val="22"/>
        </w:rPr>
        <w:t xml:space="preserve"> como mínimo</w:t>
      </w:r>
      <w:r w:rsidR="000368FB" w:rsidRPr="001E09D0">
        <w:rPr>
          <w:sz w:val="22"/>
          <w:szCs w:val="22"/>
        </w:rPr>
        <w:t>,</w:t>
      </w:r>
      <w:r w:rsidRPr="001E09D0">
        <w:rPr>
          <w:sz w:val="22"/>
          <w:szCs w:val="22"/>
        </w:rPr>
        <w:t xml:space="preserve"> de las respuestas de los Estados Miembros es favorable a que se considere la aprobación, se dedicará una sesión plenaria a la aplicación del procedimiento de aprobación. Los Estados Miembros que no otorguen autoridad para proceder deben informar al </w:t>
      </w:r>
      <w:proofErr w:type="gramStart"/>
      <w:r w:rsidRPr="001E09D0">
        <w:rPr>
          <w:sz w:val="22"/>
          <w:szCs w:val="22"/>
        </w:rPr>
        <w:t>Director</w:t>
      </w:r>
      <w:proofErr w:type="gramEnd"/>
      <w:r w:rsidRPr="001E09D0">
        <w:rPr>
          <w:sz w:val="22"/>
          <w:szCs w:val="22"/>
        </w:rPr>
        <w:t xml:space="preserve"> de la TSB de los motivos de su decisión e indicar los posibles cambios que harían posible el avance de los trabajos.</w:t>
      </w:r>
    </w:p>
    <w:p w14:paraId="52DB3E59" w14:textId="6D3889C0" w:rsidR="001D2F59" w:rsidRPr="001E09D0" w:rsidRDefault="001D2F59" w:rsidP="000C3C8B">
      <w:pPr>
        <w:spacing w:before="100"/>
        <w:rPr>
          <w:sz w:val="22"/>
          <w:szCs w:val="22"/>
        </w:rPr>
      </w:pPr>
      <w:r w:rsidRPr="001E09D0">
        <w:rPr>
          <w:sz w:val="22"/>
          <w:szCs w:val="22"/>
        </w:rPr>
        <w:t>Atentamente,</w:t>
      </w:r>
    </w:p>
    <w:p w14:paraId="5FA1DCE5" w14:textId="09601BBA" w:rsidR="001D2F59" w:rsidRPr="001E09D0" w:rsidRDefault="00B41BF7" w:rsidP="001E09D0">
      <w:pPr>
        <w:spacing w:before="720"/>
        <w:rPr>
          <w:sz w:val="22"/>
          <w:szCs w:val="22"/>
        </w:rPr>
      </w:pPr>
      <w:r>
        <w:rPr>
          <w:noProof/>
          <w:sz w:val="22"/>
          <w:szCs w:val="22"/>
        </w:rPr>
        <w:drawing>
          <wp:anchor distT="0" distB="0" distL="114300" distR="114300" simplePos="0" relativeHeight="251658240" behindDoc="1" locked="0" layoutInCell="1" allowOverlap="1" wp14:anchorId="0EC89808" wp14:editId="4851FD57">
            <wp:simplePos x="0" y="0"/>
            <wp:positionH relativeFrom="column">
              <wp:posOffset>19050</wp:posOffset>
            </wp:positionH>
            <wp:positionV relativeFrom="paragraph">
              <wp:posOffset>80010</wp:posOffset>
            </wp:positionV>
            <wp:extent cx="825500" cy="330200"/>
            <wp:effectExtent l="0" t="0" r="0" b="0"/>
            <wp:wrapNone/>
            <wp:docPr id="91023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31963" name="Picture 910231963"/>
                    <pic:cNvPicPr/>
                  </pic:nvPicPr>
                  <pic:blipFill>
                    <a:blip r:embed="rId10">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D2F59" w:rsidRPr="001E09D0">
        <w:rPr>
          <w:sz w:val="22"/>
          <w:szCs w:val="22"/>
        </w:rPr>
        <w:t>Seizo Onoe</w:t>
      </w:r>
      <w:r w:rsidR="001D2F59" w:rsidRPr="001E09D0">
        <w:rPr>
          <w:sz w:val="22"/>
          <w:szCs w:val="22"/>
        </w:rPr>
        <w:br/>
      </w:r>
      <w:proofErr w:type="gramStart"/>
      <w:r w:rsidR="001D2F59" w:rsidRPr="001E09D0">
        <w:rPr>
          <w:sz w:val="22"/>
          <w:szCs w:val="22"/>
        </w:rPr>
        <w:t>Director</w:t>
      </w:r>
      <w:proofErr w:type="gramEnd"/>
      <w:r w:rsidR="001D2F59" w:rsidRPr="001E09D0">
        <w:rPr>
          <w:sz w:val="22"/>
          <w:szCs w:val="22"/>
        </w:rPr>
        <w:t xml:space="preserve"> de la Oficina de </w:t>
      </w:r>
      <w:r w:rsidR="001D2F59" w:rsidRPr="001E09D0">
        <w:rPr>
          <w:sz w:val="22"/>
          <w:szCs w:val="22"/>
        </w:rPr>
        <w:br/>
        <w:t>Normalización de las Telecomunicaciones</w:t>
      </w:r>
    </w:p>
    <w:p w14:paraId="747348DD" w14:textId="6D564E61" w:rsidR="001D2F59" w:rsidRPr="001E09D0" w:rsidRDefault="001D2F59" w:rsidP="001E09D0">
      <w:pPr>
        <w:spacing w:before="480"/>
        <w:rPr>
          <w:sz w:val="22"/>
          <w:szCs w:val="22"/>
        </w:rPr>
      </w:pPr>
      <w:r w:rsidRPr="001E09D0">
        <w:rPr>
          <w:b/>
          <w:bCs/>
          <w:sz w:val="22"/>
          <w:szCs w:val="22"/>
        </w:rPr>
        <w:t>Anexos</w:t>
      </w:r>
      <w:r w:rsidRPr="001E09D0">
        <w:rPr>
          <w:sz w:val="22"/>
          <w:szCs w:val="22"/>
        </w:rPr>
        <w:t>: 2</w:t>
      </w:r>
    </w:p>
    <w:p w14:paraId="5E04A50B" w14:textId="7CA4ACCC" w:rsidR="001D2F59" w:rsidRDefault="001D2F59" w:rsidP="001D2F59">
      <w:pPr>
        <w:pStyle w:val="AnnexNotitle"/>
      </w:pPr>
      <w:r>
        <w:lastRenderedPageBreak/>
        <w:t>Anexo 1</w:t>
      </w:r>
      <w:r>
        <w:br/>
        <w:t>Resumen y ubicación del proyecto de Recomendación</w:t>
      </w:r>
      <w:r>
        <w:br/>
      </w:r>
      <w:r w:rsidRPr="001D2F59">
        <w:t>determinada UIT-T Q.5057 (antes Q.GIR)</w:t>
      </w:r>
    </w:p>
    <w:p w14:paraId="495BAE90" w14:textId="77777777" w:rsidR="001D2F59" w:rsidRPr="00D93063" w:rsidRDefault="001D2F59" w:rsidP="001D2F59">
      <w:pPr>
        <w:pStyle w:val="Heading1"/>
        <w:rPr>
          <w:rFonts w:cstheme="minorHAnsi"/>
          <w:sz w:val="22"/>
          <w:szCs w:val="22"/>
          <w:lang w:val="es-ES"/>
        </w:rPr>
      </w:pPr>
      <w:r>
        <w:rPr>
          <w:bCs/>
          <w:lang w:val="es-ES"/>
        </w:rPr>
        <w:t>1</w:t>
      </w:r>
      <w:r>
        <w:rPr>
          <w:lang w:val="es-ES"/>
        </w:rPr>
        <w:tab/>
      </w:r>
      <w:proofErr w:type="gramStart"/>
      <w:r w:rsidRPr="009F31D1">
        <w:t>Proyecto</w:t>
      </w:r>
      <w:proofErr w:type="gramEnd"/>
      <w:r>
        <w:rPr>
          <w:lang w:val="es-ES"/>
        </w:rPr>
        <w:t xml:space="preserve"> de nueva Recomendación UIT-T </w:t>
      </w:r>
      <w:r>
        <w:rPr>
          <w:bCs/>
          <w:lang w:val="es-ES"/>
        </w:rPr>
        <w:t>Q.5057 (antes Q.GIR)</w:t>
      </w:r>
      <w:r>
        <w:rPr>
          <w:lang w:val="es-ES"/>
        </w:rPr>
        <w:t xml:space="preserve"> [</w:t>
      </w:r>
      <w:hyperlink r:id="rId11" w:history="1">
        <w:r>
          <w:rPr>
            <w:rStyle w:val="Hyperlink"/>
            <w:lang w:val="es-ES"/>
          </w:rPr>
          <w:t>SG1</w:t>
        </w:r>
        <w:r>
          <w:rPr>
            <w:rStyle w:val="Hyperlink"/>
            <w:lang w:val="es-ES"/>
          </w:rPr>
          <w:t>1</w:t>
        </w:r>
        <w:r>
          <w:rPr>
            <w:rStyle w:val="Hyperlink"/>
            <w:lang w:val="es-ES"/>
          </w:rPr>
          <w:t>-R17</w:t>
        </w:r>
      </w:hyperlink>
      <w:r>
        <w:rPr>
          <w:lang w:val="es-ES"/>
        </w:rPr>
        <w:t>]</w:t>
      </w:r>
      <w:hyperlink r:id="rId12" w:history="1"/>
    </w:p>
    <w:p w14:paraId="5D44AD97" w14:textId="15BE8796" w:rsidR="001D2F59" w:rsidRPr="00463BF4" w:rsidRDefault="001D2F59" w:rsidP="001D2F59">
      <w:pPr>
        <w:rPr>
          <w:lang w:val="es-ES"/>
        </w:rPr>
      </w:pPr>
      <w:r>
        <w:rPr>
          <w:lang w:val="es-ES"/>
        </w:rPr>
        <w:t>Requisitos técnicos de un registro de identidades internacionales de equipos móviles a escala mundial</w:t>
      </w:r>
      <w:r w:rsidR="000368FB">
        <w:rPr>
          <w:lang w:val="es-ES"/>
        </w:rPr>
        <w:t>.</w:t>
      </w:r>
    </w:p>
    <w:p w14:paraId="2EC46D8C" w14:textId="77777777" w:rsidR="001D2F59" w:rsidRPr="00146772" w:rsidRDefault="001D2F59" w:rsidP="001D2F59">
      <w:pPr>
        <w:pStyle w:val="Headingb0"/>
        <w:rPr>
          <w:rFonts w:cstheme="minorHAnsi"/>
          <w:sz w:val="22"/>
          <w:szCs w:val="22"/>
        </w:rPr>
      </w:pPr>
      <w:r>
        <w:rPr>
          <w:lang w:val="es-ES"/>
        </w:rPr>
        <w:t>Resumen</w:t>
      </w:r>
    </w:p>
    <w:p w14:paraId="40AB58B8" w14:textId="77777777" w:rsidR="001D2F59" w:rsidRPr="00006C29" w:rsidRDefault="001D2F59" w:rsidP="001D2F59">
      <w:pPr>
        <w:rPr>
          <w:lang w:val="es-ES"/>
        </w:rPr>
      </w:pPr>
      <w:r w:rsidRPr="00006C29">
        <w:rPr>
          <w:lang w:val="es-ES"/>
        </w:rPr>
        <w:t>La creciente utilización de equipos de tecnologías de la información y la comunicación (TIC) en la vida cotidiana de las personas también ha tenido efectos secundarios no deseados relacionados con el aumento de la venta, circulación y utilización de dispositivos TIC falsificados en el mercado.</w:t>
      </w:r>
    </w:p>
    <w:p w14:paraId="087761EA" w14:textId="77777777" w:rsidR="001D2F59" w:rsidRPr="00E976CB" w:rsidRDefault="001D2F59" w:rsidP="001D2F59">
      <w:pPr>
        <w:rPr>
          <w:lang w:val="es-ES"/>
        </w:rPr>
      </w:pPr>
      <w:r w:rsidRPr="00E976CB">
        <w:rPr>
          <w:lang w:val="es-ES"/>
        </w:rPr>
        <w:t xml:space="preserve">Como se describe en la Recomendación [UIT-T Q.5050] sobre un marco de soluciones para luchar contra la falsificación de dispositivos de TIC, esto ha tenido consecuencias adversas para múltiples partes interesadas (usuarios, operadores de red, fabricantes de dispositivos genuinos, comerciantes y gobiernos), </w:t>
      </w:r>
      <w:r>
        <w:rPr>
          <w:lang w:val="es-ES"/>
        </w:rPr>
        <w:t>incluida la</w:t>
      </w:r>
      <w:r w:rsidRPr="00E976CB">
        <w:rPr>
          <w:lang w:val="es-ES"/>
        </w:rPr>
        <w:t xml:space="preserve"> disminución de la protección de </w:t>
      </w:r>
      <w:r>
        <w:rPr>
          <w:lang w:val="es-ES"/>
        </w:rPr>
        <w:t xml:space="preserve">la </w:t>
      </w:r>
      <w:r w:rsidRPr="00E976CB">
        <w:rPr>
          <w:lang w:val="es-ES"/>
        </w:rPr>
        <w:t>seguridad y de la calidad del servicio para los usuarios y pérdidas de ingresos para una serie de partes interesadas.</w:t>
      </w:r>
    </w:p>
    <w:p w14:paraId="66F40407" w14:textId="77777777" w:rsidR="001D2F59" w:rsidRPr="00966DA8" w:rsidRDefault="001D2F59" w:rsidP="001D2F59">
      <w:pPr>
        <w:rPr>
          <w:lang w:val="es-ES"/>
        </w:rPr>
      </w:pPr>
      <w:r w:rsidRPr="00966DA8">
        <w:rPr>
          <w:lang w:val="es-ES"/>
        </w:rPr>
        <w:t>La cláusula 10.1 de [UIT-T Q.5050] se refiere a la prohibición de "la utilización de identificadores de dispositivos no válidos y no auténticos".</w:t>
      </w:r>
    </w:p>
    <w:p w14:paraId="3A4B7F53" w14:textId="25E74863" w:rsidR="001D2F59" w:rsidRPr="000C0236" w:rsidRDefault="001D2F59" w:rsidP="001D2F59">
      <w:pPr>
        <w:rPr>
          <w:lang w:val="es-ES"/>
        </w:rPr>
      </w:pPr>
      <w:r w:rsidRPr="000C0236">
        <w:rPr>
          <w:lang w:val="es-ES"/>
        </w:rPr>
        <w:t xml:space="preserve">Dado que la cuestión de la reprogramación de la identidad internacional del equipo móvil (IMEI) sigue siendo un problema importante en la lucha contra la falsificación de dispositivos TIC, la cláusula 9.3 de [UIT-T Q.5050] sobre identificadores únicos fiables indica que los dispositivos TIC genuinos deben tener identificadores únicos y persistentes que "sean seguros, en el sentido de que no puedan ser modificados por entidades no autorizadas". </w:t>
      </w:r>
      <w:r w:rsidR="000368FB" w:rsidRPr="000C0236">
        <w:rPr>
          <w:lang w:val="es-ES"/>
        </w:rPr>
        <w:t xml:space="preserve">Son </w:t>
      </w:r>
      <w:r w:rsidRPr="000C0236">
        <w:rPr>
          <w:lang w:val="es-ES"/>
        </w:rPr>
        <w:t xml:space="preserve">únicos para cada equipo y han sido asignados por </w:t>
      </w:r>
      <w:r>
        <w:rPr>
          <w:lang w:val="es-ES"/>
        </w:rPr>
        <w:t>la entidad autorizada</w:t>
      </w:r>
      <w:r w:rsidRPr="000C0236">
        <w:rPr>
          <w:lang w:val="es-ES"/>
        </w:rPr>
        <w:t>". Esto implica que para reducir la reprogramación de IMEI es necesario identificar que un IMEI ha sido reprogramado.</w:t>
      </w:r>
    </w:p>
    <w:p w14:paraId="7D605383" w14:textId="77777777" w:rsidR="001D2F59" w:rsidRPr="004222DE" w:rsidRDefault="001D2F59" w:rsidP="001D2F59">
      <w:pPr>
        <w:rPr>
          <w:lang w:val="es-ES"/>
        </w:rPr>
      </w:pPr>
      <w:r w:rsidRPr="004222DE">
        <w:rPr>
          <w:lang w:val="es-ES"/>
        </w:rPr>
        <w:t>Cuando se ha reprogramado un IMEI, será aleatorio, es decir, un IMEI no válido, un IMEI no auténtico, un IMEI duplicado</w:t>
      </w:r>
      <w:r>
        <w:rPr>
          <w:lang w:val="es-ES"/>
        </w:rPr>
        <w:t xml:space="preserve"> o </w:t>
      </w:r>
      <w:r w:rsidRPr="004222DE">
        <w:rPr>
          <w:lang w:val="es-ES"/>
        </w:rPr>
        <w:t>ya utilizado o un IMEI válido</w:t>
      </w:r>
      <w:r>
        <w:rPr>
          <w:lang w:val="es-ES"/>
        </w:rPr>
        <w:t xml:space="preserve">, </w:t>
      </w:r>
      <w:r w:rsidRPr="00E41296">
        <w:t>pero no producido por el fabricante original del equipo</w:t>
      </w:r>
      <w:r w:rsidRPr="004222DE">
        <w:rPr>
          <w:lang w:val="es-ES"/>
        </w:rPr>
        <w:t xml:space="preserve"> (OEM). Se puede detectar un formato no válido o IMEI basados en TAC no asignados utilizando el registro de identidad de equipo</w:t>
      </w:r>
      <w:r>
        <w:rPr>
          <w:lang w:val="es-ES"/>
        </w:rPr>
        <w:t>s</w:t>
      </w:r>
      <w:r w:rsidRPr="004222DE">
        <w:rPr>
          <w:lang w:val="es-ES"/>
        </w:rPr>
        <w:t xml:space="preserve"> (EIR) del operador de red móvil (</w:t>
      </w:r>
      <w:r>
        <w:rPr>
          <w:lang w:val="es-ES"/>
        </w:rPr>
        <w:t>ORM</w:t>
      </w:r>
      <w:r w:rsidRPr="004222DE">
        <w:rPr>
          <w:lang w:val="es-ES"/>
        </w:rPr>
        <w:t>) para compararlo con el formato IMEI estándar definido por 3GPP y cotejarlo con la información del código de asignación de tipo (TAC) atribuida por la Asociación GSM (GSMA). Incluso los números IMEI que se han utilizado pueden verificarse mediante el registro central de identidad de equipos (CEIR).</w:t>
      </w:r>
    </w:p>
    <w:p w14:paraId="7370C9EA" w14:textId="005CA1A4" w:rsidR="001D2F59" w:rsidRPr="002E10A8" w:rsidRDefault="001D2F59" w:rsidP="001D2F59">
      <w:pPr>
        <w:rPr>
          <w:lang w:val="es-ES"/>
        </w:rPr>
      </w:pPr>
      <w:r w:rsidRPr="002E10A8">
        <w:rPr>
          <w:lang w:val="es-ES"/>
        </w:rPr>
        <w:t>Sin embargo, averiguar si un IMEI no ha sido fabricado por el OEM solo se puede hacer a través del registro de IMEI. El registro de IMEI puede contener la lista de los IMEI fabricados por los fabricantes de móviles y emitidos para la venta en el mercado o bien verificar si el IMEI ha sido realmente fabricado o no por los respectivos fabricantes mediante una consulta en tiempo real al OEM/ODM correspondiente. Es posible que algunos países ya hayan implementado un registro nacional de IMEI, pero el problema persiste para los dispositivos móviles importados de otros países o que ingresan a través de canales no autorizados. Asimismo, la cláusula 10.2 de [UITT</w:t>
      </w:r>
      <w:r w:rsidR="000368FB">
        <w:rPr>
          <w:lang w:val="es-ES"/>
        </w:rPr>
        <w:t> </w:t>
      </w:r>
      <w:r w:rsidRPr="002E10A8">
        <w:rPr>
          <w:lang w:val="es-ES"/>
        </w:rPr>
        <w:t>Q.5050] también se refiere a la certificación de dispositivos TIC para ayudar a todas las partes interesadas a verificar la autenticidad de los productos.</w:t>
      </w:r>
    </w:p>
    <w:p w14:paraId="48FF03A1" w14:textId="77777777" w:rsidR="001D2F59" w:rsidRPr="000D5126" w:rsidRDefault="001D2F59" w:rsidP="001D2F59">
      <w:pPr>
        <w:rPr>
          <w:lang w:val="es-ES"/>
        </w:rPr>
      </w:pPr>
      <w:r w:rsidRPr="000D5126">
        <w:rPr>
          <w:lang w:val="es-ES"/>
        </w:rPr>
        <w:lastRenderedPageBreak/>
        <w:t>La cláusula 7.5 de la Recomendación [UIT-T Q.5052] trata de detectar la duplicación de IMEI en todos los países. Sin embargo, esto se refiere a los IMEI que ya utilizan los abonados. No incluye las IMEI que han sido fabricadas, pero no utilizadas en la red.</w:t>
      </w:r>
    </w:p>
    <w:p w14:paraId="7A3B076F" w14:textId="77777777" w:rsidR="001D2F59" w:rsidRPr="00545768" w:rsidRDefault="001D2F59" w:rsidP="001D2F59">
      <w:pPr>
        <w:rPr>
          <w:lang w:val="es-ES"/>
        </w:rPr>
      </w:pPr>
      <w:r w:rsidRPr="00545768">
        <w:rPr>
          <w:lang w:val="es-ES"/>
        </w:rPr>
        <w:t>En la Resolución 96 de la AMNT [b-AMNT Res. 96] se resuelve que el UIT-T "</w:t>
      </w:r>
      <w:r>
        <w:rPr>
          <w:lang w:val="es-ES"/>
        </w:rPr>
        <w:t xml:space="preserve">considere </w:t>
      </w:r>
      <w:r w:rsidRPr="00026CE1">
        <w:t>las medidas que puedan emplearse para diferenciar entre dispositivos de telecomunicaciones/TIC auténticos/genuinos y falsificados o manipulados, por ejemplo, mediante el establecimiento de una base de datos de referencia centralizada nacional de equipos autorizados</w:t>
      </w:r>
      <w:r w:rsidRPr="00545768">
        <w:rPr>
          <w:lang w:val="es-ES"/>
        </w:rPr>
        <w:t>".</w:t>
      </w:r>
    </w:p>
    <w:p w14:paraId="45992642" w14:textId="77777777" w:rsidR="001D2F59" w:rsidRPr="008724B4" w:rsidRDefault="001D2F59" w:rsidP="001D2F59">
      <w:pPr>
        <w:rPr>
          <w:lang w:val="es-ES"/>
        </w:rPr>
      </w:pPr>
      <w:r w:rsidRPr="008724B4">
        <w:rPr>
          <w:lang w:val="es-ES"/>
        </w:rPr>
        <w:t xml:space="preserve">En la Resolución 97 de la AMNT [b-AMNT-Res. 97] se resuelve que "el UIT-T, </w:t>
      </w:r>
      <w:r w:rsidRPr="00DE7C4E">
        <w:t>el UIT-T, en colaboración con las organizaciones de normalización pertinentes, elabore soluciones para el problema de la réplica de identificadores únicos</w:t>
      </w:r>
      <w:r w:rsidRPr="008724B4">
        <w:rPr>
          <w:lang w:val="es-ES"/>
        </w:rPr>
        <w:t>".</w:t>
      </w:r>
    </w:p>
    <w:p w14:paraId="1F5D9269" w14:textId="77777777" w:rsidR="001D2F59" w:rsidRDefault="001D2F59" w:rsidP="001D2F59">
      <w:pPr>
        <w:rPr>
          <w:lang w:val="es-ES"/>
        </w:rPr>
      </w:pPr>
      <w:r w:rsidRPr="003F7792">
        <w:rPr>
          <w:lang w:val="es-ES"/>
        </w:rPr>
        <w:t>En el contexto anterior, un registro mundial de IMEI ayudará a resolver los problemas a los que se enfrentan los Estados Miembros y los consumidores, tales como la clonación de IMEI y la duplicación debido a la reprogramación de los IMEI, incluida la utilización de IMEI que no han sido fabricados para el TAC atribuido. Los países participantes o los propios fabricantes de dispositivos pueden compartir el rango de IMEI producido en su país para ayudar a todos los demás países a identificar los dispositivos móviles falsificados.</w:t>
      </w:r>
    </w:p>
    <w:p w14:paraId="63C69737" w14:textId="77777777" w:rsidR="001D2F59" w:rsidRPr="00146772" w:rsidRDefault="001D2F59" w:rsidP="001D2F59">
      <w:pPr>
        <w:rPr>
          <w:rFonts w:cstheme="minorHAnsi"/>
          <w:sz w:val="22"/>
          <w:szCs w:val="22"/>
        </w:rPr>
      </w:pPr>
      <w:r>
        <w:rPr>
          <w:lang w:val="es-ES"/>
        </w:rPr>
        <w:t>No se ha preparado un documento justificativo de la Recomendación UIT-T A.5 para este proyecto de texto determinado.</w:t>
      </w:r>
    </w:p>
    <w:p w14:paraId="54A40759" w14:textId="03A5504B" w:rsidR="001D2F59" w:rsidRPr="00D93063" w:rsidRDefault="001D2F59" w:rsidP="001D2F59">
      <w:pPr>
        <w:pStyle w:val="Note"/>
        <w:rPr>
          <w:color w:val="000000"/>
          <w:sz w:val="22"/>
          <w:szCs w:val="18"/>
          <w:lang w:val="es-ES"/>
        </w:rPr>
      </w:pPr>
      <w:r>
        <w:rPr>
          <w:lang w:val="es-ES"/>
        </w:rPr>
        <w:t xml:space="preserve">NOTA DE LA TSB – A la fecha de la presente Circular, la TSB no había recibido ninguna declaración de DPI en relación con este proyecto de texto. Para obtener información actualizada, se invita a los miembros a consultar la base de datos de DPI en </w:t>
      </w:r>
      <w:hyperlink r:id="rId13" w:history="1">
        <w:r w:rsidR="000368FB">
          <w:rPr>
            <w:rStyle w:val="Hyperlink"/>
            <w:lang w:val="es-ES"/>
          </w:rPr>
          <w:t>www.itu.int/es/ITU-T/ipr/</w:t>
        </w:r>
      </w:hyperlink>
      <w:r>
        <w:rPr>
          <w:lang w:val="es-ES"/>
        </w:rPr>
        <w:t>.</w:t>
      </w:r>
      <w:hyperlink r:id="rId14" w:history="1"/>
    </w:p>
    <w:p w14:paraId="33BAD087" w14:textId="77777777" w:rsidR="001D2F59" w:rsidRDefault="001D2F59" w:rsidP="001D2F59">
      <w:pPr>
        <w:tabs>
          <w:tab w:val="clear" w:pos="794"/>
          <w:tab w:val="clear" w:pos="1191"/>
          <w:tab w:val="clear" w:pos="1588"/>
          <w:tab w:val="clear" w:pos="1985"/>
        </w:tabs>
        <w:overflowPunct/>
        <w:autoSpaceDE/>
        <w:autoSpaceDN/>
        <w:adjustRightInd/>
        <w:spacing w:before="0"/>
        <w:textAlignment w:val="auto"/>
        <w:rPr>
          <w:rFonts w:ascii="Calibri" w:hAnsi="Calibri"/>
          <w:b/>
          <w:bCs/>
          <w:sz w:val="28"/>
          <w:lang w:val="es-ES"/>
        </w:rPr>
      </w:pPr>
      <w:r>
        <w:rPr>
          <w:bCs/>
          <w:lang w:val="es-ES"/>
        </w:rPr>
        <w:br w:type="page"/>
      </w:r>
    </w:p>
    <w:p w14:paraId="15D8E143" w14:textId="54860FA9" w:rsidR="001D2F59" w:rsidRPr="001D2F59" w:rsidRDefault="001D2F59" w:rsidP="001D2F59">
      <w:pPr>
        <w:pStyle w:val="AnnexNotitle"/>
        <w:spacing w:after="120"/>
        <w:rPr>
          <w:lang w:val="es-ES"/>
        </w:rPr>
      </w:pPr>
      <w:r>
        <w:rPr>
          <w:lang w:val="es-ES"/>
        </w:rPr>
        <w:lastRenderedPageBreak/>
        <w:t>Anexo 2</w:t>
      </w:r>
      <w:r>
        <w:rPr>
          <w:lang w:val="es-ES"/>
        </w:rPr>
        <w:br/>
      </w:r>
      <w:r>
        <w:rPr>
          <w:bCs/>
          <w:lang w:val="es-ES"/>
        </w:rPr>
        <w:t>Asunto: Respuesta de Estado Miembro a la Circular 125 de la TSB: Consulta</w:t>
      </w:r>
      <w:r w:rsidR="000368FB">
        <w:rPr>
          <w:bCs/>
          <w:lang w:val="es-ES"/>
        </w:rPr>
        <w:br/>
      </w:r>
      <w:r>
        <w:rPr>
          <w:bCs/>
          <w:lang w:val="es-ES"/>
        </w:rPr>
        <w:t>sobre los proyectos de nueva Recomendación determinada</w:t>
      </w:r>
      <w:r w:rsidR="000368FB">
        <w:rPr>
          <w:bCs/>
          <w:lang w:val="es-ES"/>
        </w:rPr>
        <w:br/>
      </w:r>
      <w:r>
        <w:rPr>
          <w:bCs/>
          <w:lang w:val="es-ES"/>
        </w:rPr>
        <w:t>UIT-T Q.5057</w:t>
      </w:r>
      <w:r w:rsidR="000368FB">
        <w:rPr>
          <w:bCs/>
          <w:lang w:val="es-ES"/>
        </w:rPr>
        <w:t xml:space="preserve"> </w:t>
      </w:r>
      <w:r>
        <w:rPr>
          <w:bCs/>
          <w:lang w:val="es-ES"/>
        </w:rPr>
        <w:t>(antes Q.GIR)</w:t>
      </w:r>
    </w:p>
    <w:tbl>
      <w:tblPr>
        <w:tblW w:w="9072" w:type="dxa"/>
        <w:tblLayout w:type="fixed"/>
        <w:tblLook w:val="04A0" w:firstRow="1" w:lastRow="0" w:firstColumn="1" w:lastColumn="0" w:noHBand="0" w:noVBand="1"/>
      </w:tblPr>
      <w:tblGrid>
        <w:gridCol w:w="1077"/>
        <w:gridCol w:w="4114"/>
        <w:gridCol w:w="1046"/>
        <w:gridCol w:w="2835"/>
      </w:tblGrid>
      <w:tr w:rsidR="001D2F59" w:rsidRPr="004061EF" w14:paraId="527D81B4" w14:textId="77777777" w:rsidTr="000368FB">
        <w:tc>
          <w:tcPr>
            <w:tcW w:w="1169" w:type="dxa"/>
          </w:tcPr>
          <w:p w14:paraId="3C468D40" w14:textId="77777777" w:rsidR="001D2F59" w:rsidRPr="004061EF" w:rsidRDefault="001D2F59" w:rsidP="00A724A5">
            <w:pPr>
              <w:jc w:val="right"/>
              <w:rPr>
                <w:rFonts w:cstheme="minorHAnsi"/>
                <w:sz w:val="22"/>
                <w:szCs w:val="18"/>
              </w:rPr>
            </w:pPr>
            <w:r w:rsidRPr="004061EF">
              <w:rPr>
                <w:b/>
                <w:bCs/>
                <w:color w:val="000000"/>
                <w:sz w:val="22"/>
                <w:szCs w:val="18"/>
                <w:lang w:val="es-ES"/>
              </w:rPr>
              <w:t>A:</w:t>
            </w:r>
          </w:p>
        </w:tc>
        <w:tc>
          <w:tcPr>
            <w:tcW w:w="4536" w:type="dxa"/>
            <w:tcBorders>
              <w:right w:val="single" w:sz="8" w:space="0" w:color="auto"/>
            </w:tcBorders>
          </w:tcPr>
          <w:p w14:paraId="79A595C8" w14:textId="77777777" w:rsidR="001D2F59" w:rsidRPr="004061EF" w:rsidRDefault="001D2F59" w:rsidP="00A724A5">
            <w:pPr>
              <w:rPr>
                <w:rFonts w:cstheme="minorHAnsi"/>
                <w:sz w:val="22"/>
                <w:szCs w:val="18"/>
              </w:rPr>
            </w:pPr>
            <w:r w:rsidRPr="004061EF">
              <w:rPr>
                <w:color w:val="000000"/>
                <w:sz w:val="22"/>
                <w:szCs w:val="18"/>
                <w:lang w:val="es-ES"/>
              </w:rPr>
              <w:t>El Director de la Oficina de Normalización de las Telecomunicaciones</w:t>
            </w:r>
          </w:p>
          <w:p w14:paraId="60700913" w14:textId="77777777" w:rsidR="001D2F59" w:rsidRPr="004061EF" w:rsidRDefault="001D2F59" w:rsidP="00A724A5">
            <w:pPr>
              <w:spacing w:before="0"/>
              <w:rPr>
                <w:rFonts w:cstheme="minorHAnsi"/>
                <w:sz w:val="22"/>
                <w:szCs w:val="18"/>
              </w:rPr>
            </w:pPr>
            <w:r w:rsidRPr="004061EF">
              <w:rPr>
                <w:color w:val="000000"/>
                <w:sz w:val="22"/>
                <w:szCs w:val="18"/>
                <w:lang w:val="es-ES"/>
              </w:rPr>
              <w:t>Unión Internacional de Telecomunicaciones</w:t>
            </w:r>
          </w:p>
          <w:p w14:paraId="4518FBA3" w14:textId="77777777" w:rsidR="001D2F59" w:rsidRPr="004061EF" w:rsidRDefault="001D2F59" w:rsidP="00A724A5">
            <w:pPr>
              <w:spacing w:before="0"/>
              <w:rPr>
                <w:rFonts w:cstheme="minorHAnsi"/>
                <w:sz w:val="22"/>
                <w:szCs w:val="18"/>
              </w:rPr>
            </w:pPr>
            <w:r w:rsidRPr="004061EF">
              <w:rPr>
                <w:color w:val="000000"/>
                <w:sz w:val="22"/>
                <w:szCs w:val="18"/>
                <w:lang w:val="es-ES"/>
              </w:rPr>
              <w:t>Place des Nations</w:t>
            </w:r>
          </w:p>
          <w:p w14:paraId="6A7A7EF8" w14:textId="77777777" w:rsidR="001D2F59" w:rsidRPr="004061EF" w:rsidRDefault="001D2F59" w:rsidP="00A724A5">
            <w:pPr>
              <w:spacing w:before="0"/>
              <w:rPr>
                <w:rFonts w:cstheme="minorHAnsi"/>
                <w:sz w:val="22"/>
                <w:szCs w:val="18"/>
              </w:rPr>
            </w:pPr>
            <w:r w:rsidRPr="004061EF">
              <w:rPr>
                <w:color w:val="000000"/>
                <w:sz w:val="22"/>
                <w:szCs w:val="18"/>
                <w:lang w:val="es-ES"/>
              </w:rPr>
              <w:t>CH 1211 Ginera 20, Suiza</w:t>
            </w:r>
          </w:p>
        </w:tc>
        <w:tc>
          <w:tcPr>
            <w:tcW w:w="1134" w:type="dxa"/>
            <w:tcBorders>
              <w:left w:val="single" w:sz="8" w:space="0" w:color="auto"/>
            </w:tcBorders>
          </w:tcPr>
          <w:p w14:paraId="7865D95D" w14:textId="77777777" w:rsidR="001D2F59" w:rsidRPr="004061EF" w:rsidRDefault="001D2F59" w:rsidP="00A724A5">
            <w:pPr>
              <w:jc w:val="right"/>
              <w:rPr>
                <w:rFonts w:cstheme="minorHAnsi"/>
                <w:sz w:val="22"/>
                <w:szCs w:val="18"/>
              </w:rPr>
            </w:pPr>
            <w:r w:rsidRPr="004061EF">
              <w:rPr>
                <w:b/>
                <w:bCs/>
                <w:color w:val="000000"/>
                <w:sz w:val="22"/>
                <w:szCs w:val="18"/>
                <w:lang w:val="es-ES"/>
              </w:rPr>
              <w:t>De:</w:t>
            </w:r>
          </w:p>
        </w:tc>
        <w:tc>
          <w:tcPr>
            <w:tcW w:w="3118" w:type="dxa"/>
          </w:tcPr>
          <w:p w14:paraId="7650CCDA" w14:textId="77777777" w:rsidR="001D2F59" w:rsidRPr="004061EF" w:rsidRDefault="001D2F59" w:rsidP="00A724A5">
            <w:pPr>
              <w:rPr>
                <w:rFonts w:cstheme="minorHAnsi"/>
                <w:sz w:val="22"/>
                <w:szCs w:val="18"/>
                <w:highlight w:val="green"/>
              </w:rPr>
            </w:pPr>
            <w:r w:rsidRPr="004061EF">
              <w:rPr>
                <w:color w:val="000000"/>
                <w:sz w:val="22"/>
                <w:szCs w:val="18"/>
                <w:highlight w:val="green"/>
                <w:lang w:val="es-ES"/>
              </w:rPr>
              <w:t>[Nombre]</w:t>
            </w:r>
          </w:p>
          <w:p w14:paraId="14CFC201" w14:textId="77777777" w:rsidR="001D2F59" w:rsidRPr="004061EF" w:rsidRDefault="001D2F59" w:rsidP="00A724A5">
            <w:pPr>
              <w:spacing w:before="0"/>
              <w:rPr>
                <w:rFonts w:cstheme="minorHAnsi"/>
                <w:sz w:val="22"/>
                <w:szCs w:val="18"/>
                <w:highlight w:val="green"/>
              </w:rPr>
            </w:pPr>
            <w:r w:rsidRPr="004061EF">
              <w:rPr>
                <w:color w:val="000000"/>
                <w:sz w:val="22"/>
                <w:szCs w:val="18"/>
                <w:highlight w:val="green"/>
                <w:lang w:val="es-ES"/>
              </w:rPr>
              <w:t>[Cargo oficial/título]</w:t>
            </w:r>
          </w:p>
          <w:p w14:paraId="01526F1E" w14:textId="77777777" w:rsidR="001D2F59" w:rsidRPr="004061EF" w:rsidRDefault="001D2F59" w:rsidP="00A724A5">
            <w:pPr>
              <w:spacing w:before="0"/>
              <w:rPr>
                <w:rFonts w:cstheme="minorHAnsi"/>
                <w:sz w:val="22"/>
                <w:szCs w:val="18"/>
              </w:rPr>
            </w:pPr>
            <w:r w:rsidRPr="004061EF">
              <w:rPr>
                <w:color w:val="000000"/>
                <w:sz w:val="22"/>
                <w:szCs w:val="18"/>
                <w:highlight w:val="green"/>
                <w:lang w:val="es-ES"/>
              </w:rPr>
              <w:t>[Dirección]</w:t>
            </w:r>
          </w:p>
        </w:tc>
      </w:tr>
      <w:tr w:rsidR="001D2F59" w:rsidRPr="004061EF" w14:paraId="0DCC0F7E" w14:textId="77777777" w:rsidTr="000368FB">
        <w:tc>
          <w:tcPr>
            <w:tcW w:w="1169" w:type="dxa"/>
          </w:tcPr>
          <w:p w14:paraId="33E5ABE3" w14:textId="77777777" w:rsidR="001D2F59" w:rsidRPr="004061EF" w:rsidRDefault="001D2F59" w:rsidP="00A724A5">
            <w:pPr>
              <w:spacing w:before="0"/>
              <w:jc w:val="right"/>
              <w:rPr>
                <w:rFonts w:cstheme="minorHAnsi"/>
                <w:sz w:val="22"/>
                <w:szCs w:val="18"/>
              </w:rPr>
            </w:pPr>
            <w:r w:rsidRPr="004061EF">
              <w:rPr>
                <w:b/>
                <w:bCs/>
                <w:color w:val="000000"/>
                <w:sz w:val="22"/>
                <w:szCs w:val="18"/>
                <w:lang w:val="es-ES"/>
              </w:rPr>
              <w:t>Fax:</w:t>
            </w:r>
          </w:p>
        </w:tc>
        <w:tc>
          <w:tcPr>
            <w:tcW w:w="4536" w:type="dxa"/>
            <w:tcBorders>
              <w:right w:val="single" w:sz="8" w:space="0" w:color="auto"/>
            </w:tcBorders>
          </w:tcPr>
          <w:p w14:paraId="0CFFEC13" w14:textId="77777777" w:rsidR="001D2F59" w:rsidRPr="004061EF" w:rsidRDefault="001D2F59" w:rsidP="00A724A5">
            <w:pPr>
              <w:spacing w:before="0"/>
              <w:rPr>
                <w:rFonts w:cstheme="minorHAnsi"/>
                <w:sz w:val="22"/>
                <w:szCs w:val="18"/>
              </w:rPr>
            </w:pPr>
            <w:r w:rsidRPr="004061EF">
              <w:rPr>
                <w:color w:val="000000"/>
                <w:sz w:val="22"/>
                <w:szCs w:val="18"/>
                <w:lang w:val="es-ES"/>
              </w:rPr>
              <w:t>+41-22-730-5853</w:t>
            </w:r>
          </w:p>
        </w:tc>
        <w:tc>
          <w:tcPr>
            <w:tcW w:w="1134" w:type="dxa"/>
            <w:tcBorders>
              <w:left w:val="single" w:sz="8" w:space="0" w:color="auto"/>
            </w:tcBorders>
          </w:tcPr>
          <w:p w14:paraId="511048C1" w14:textId="77777777" w:rsidR="001D2F59" w:rsidRPr="004061EF" w:rsidRDefault="001D2F59" w:rsidP="00A724A5">
            <w:pPr>
              <w:spacing w:before="0"/>
              <w:jc w:val="right"/>
              <w:rPr>
                <w:rFonts w:cstheme="minorHAnsi"/>
                <w:sz w:val="22"/>
                <w:szCs w:val="18"/>
              </w:rPr>
            </w:pPr>
            <w:r w:rsidRPr="004061EF">
              <w:rPr>
                <w:b/>
                <w:bCs/>
                <w:color w:val="000000"/>
                <w:sz w:val="22"/>
                <w:szCs w:val="18"/>
                <w:lang w:val="es-ES"/>
              </w:rPr>
              <w:t>Fax</w:t>
            </w:r>
            <w:r w:rsidRPr="004061EF">
              <w:rPr>
                <w:color w:val="000000"/>
                <w:sz w:val="22"/>
                <w:szCs w:val="18"/>
                <w:lang w:val="es-ES"/>
              </w:rPr>
              <w:t>:</w:t>
            </w:r>
          </w:p>
        </w:tc>
        <w:tc>
          <w:tcPr>
            <w:tcW w:w="3118" w:type="dxa"/>
          </w:tcPr>
          <w:p w14:paraId="78C3E243" w14:textId="77777777" w:rsidR="001D2F59" w:rsidRPr="004061EF" w:rsidRDefault="001D2F59" w:rsidP="00A724A5">
            <w:pPr>
              <w:spacing w:before="0"/>
              <w:rPr>
                <w:rFonts w:cstheme="minorHAnsi"/>
                <w:sz w:val="22"/>
                <w:szCs w:val="18"/>
              </w:rPr>
            </w:pPr>
          </w:p>
        </w:tc>
      </w:tr>
      <w:tr w:rsidR="001D2F59" w:rsidRPr="004061EF" w14:paraId="44AC1BB7" w14:textId="77777777" w:rsidTr="000368FB">
        <w:tc>
          <w:tcPr>
            <w:tcW w:w="1169" w:type="dxa"/>
          </w:tcPr>
          <w:p w14:paraId="687AFEA8" w14:textId="77777777" w:rsidR="001D2F59" w:rsidRPr="004061EF" w:rsidRDefault="001D2F59" w:rsidP="00A724A5">
            <w:pPr>
              <w:spacing w:before="0"/>
              <w:jc w:val="right"/>
              <w:rPr>
                <w:rFonts w:cstheme="minorHAnsi"/>
                <w:sz w:val="22"/>
                <w:szCs w:val="18"/>
              </w:rPr>
            </w:pPr>
            <w:r w:rsidRPr="004061EF">
              <w:rPr>
                <w:b/>
                <w:bCs/>
                <w:color w:val="000000"/>
                <w:sz w:val="22"/>
                <w:szCs w:val="18"/>
                <w:lang w:val="es-ES"/>
              </w:rPr>
              <w:t>Correo-e:</w:t>
            </w:r>
          </w:p>
        </w:tc>
        <w:tc>
          <w:tcPr>
            <w:tcW w:w="4536" w:type="dxa"/>
            <w:tcBorders>
              <w:right w:val="single" w:sz="8" w:space="0" w:color="auto"/>
            </w:tcBorders>
          </w:tcPr>
          <w:p w14:paraId="5188617A" w14:textId="77777777" w:rsidR="001D2F59" w:rsidRPr="004061EF" w:rsidRDefault="001D2F59" w:rsidP="00A724A5">
            <w:pPr>
              <w:spacing w:before="0"/>
              <w:rPr>
                <w:rStyle w:val="Hyperlink"/>
                <w:sz w:val="22"/>
                <w:szCs w:val="18"/>
              </w:rPr>
            </w:pPr>
            <w:hyperlink r:id="rId15" w:history="1">
              <w:r w:rsidRPr="004061EF">
                <w:rPr>
                  <w:rStyle w:val="Hyperlink"/>
                  <w:sz w:val="22"/>
                  <w:szCs w:val="18"/>
                </w:rPr>
                <w:t>tsbdir@itu.int</w:t>
              </w:r>
            </w:hyperlink>
          </w:p>
        </w:tc>
        <w:tc>
          <w:tcPr>
            <w:tcW w:w="1134" w:type="dxa"/>
            <w:tcBorders>
              <w:left w:val="single" w:sz="8" w:space="0" w:color="auto"/>
            </w:tcBorders>
          </w:tcPr>
          <w:p w14:paraId="7810551E" w14:textId="77777777" w:rsidR="001D2F59" w:rsidRPr="004061EF" w:rsidRDefault="001D2F59" w:rsidP="00A724A5">
            <w:pPr>
              <w:spacing w:before="0"/>
              <w:jc w:val="right"/>
              <w:rPr>
                <w:rFonts w:cstheme="minorHAnsi"/>
                <w:sz w:val="22"/>
                <w:szCs w:val="18"/>
              </w:rPr>
            </w:pPr>
            <w:r w:rsidRPr="004061EF">
              <w:rPr>
                <w:b/>
                <w:bCs/>
                <w:color w:val="000000"/>
                <w:sz w:val="22"/>
                <w:szCs w:val="18"/>
                <w:lang w:val="es-ES"/>
              </w:rPr>
              <w:t>Correo-e</w:t>
            </w:r>
            <w:r w:rsidRPr="004061EF">
              <w:rPr>
                <w:color w:val="000000"/>
                <w:sz w:val="22"/>
                <w:szCs w:val="18"/>
                <w:lang w:val="es-ES"/>
              </w:rPr>
              <w:t>:</w:t>
            </w:r>
          </w:p>
        </w:tc>
        <w:tc>
          <w:tcPr>
            <w:tcW w:w="3118" w:type="dxa"/>
          </w:tcPr>
          <w:p w14:paraId="259E4AE6" w14:textId="77777777" w:rsidR="001D2F59" w:rsidRPr="004061EF" w:rsidRDefault="001D2F59" w:rsidP="00A724A5">
            <w:pPr>
              <w:spacing w:before="0"/>
              <w:rPr>
                <w:rFonts w:cstheme="minorHAnsi"/>
                <w:sz w:val="22"/>
                <w:szCs w:val="18"/>
              </w:rPr>
            </w:pPr>
          </w:p>
        </w:tc>
      </w:tr>
      <w:tr w:rsidR="001D2F59" w:rsidRPr="004061EF" w14:paraId="1BF11F13" w14:textId="77777777" w:rsidTr="000368FB">
        <w:tc>
          <w:tcPr>
            <w:tcW w:w="1169" w:type="dxa"/>
          </w:tcPr>
          <w:p w14:paraId="19B0243C" w14:textId="77777777" w:rsidR="001D2F59" w:rsidRPr="004061EF" w:rsidRDefault="001D2F59" w:rsidP="00A724A5">
            <w:pPr>
              <w:spacing w:before="0"/>
              <w:jc w:val="right"/>
              <w:rPr>
                <w:rFonts w:cstheme="minorHAnsi"/>
                <w:sz w:val="22"/>
                <w:szCs w:val="18"/>
              </w:rPr>
            </w:pPr>
          </w:p>
        </w:tc>
        <w:tc>
          <w:tcPr>
            <w:tcW w:w="4536" w:type="dxa"/>
            <w:tcBorders>
              <w:right w:val="single" w:sz="8" w:space="0" w:color="auto"/>
            </w:tcBorders>
          </w:tcPr>
          <w:p w14:paraId="156AC2BA" w14:textId="77777777" w:rsidR="001D2F59" w:rsidRPr="004061EF" w:rsidRDefault="001D2F59" w:rsidP="00A724A5">
            <w:pPr>
              <w:spacing w:before="0"/>
              <w:rPr>
                <w:rFonts w:cstheme="minorHAnsi"/>
                <w:sz w:val="22"/>
                <w:szCs w:val="18"/>
              </w:rPr>
            </w:pPr>
          </w:p>
        </w:tc>
        <w:tc>
          <w:tcPr>
            <w:tcW w:w="1134" w:type="dxa"/>
            <w:tcBorders>
              <w:left w:val="single" w:sz="8" w:space="0" w:color="auto"/>
            </w:tcBorders>
          </w:tcPr>
          <w:p w14:paraId="3BBD2480" w14:textId="77777777" w:rsidR="001D2F59" w:rsidRPr="004061EF" w:rsidRDefault="001D2F59" w:rsidP="00A724A5">
            <w:pPr>
              <w:spacing w:before="0"/>
              <w:jc w:val="right"/>
              <w:rPr>
                <w:rFonts w:cstheme="minorHAnsi"/>
                <w:sz w:val="22"/>
                <w:szCs w:val="18"/>
              </w:rPr>
            </w:pPr>
            <w:r w:rsidRPr="004061EF">
              <w:rPr>
                <w:b/>
                <w:bCs/>
                <w:color w:val="000000"/>
                <w:sz w:val="22"/>
                <w:szCs w:val="18"/>
                <w:lang w:val="es-ES"/>
              </w:rPr>
              <w:t>Fecha:</w:t>
            </w:r>
          </w:p>
        </w:tc>
        <w:tc>
          <w:tcPr>
            <w:tcW w:w="3118" w:type="dxa"/>
          </w:tcPr>
          <w:p w14:paraId="622E0E8D" w14:textId="77777777" w:rsidR="001D2F59" w:rsidRPr="004061EF" w:rsidRDefault="001D2F59" w:rsidP="00A724A5">
            <w:pPr>
              <w:spacing w:before="0"/>
              <w:rPr>
                <w:rFonts w:cstheme="minorHAnsi"/>
                <w:sz w:val="22"/>
                <w:szCs w:val="18"/>
              </w:rPr>
            </w:pPr>
            <w:r w:rsidRPr="004061EF">
              <w:rPr>
                <w:color w:val="000000"/>
                <w:sz w:val="22"/>
                <w:szCs w:val="18"/>
                <w:highlight w:val="green"/>
                <w:lang w:val="es-ES"/>
              </w:rPr>
              <w:t>[Lugar,] [Fecha]</w:t>
            </w:r>
          </w:p>
        </w:tc>
      </w:tr>
    </w:tbl>
    <w:p w14:paraId="0C41EC4E" w14:textId="77777777" w:rsidR="001D2F59" w:rsidRPr="004061EF" w:rsidRDefault="001D2F59" w:rsidP="000368FB">
      <w:pPr>
        <w:pStyle w:val="Normalaftertitle"/>
        <w:rPr>
          <w:rFonts w:cstheme="minorHAnsi"/>
          <w:sz w:val="20"/>
        </w:rPr>
      </w:pPr>
      <w:r w:rsidRPr="004061EF">
        <w:rPr>
          <w:lang w:val="es-ES"/>
        </w:rPr>
        <w:t>Muy Señora mía/Muy Señor mío:</w:t>
      </w:r>
    </w:p>
    <w:p w14:paraId="58131BFD" w14:textId="77777777" w:rsidR="001D2F59" w:rsidRPr="004061EF" w:rsidRDefault="001D2F59" w:rsidP="000368FB">
      <w:pPr>
        <w:spacing w:after="120"/>
        <w:rPr>
          <w:rFonts w:cstheme="minorHAnsi"/>
          <w:sz w:val="20"/>
        </w:rPr>
      </w:pPr>
      <w:r w:rsidRPr="004061EF">
        <w:rPr>
          <w:lang w:val="es-ES"/>
        </w:rPr>
        <w:t xml:space="preserve">En lo que respecta a la consulta a los Estados Miembros sobre </w:t>
      </w:r>
      <w:r>
        <w:rPr>
          <w:lang w:val="es-ES"/>
        </w:rPr>
        <w:t>el</w:t>
      </w:r>
      <w:r w:rsidRPr="004061EF">
        <w:rPr>
          <w:lang w:val="es-ES"/>
        </w:rPr>
        <w:t xml:space="preserve"> proyecto de texto determinado que se enumera en la Circular TSB </w:t>
      </w:r>
      <w:r>
        <w:rPr>
          <w:lang w:val="es-ES"/>
        </w:rPr>
        <w:t>125</w:t>
      </w:r>
      <w:r w:rsidRPr="004061EF">
        <w:rPr>
          <w:lang w:val="es-ES"/>
        </w:rPr>
        <w:t>, tengo a bien informarle de la opinión de esta Administración, que se refleja en el siguiente cuadro.</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652"/>
      </w:tblGrid>
      <w:tr w:rsidR="001D2F59" w:rsidRPr="004061EF" w14:paraId="4FA36079" w14:textId="77777777" w:rsidTr="00A724A5">
        <w:trPr>
          <w:tblHeader/>
        </w:trPr>
        <w:tc>
          <w:tcPr>
            <w:tcW w:w="2067" w:type="dxa"/>
            <w:vAlign w:val="center"/>
          </w:tcPr>
          <w:p w14:paraId="7025A6D4" w14:textId="77777777" w:rsidR="001D2F59" w:rsidRPr="004061EF" w:rsidRDefault="001D2F59" w:rsidP="00A724A5">
            <w:pPr>
              <w:spacing w:after="120"/>
              <w:jc w:val="center"/>
              <w:rPr>
                <w:rFonts w:cstheme="minorHAnsi"/>
                <w:b/>
                <w:bCs/>
                <w:sz w:val="22"/>
                <w:szCs w:val="22"/>
                <w:lang w:val="es-ES"/>
              </w:rPr>
            </w:pPr>
          </w:p>
        </w:tc>
        <w:tc>
          <w:tcPr>
            <w:tcW w:w="7652" w:type="dxa"/>
            <w:vAlign w:val="center"/>
          </w:tcPr>
          <w:p w14:paraId="6F7DFEC3" w14:textId="77777777" w:rsidR="001D2F59" w:rsidRPr="004061EF" w:rsidRDefault="001D2F59" w:rsidP="00A724A5">
            <w:pPr>
              <w:tabs>
                <w:tab w:val="clear" w:pos="794"/>
                <w:tab w:val="clear" w:pos="1191"/>
                <w:tab w:val="clear" w:pos="1588"/>
                <w:tab w:val="clear" w:pos="1985"/>
              </w:tabs>
              <w:spacing w:after="120"/>
              <w:ind w:left="939" w:hanging="459"/>
              <w:jc w:val="center"/>
              <w:rPr>
                <w:rFonts w:cstheme="minorHAnsi"/>
                <w:b/>
                <w:bCs/>
                <w:sz w:val="22"/>
                <w:szCs w:val="22"/>
              </w:rPr>
            </w:pPr>
            <w:r w:rsidRPr="004061EF">
              <w:rPr>
                <w:b/>
                <w:bCs/>
                <w:color w:val="000000"/>
                <w:sz w:val="22"/>
                <w:szCs w:val="22"/>
                <w:lang w:val="es-ES"/>
              </w:rPr>
              <w:t>Seleccione una de las dos casillas</w:t>
            </w:r>
          </w:p>
        </w:tc>
      </w:tr>
      <w:tr w:rsidR="001D2F59" w:rsidRPr="004061EF" w14:paraId="7124DBBA" w14:textId="77777777" w:rsidTr="00A724A5">
        <w:trPr>
          <w:trHeight w:val="1484"/>
        </w:trPr>
        <w:tc>
          <w:tcPr>
            <w:tcW w:w="2067" w:type="dxa"/>
            <w:vMerge w:val="restart"/>
            <w:vAlign w:val="center"/>
          </w:tcPr>
          <w:p w14:paraId="49B8CF82" w14:textId="77777777" w:rsidR="001D2F59" w:rsidRPr="004061EF" w:rsidRDefault="001D2F59" w:rsidP="00A724A5">
            <w:pPr>
              <w:spacing w:before="60" w:after="60"/>
              <w:jc w:val="center"/>
              <w:rPr>
                <w:rFonts w:cstheme="minorHAnsi"/>
                <w:b/>
                <w:bCs/>
                <w:sz w:val="22"/>
                <w:szCs w:val="22"/>
              </w:rPr>
            </w:pPr>
            <w:r w:rsidRPr="004061EF">
              <w:rPr>
                <w:b/>
                <w:bCs/>
                <w:color w:val="000000"/>
                <w:sz w:val="22"/>
                <w:szCs w:val="22"/>
                <w:lang w:val="es-ES"/>
              </w:rPr>
              <w:t>Proyecto de nueva Recomendación UIT-T Q.50</w:t>
            </w:r>
            <w:r>
              <w:rPr>
                <w:b/>
                <w:bCs/>
                <w:color w:val="000000"/>
                <w:sz w:val="22"/>
                <w:szCs w:val="22"/>
                <w:lang w:val="es-ES"/>
              </w:rPr>
              <w:t>57</w:t>
            </w:r>
            <w:r>
              <w:rPr>
                <w:b/>
                <w:bCs/>
                <w:color w:val="000000"/>
                <w:sz w:val="22"/>
                <w:szCs w:val="22"/>
                <w:lang w:val="es-ES"/>
              </w:rPr>
              <w:br/>
            </w:r>
            <w:r w:rsidRPr="004061EF">
              <w:rPr>
                <w:b/>
                <w:bCs/>
                <w:color w:val="000000"/>
                <w:sz w:val="22"/>
                <w:szCs w:val="22"/>
                <w:lang w:val="es-ES"/>
              </w:rPr>
              <w:t>(antes Q.</w:t>
            </w:r>
            <w:r>
              <w:rPr>
                <w:b/>
                <w:bCs/>
                <w:color w:val="000000"/>
                <w:sz w:val="22"/>
                <w:szCs w:val="22"/>
                <w:lang w:val="es-ES"/>
              </w:rPr>
              <w:t>GIR</w:t>
            </w:r>
            <w:r w:rsidRPr="004061EF">
              <w:rPr>
                <w:b/>
                <w:bCs/>
                <w:color w:val="000000"/>
                <w:sz w:val="22"/>
                <w:szCs w:val="22"/>
                <w:lang w:val="es-ES"/>
              </w:rPr>
              <w:t>)</w:t>
            </w:r>
          </w:p>
        </w:tc>
        <w:tc>
          <w:tcPr>
            <w:tcW w:w="7652" w:type="dxa"/>
            <w:vAlign w:val="center"/>
          </w:tcPr>
          <w:p w14:paraId="51FD87FD" w14:textId="77777777" w:rsidR="001D2F59" w:rsidRPr="004061EF" w:rsidRDefault="001D2F59" w:rsidP="00A724A5">
            <w:pPr>
              <w:tabs>
                <w:tab w:val="clear" w:pos="794"/>
                <w:tab w:val="clear" w:pos="1191"/>
                <w:tab w:val="clear" w:pos="1588"/>
                <w:tab w:val="clear" w:pos="1985"/>
              </w:tabs>
              <w:spacing w:before="60" w:after="60"/>
              <w:ind w:left="45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Pr="004061EF">
              <w:rPr>
                <w:color w:val="000000"/>
                <w:sz w:val="22"/>
                <w:szCs w:val="22"/>
                <w:lang w:val="es-ES"/>
              </w:rPr>
              <w:tab/>
            </w:r>
            <w:r w:rsidRPr="004061EF">
              <w:rPr>
                <w:b/>
                <w:bCs/>
                <w:color w:val="000000"/>
                <w:sz w:val="22"/>
                <w:szCs w:val="22"/>
                <w:lang w:val="es-ES"/>
              </w:rPr>
              <w:t>Otorga autoridad</w:t>
            </w:r>
            <w:r w:rsidRPr="004061EF">
              <w:rPr>
                <w:color w:val="000000"/>
                <w:sz w:val="22"/>
                <w:szCs w:val="22"/>
                <w:lang w:val="es-ES"/>
              </w:rPr>
              <w:t xml:space="preserve"> a la Comisión de Estudio 11 a fin de examinar este texto para aprobación (en cuyo caso seleccionará una de las dos opciones):</w:t>
            </w:r>
          </w:p>
          <w:p w14:paraId="0656E5FB" w14:textId="77777777" w:rsidR="001D2F59" w:rsidRPr="004061EF" w:rsidRDefault="001D2F59" w:rsidP="00A724A5">
            <w:pPr>
              <w:tabs>
                <w:tab w:val="clear" w:pos="794"/>
                <w:tab w:val="clear" w:pos="1191"/>
                <w:tab w:val="clear" w:pos="1588"/>
                <w:tab w:val="clear" w:pos="1985"/>
              </w:tabs>
              <w:spacing w:before="60" w:after="60"/>
              <w:ind w:left="93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Pr="004061EF">
              <w:rPr>
                <w:color w:val="000000"/>
                <w:sz w:val="22"/>
                <w:szCs w:val="22"/>
                <w:lang w:val="es-ES"/>
              </w:rPr>
              <w:tab/>
              <w:t>Sin comentarios o cambios sugeridos</w:t>
            </w:r>
          </w:p>
          <w:p w14:paraId="4EC18555" w14:textId="77777777" w:rsidR="001D2F59" w:rsidRPr="004061EF" w:rsidRDefault="001D2F59" w:rsidP="00A724A5">
            <w:pPr>
              <w:tabs>
                <w:tab w:val="clear" w:pos="794"/>
                <w:tab w:val="clear" w:pos="1191"/>
                <w:tab w:val="clear" w:pos="1588"/>
                <w:tab w:val="clear" w:pos="1985"/>
              </w:tabs>
              <w:spacing w:before="60" w:after="60"/>
              <w:ind w:left="93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Pr="004061EF">
              <w:rPr>
                <w:color w:val="000000"/>
                <w:sz w:val="22"/>
                <w:szCs w:val="22"/>
                <w:lang w:val="es-ES"/>
              </w:rPr>
              <w:tab/>
              <w:t>Se adjuntan los comentarios o cambios sugeridos</w:t>
            </w:r>
          </w:p>
        </w:tc>
      </w:tr>
      <w:tr w:rsidR="001D2F59" w:rsidRPr="004061EF" w14:paraId="6DE9217D" w14:textId="77777777" w:rsidTr="00A724A5">
        <w:trPr>
          <w:trHeight w:val="1106"/>
        </w:trPr>
        <w:tc>
          <w:tcPr>
            <w:tcW w:w="2067" w:type="dxa"/>
            <w:vMerge/>
            <w:vAlign w:val="center"/>
          </w:tcPr>
          <w:p w14:paraId="2E0E6436" w14:textId="77777777" w:rsidR="001D2F59" w:rsidRPr="004061EF" w:rsidRDefault="001D2F59" w:rsidP="00A724A5">
            <w:pPr>
              <w:spacing w:before="60" w:after="60"/>
              <w:jc w:val="center"/>
              <w:rPr>
                <w:rFonts w:cstheme="minorHAnsi"/>
                <w:b/>
                <w:bCs/>
                <w:sz w:val="22"/>
                <w:szCs w:val="22"/>
              </w:rPr>
            </w:pPr>
          </w:p>
        </w:tc>
        <w:tc>
          <w:tcPr>
            <w:tcW w:w="7652" w:type="dxa"/>
            <w:vAlign w:val="center"/>
          </w:tcPr>
          <w:p w14:paraId="792725FC" w14:textId="77777777" w:rsidR="001D2F59" w:rsidRPr="004061EF" w:rsidRDefault="001D2F59" w:rsidP="00A724A5">
            <w:pPr>
              <w:tabs>
                <w:tab w:val="clear" w:pos="794"/>
                <w:tab w:val="clear" w:pos="1191"/>
                <w:tab w:val="clear" w:pos="1588"/>
                <w:tab w:val="clear" w:pos="1985"/>
                <w:tab w:val="left" w:pos="250"/>
              </w:tabs>
              <w:spacing w:before="60" w:after="60"/>
              <w:ind w:left="459" w:hanging="459"/>
              <w:rPr>
                <w:rFonts w:cstheme="minorHAnsi"/>
                <w:sz w:val="22"/>
                <w:szCs w:val="22"/>
              </w:rPr>
            </w:pPr>
            <w:r w:rsidRPr="004061EF">
              <w:rPr>
                <w:rFonts w:cstheme="minorHAnsi"/>
                <w:sz w:val="22"/>
                <w:szCs w:val="22"/>
              </w:rPr>
              <w:fldChar w:fldCharType="begin">
                <w:ffData>
                  <w:name w:val="Check1"/>
                  <w:enabled/>
                  <w:calcOnExit w:val="0"/>
                  <w:checkBox>
                    <w:sizeAuto/>
                    <w:default w:val="0"/>
                  </w:checkBox>
                </w:ffData>
              </w:fldChar>
            </w:r>
            <w:r w:rsidRPr="004061EF">
              <w:rPr>
                <w:rFonts w:cstheme="minorHAnsi"/>
                <w:sz w:val="22"/>
                <w:szCs w:val="22"/>
              </w:rPr>
              <w:instrText xml:space="preserve"> FORMCHECKBOX </w:instrText>
            </w:r>
            <w:r w:rsidRPr="004061EF">
              <w:rPr>
                <w:rFonts w:cstheme="minorHAnsi"/>
                <w:sz w:val="22"/>
                <w:szCs w:val="22"/>
              </w:rPr>
            </w:r>
            <w:r w:rsidRPr="004061EF">
              <w:rPr>
                <w:rFonts w:cstheme="minorHAnsi"/>
                <w:sz w:val="22"/>
                <w:szCs w:val="22"/>
              </w:rPr>
              <w:fldChar w:fldCharType="separate"/>
            </w:r>
            <w:r w:rsidRPr="004061EF">
              <w:rPr>
                <w:rFonts w:cstheme="minorHAnsi"/>
                <w:sz w:val="22"/>
                <w:szCs w:val="22"/>
              </w:rPr>
              <w:fldChar w:fldCharType="end"/>
            </w:r>
            <w:r w:rsidRPr="004061EF">
              <w:rPr>
                <w:color w:val="000000"/>
                <w:sz w:val="22"/>
                <w:szCs w:val="22"/>
                <w:lang w:val="es-ES"/>
              </w:rPr>
              <w:tab/>
            </w:r>
            <w:r w:rsidRPr="004061EF">
              <w:rPr>
                <w:b/>
                <w:bCs/>
                <w:color w:val="000000"/>
                <w:sz w:val="22"/>
                <w:szCs w:val="22"/>
                <w:lang w:val="es-ES"/>
              </w:rPr>
              <w:t>No otorga autoridad</w:t>
            </w:r>
            <w:r w:rsidRPr="004061EF">
              <w:rPr>
                <w:color w:val="000000"/>
                <w:sz w:val="22"/>
                <w:szCs w:val="22"/>
                <w:lang w:val="es-ES"/>
              </w:rPr>
              <w:t xml:space="preserve"> a la Comisión de Estudio 11 a fin de examinar este texto para aprobación (se adjuntan los motivos para esta opinión y las posibles modificaciones que permitirían que prosiguieran los trabajos).</w:t>
            </w:r>
          </w:p>
        </w:tc>
      </w:tr>
    </w:tbl>
    <w:p w14:paraId="23B6BCCF" w14:textId="77777777" w:rsidR="001D2F59" w:rsidRPr="004061EF" w:rsidRDefault="001D2F59" w:rsidP="001D2F59">
      <w:pPr>
        <w:rPr>
          <w:rFonts w:cstheme="minorHAnsi"/>
          <w:sz w:val="22"/>
          <w:szCs w:val="22"/>
        </w:rPr>
      </w:pPr>
      <w:r w:rsidRPr="004061EF">
        <w:rPr>
          <w:sz w:val="22"/>
          <w:szCs w:val="22"/>
          <w:lang w:val="es-ES"/>
        </w:rPr>
        <w:t>Atentamente,</w:t>
      </w:r>
    </w:p>
    <w:p w14:paraId="53E33D96" w14:textId="7AFCAE74" w:rsidR="001D2F59" w:rsidRDefault="001D2F59" w:rsidP="001D2F59">
      <w:pPr>
        <w:pStyle w:val="Normalaftertitle0"/>
        <w:rPr>
          <w:sz w:val="22"/>
          <w:szCs w:val="22"/>
          <w:lang w:val="es-ES"/>
        </w:rPr>
      </w:pPr>
      <w:r w:rsidRPr="004061EF">
        <w:rPr>
          <w:sz w:val="22"/>
          <w:szCs w:val="22"/>
          <w:highlight w:val="green"/>
          <w:lang w:val="es-ES"/>
        </w:rPr>
        <w:t>[Nombre]</w:t>
      </w:r>
      <w:r w:rsidRPr="004061EF">
        <w:rPr>
          <w:sz w:val="22"/>
          <w:szCs w:val="22"/>
          <w:highlight w:val="green"/>
          <w:lang w:val="es-ES"/>
        </w:rPr>
        <w:br/>
        <w:t>[Cargo oficial/título]</w:t>
      </w:r>
      <w:r w:rsidRPr="004061EF">
        <w:rPr>
          <w:sz w:val="22"/>
          <w:szCs w:val="22"/>
          <w:lang w:val="es-ES"/>
        </w:rPr>
        <w:br/>
        <w:t xml:space="preserve">Administración de </w:t>
      </w:r>
      <w:r w:rsidRPr="004061EF">
        <w:rPr>
          <w:sz w:val="22"/>
          <w:szCs w:val="22"/>
          <w:highlight w:val="green"/>
          <w:lang w:val="es-ES"/>
        </w:rPr>
        <w:t>[Estado Miembro]</w:t>
      </w:r>
    </w:p>
    <w:p w14:paraId="65A16444" w14:textId="77777777" w:rsidR="00D54C86" w:rsidRPr="007E0A31" w:rsidRDefault="00D54C86" w:rsidP="00411C49">
      <w:pPr>
        <w:pStyle w:val="Reasons"/>
        <w:rPr>
          <w:lang w:val="pt-BR"/>
        </w:rPr>
      </w:pPr>
    </w:p>
    <w:p w14:paraId="7B906090" w14:textId="77777777" w:rsidR="00D54C86" w:rsidRDefault="00D54C86">
      <w:pPr>
        <w:jc w:val="center"/>
      </w:pPr>
      <w:r>
        <w:t>______________</w:t>
      </w:r>
    </w:p>
    <w:sectPr w:rsidR="00D54C86" w:rsidSect="00B87E9E">
      <w:headerReference w:type="default" r:id="rId16"/>
      <w:footerReference w:type="first" r:id="rId17"/>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24CC" w14:textId="77777777" w:rsidR="00A13A1A" w:rsidRDefault="00A13A1A">
      <w:r>
        <w:separator/>
      </w:r>
    </w:p>
  </w:endnote>
  <w:endnote w:type="continuationSeparator" w:id="0">
    <w:p w14:paraId="06B47C1C" w14:textId="77777777" w:rsidR="00A13A1A" w:rsidRDefault="00A1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DE9"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C8F9" w14:textId="77777777" w:rsidR="00A13A1A" w:rsidRDefault="00A13A1A">
      <w:r>
        <w:t>____________________</w:t>
      </w:r>
    </w:p>
  </w:footnote>
  <w:footnote w:type="continuationSeparator" w:id="0">
    <w:p w14:paraId="689937D6" w14:textId="77777777" w:rsidR="00A13A1A" w:rsidRDefault="00A1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453A" w14:textId="3F2E2954"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7E0A31">
      <w:rPr>
        <w:rStyle w:val="PageNumber"/>
        <w:sz w:val="18"/>
        <w:szCs w:val="18"/>
      </w:rPr>
      <w:br/>
      <w:t>Circular TSB 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075666581">
    <w:abstractNumId w:val="0"/>
  </w:num>
  <w:num w:numId="2" w16cid:durableId="873537964">
    <w:abstractNumId w:val="3"/>
  </w:num>
  <w:num w:numId="3" w16cid:durableId="613025249">
    <w:abstractNumId w:val="2"/>
  </w:num>
  <w:num w:numId="4" w16cid:durableId="14774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1A"/>
    <w:rsid w:val="00002529"/>
    <w:rsid w:val="000368FB"/>
    <w:rsid w:val="00085662"/>
    <w:rsid w:val="000C382F"/>
    <w:rsid w:val="000C3C8B"/>
    <w:rsid w:val="001173CC"/>
    <w:rsid w:val="001350B9"/>
    <w:rsid w:val="0014464D"/>
    <w:rsid w:val="001A54CC"/>
    <w:rsid w:val="001D2F59"/>
    <w:rsid w:val="001E09D0"/>
    <w:rsid w:val="00257FB4"/>
    <w:rsid w:val="002E496E"/>
    <w:rsid w:val="00303D62"/>
    <w:rsid w:val="00335367"/>
    <w:rsid w:val="00370C2D"/>
    <w:rsid w:val="003D1E8D"/>
    <w:rsid w:val="003D673B"/>
    <w:rsid w:val="003F2855"/>
    <w:rsid w:val="00401C20"/>
    <w:rsid w:val="004A7957"/>
    <w:rsid w:val="004C4144"/>
    <w:rsid w:val="0055719E"/>
    <w:rsid w:val="0063456B"/>
    <w:rsid w:val="006969B4"/>
    <w:rsid w:val="006E4F7B"/>
    <w:rsid w:val="00781E2A"/>
    <w:rsid w:val="007933A2"/>
    <w:rsid w:val="007B575A"/>
    <w:rsid w:val="007B6316"/>
    <w:rsid w:val="007E0A31"/>
    <w:rsid w:val="00814503"/>
    <w:rsid w:val="008258C2"/>
    <w:rsid w:val="008505BD"/>
    <w:rsid w:val="00850C78"/>
    <w:rsid w:val="00876165"/>
    <w:rsid w:val="00884D12"/>
    <w:rsid w:val="008C17AD"/>
    <w:rsid w:val="008D02CD"/>
    <w:rsid w:val="0091370C"/>
    <w:rsid w:val="0095172A"/>
    <w:rsid w:val="009A0BA0"/>
    <w:rsid w:val="00A13A1A"/>
    <w:rsid w:val="00A54E47"/>
    <w:rsid w:val="00AB6E3A"/>
    <w:rsid w:val="00AE7093"/>
    <w:rsid w:val="00B41BF7"/>
    <w:rsid w:val="00B422BC"/>
    <w:rsid w:val="00B43F77"/>
    <w:rsid w:val="00B55A3E"/>
    <w:rsid w:val="00B87E9E"/>
    <w:rsid w:val="00B95F0A"/>
    <w:rsid w:val="00B96180"/>
    <w:rsid w:val="00C116FE"/>
    <w:rsid w:val="00C17AC0"/>
    <w:rsid w:val="00C34772"/>
    <w:rsid w:val="00C5465A"/>
    <w:rsid w:val="00C5541E"/>
    <w:rsid w:val="00D54642"/>
    <w:rsid w:val="00D54C86"/>
    <w:rsid w:val="00D834E7"/>
    <w:rsid w:val="00DD77C9"/>
    <w:rsid w:val="00DF3538"/>
    <w:rsid w:val="00E839B0"/>
    <w:rsid w:val="00E92C09"/>
    <w:rsid w:val="00EA68E6"/>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BF99A4"/>
  <w15:docId w15:val="{33889B94-B34E-408F-9ED1-F02E6A09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Annextitle0">
    <w:name w:val="Annex_title"/>
    <w:basedOn w:val="Normal"/>
    <w:next w:val="Normal"/>
    <w:rsid w:val="001D2F59"/>
    <w:pPr>
      <w:keepNext/>
      <w:keepLines/>
      <w:spacing w:before="240" w:after="280"/>
      <w:jc w:val="center"/>
    </w:pPr>
    <w:rPr>
      <w:rFonts w:ascii="Calibri" w:hAnsi="Calibri"/>
      <w:b/>
      <w:sz w:val="28"/>
      <w:lang w:val="en-GB"/>
    </w:rPr>
  </w:style>
  <w:style w:type="character" w:styleId="UnresolvedMention">
    <w:name w:val="Unresolved Mention"/>
    <w:basedOn w:val="DefaultParagraphFont"/>
    <w:uiPriority w:val="99"/>
    <w:semiHidden/>
    <w:unhideWhenUsed/>
    <w:rsid w:val="000368FB"/>
    <w:rPr>
      <w:color w:val="605E5C"/>
      <w:shd w:val="clear" w:color="auto" w:fill="E1DFDD"/>
    </w:rPr>
  </w:style>
  <w:style w:type="paragraph" w:customStyle="1" w:styleId="Reasons">
    <w:name w:val="Reasons"/>
    <w:basedOn w:val="Normal"/>
    <w:qFormat/>
    <w:rsid w:val="00D54C86"/>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s/ITU-T/ipr/Pag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meetingdoc.asp?lang=en&amp;parent=T25-SG11-R-00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1-R-0017/es"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www.itu.int/ip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36</TotalTime>
  <Pages>4</Pages>
  <Words>1424</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Manager>ITU-T</Manager>
  <Company>International Telecommunication Union (ITU)</Company>
  <LinksUpToDate>false</LinksUpToDate>
  <CharactersWithSpaces>9364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Spanish</dc:creator>
  <dc:description>2600769S.docx  For: _x000d_Document date: _x000d_Saved by ITU51018020 at 13:42:48 on 13.04.26</dc:description>
  <cp:lastModifiedBy>Braud, Olivia</cp:lastModifiedBy>
  <cp:revision>7</cp:revision>
  <cp:lastPrinted>2026-04-13T13:19:00Z</cp:lastPrinted>
  <dcterms:created xsi:type="dcterms:W3CDTF">2026-04-02T10:03:00Z</dcterms:created>
  <dcterms:modified xsi:type="dcterms:W3CDTF">2026-04-13T13:19:00Z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2600769S.docx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