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5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2"/>
        <w:gridCol w:w="3147"/>
        <w:gridCol w:w="1984"/>
        <w:gridCol w:w="6"/>
      </w:tblGrid>
      <w:tr w:rsidR="00FA46A0" w:rsidRPr="00027B1C" w14:paraId="493727AE" w14:textId="77777777" w:rsidTr="00027B1C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027B1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027B1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027B1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027B1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027B1C">
        <w:trPr>
          <w:gridAfter w:val="1"/>
          <w:wAfter w:w="6" w:type="dxa"/>
          <w:cantSplit/>
          <w:trHeight w:val="73"/>
        </w:trPr>
        <w:tc>
          <w:tcPr>
            <w:tcW w:w="4680" w:type="dxa"/>
            <w:gridSpan w:val="2"/>
            <w:vAlign w:val="center"/>
          </w:tcPr>
          <w:p w14:paraId="63FA2529" w14:textId="77777777" w:rsidR="00FA46A0" w:rsidRPr="00F26A42" w:rsidRDefault="00FA46A0" w:rsidP="00027B1C">
            <w:pPr>
              <w:pStyle w:val="Tabletext"/>
              <w:spacing w:before="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1" w:type="dxa"/>
            <w:gridSpan w:val="2"/>
            <w:vAlign w:val="center"/>
          </w:tcPr>
          <w:p w14:paraId="0E7085C4" w14:textId="25B02A90" w:rsidR="00FA46A0" w:rsidRPr="00F26A42" w:rsidRDefault="00B67FD0" w:rsidP="00027B1C">
            <w:pPr>
              <w:pStyle w:val="Tabletext"/>
              <w:spacing w:before="0" w:after="120"/>
              <w:rPr>
                <w:szCs w:val="22"/>
                <w:lang w:val="ru-RU"/>
              </w:rPr>
            </w:pPr>
            <w:r w:rsidRPr="003F7D3C">
              <w:rPr>
                <w:lang w:val="ru-RU"/>
              </w:rPr>
              <w:t xml:space="preserve">Женева, </w:t>
            </w:r>
            <w:r w:rsidRPr="002D0FEE">
              <w:rPr>
                <w:rFonts w:cstheme="minorHAnsi"/>
                <w:color w:val="000000"/>
                <w:szCs w:val="22"/>
                <w:lang w:val="ru-RU"/>
              </w:rPr>
              <w:t>1 апреля 2026</w:t>
            </w:r>
            <w:r>
              <w:rPr>
                <w:rFonts w:cstheme="minorHAnsi"/>
                <w:color w:val="000000"/>
                <w:szCs w:val="22"/>
                <w:lang w:val="ru-RU"/>
              </w:rPr>
              <w:t xml:space="preserve"> </w:t>
            </w:r>
            <w:r w:rsidRPr="003F7D3C">
              <w:rPr>
                <w:lang w:val="ru-RU"/>
              </w:rPr>
              <w:t>года</w:t>
            </w:r>
          </w:p>
        </w:tc>
      </w:tr>
      <w:tr w:rsidR="00B84746" w:rsidRPr="00027B1C" w14:paraId="21DD573F" w14:textId="77777777" w:rsidTr="00027B1C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027B1C">
            <w:pPr>
              <w:pStyle w:val="Tabletext"/>
              <w:ind w:left="-105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2" w:type="dxa"/>
          </w:tcPr>
          <w:p w14:paraId="274265E3" w14:textId="1030D27C" w:rsidR="00B84746" w:rsidRPr="00F26A42" w:rsidRDefault="00B84746" w:rsidP="00027B1C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B67FD0">
              <w:rPr>
                <w:b/>
                <w:bCs/>
                <w:szCs w:val="22"/>
                <w:lang w:val="en-US"/>
              </w:rPr>
              <w:t>125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="00B67FD0" w:rsidRPr="003F7D3C">
              <w:rPr>
                <w:lang w:val="ru-RU"/>
              </w:rPr>
              <w:t>SG11/DA</w:t>
            </w:r>
          </w:p>
        </w:tc>
        <w:tc>
          <w:tcPr>
            <w:tcW w:w="5137" w:type="dxa"/>
            <w:gridSpan w:val="3"/>
            <w:vMerge w:val="restart"/>
          </w:tcPr>
          <w:p w14:paraId="04E7EB04" w14:textId="73F39979" w:rsidR="00B84746" w:rsidRPr="00F26A42" w:rsidRDefault="00B84746" w:rsidP="0002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 w:after="20"/>
              <w:ind w:left="288" w:hanging="288"/>
              <w:jc w:val="left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2579F966" w:rsidR="00B84746" w:rsidRPr="00E65EBC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D8717CD" w14:textId="0D65D490" w:rsidR="00B67FD0" w:rsidRPr="00B67FD0" w:rsidRDefault="00B67FD0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3F7D3C">
              <w:rPr>
                <w:szCs w:val="22"/>
                <w:lang w:val="ru-RU"/>
              </w:rPr>
              <w:t>Государству Палестина (Рез. 99 (Пересм. Дубай,</w:t>
            </w:r>
            <w:r>
              <w:rPr>
                <w:szCs w:val="22"/>
                <w:lang w:val="en-US"/>
              </w:rPr>
              <w:t> </w:t>
            </w:r>
            <w:r w:rsidRPr="003F7D3C">
              <w:rPr>
                <w:szCs w:val="22"/>
                <w:lang w:val="ru-RU"/>
              </w:rPr>
              <w:t>2018 г.))</w:t>
            </w:r>
          </w:p>
          <w:p w14:paraId="081F1570" w14:textId="74A3B43A" w:rsidR="00B84746" w:rsidRPr="00F26A42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1894ACBE" w:rsidR="00B84746" w:rsidRPr="00F26A42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Ассоциированным членам</w:t>
            </w:r>
            <w:r w:rsidR="00F12D97" w:rsidRPr="00F26A42">
              <w:rPr>
                <w:szCs w:val="22"/>
                <w:lang w:val="ru-RU"/>
              </w:rPr>
              <w:t xml:space="preserve">, </w:t>
            </w:r>
            <w:r w:rsidR="00F12D97" w:rsidRPr="00F26A42">
              <w:rPr>
                <w:lang w:val="ru-RU"/>
              </w:rPr>
              <w:t xml:space="preserve">участвующим в работе </w:t>
            </w:r>
            <w:r w:rsidR="00B67FD0" w:rsidRPr="00B67FD0">
              <w:rPr>
                <w:lang w:val="ru-RU"/>
              </w:rPr>
              <w:t>11</w:t>
            </w:r>
            <w:r w:rsidR="00F12D97" w:rsidRPr="00F26A42">
              <w:rPr>
                <w:lang w:val="ru-RU"/>
              </w:rPr>
              <w:noBreakHyphen/>
              <w:t>й Исследовательской комиссии</w:t>
            </w:r>
            <w:r w:rsidR="00B67FD0" w:rsidRPr="00F26A42">
              <w:rPr>
                <w:szCs w:val="22"/>
                <w:lang w:val="ru-RU"/>
              </w:rPr>
              <w:t xml:space="preserve"> МСЭ-Т</w:t>
            </w:r>
          </w:p>
          <w:p w14:paraId="16ECAE56" w14:textId="1E5A1386" w:rsidR="00B84746" w:rsidRPr="00F26A42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6279CDA6" w14:textId="77777777" w:rsidR="00B67FD0" w:rsidRPr="00F26A42" w:rsidRDefault="00B67FD0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42C0D163" w14:textId="5600A7B5" w:rsidR="00B84746" w:rsidRPr="00F26A42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="00F12D97" w:rsidRPr="00F26A42">
              <w:rPr>
                <w:lang w:val="ru-RU"/>
              </w:rPr>
              <w:t xml:space="preserve">Председателю и заместителям </w:t>
            </w:r>
            <w:r w:rsidR="00F26A42" w:rsidRPr="00F26A42">
              <w:rPr>
                <w:lang w:val="ru-RU"/>
              </w:rPr>
              <w:t xml:space="preserve">Председателя </w:t>
            </w:r>
            <w:r w:rsidR="00EA6345" w:rsidRPr="00F26A42">
              <w:rPr>
                <w:lang w:val="ru-RU"/>
              </w:rPr>
              <w:br/>
            </w:r>
            <w:r w:rsidR="00B67FD0" w:rsidRPr="00B67FD0">
              <w:rPr>
                <w:lang w:val="ru-RU"/>
              </w:rPr>
              <w:t>11</w:t>
            </w:r>
            <w:r w:rsidR="00F12D97" w:rsidRPr="00F26A42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F26A42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F26A42" w:rsidRDefault="00B84746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B67FD0" w:rsidRPr="00F26A42" w14:paraId="59643F58" w14:textId="77777777" w:rsidTr="00027B1C">
        <w:trPr>
          <w:cantSplit/>
          <w:trHeight w:val="70"/>
        </w:trPr>
        <w:tc>
          <w:tcPr>
            <w:tcW w:w="1418" w:type="dxa"/>
          </w:tcPr>
          <w:p w14:paraId="0F76D4B7" w14:textId="1F5DB193" w:rsidR="00B67FD0" w:rsidRPr="00027B1C" w:rsidRDefault="00B67FD0" w:rsidP="00027B1C">
            <w:pPr>
              <w:pStyle w:val="Tabletext"/>
              <w:ind w:left="-105"/>
              <w:rPr>
                <w:szCs w:val="22"/>
                <w:lang w:val="ru-RU"/>
              </w:rPr>
            </w:pPr>
            <w:r w:rsidRPr="00027B1C">
              <w:rPr>
                <w:szCs w:val="22"/>
                <w:lang w:val="ru-RU"/>
              </w:rPr>
              <w:t>Тел.:</w:t>
            </w:r>
          </w:p>
        </w:tc>
        <w:tc>
          <w:tcPr>
            <w:tcW w:w="3262" w:type="dxa"/>
          </w:tcPr>
          <w:p w14:paraId="5CCB23E1" w14:textId="52147F8C" w:rsidR="00B67FD0" w:rsidRPr="00F26A42" w:rsidRDefault="00B67FD0" w:rsidP="00027B1C">
            <w:pPr>
              <w:pStyle w:val="Tabletext"/>
              <w:rPr>
                <w:b/>
                <w:szCs w:val="22"/>
                <w:lang w:val="ru-RU"/>
              </w:rPr>
            </w:pPr>
            <w:r w:rsidRPr="003F7D3C">
              <w:rPr>
                <w:rFonts w:cstheme="minorHAnsi"/>
                <w:szCs w:val="22"/>
                <w:lang w:val="ru-RU"/>
              </w:rPr>
              <w:t>+41 22 730 5780</w:t>
            </w:r>
          </w:p>
        </w:tc>
        <w:tc>
          <w:tcPr>
            <w:tcW w:w="5137" w:type="dxa"/>
            <w:gridSpan w:val="3"/>
            <w:vMerge/>
          </w:tcPr>
          <w:p w14:paraId="782C5FCD" w14:textId="77777777" w:rsidR="00B67FD0" w:rsidRPr="00F26A42" w:rsidRDefault="00B67FD0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B67FD0" w:rsidRPr="00F26A42" w14:paraId="3EF71149" w14:textId="77777777" w:rsidTr="00027B1C">
        <w:trPr>
          <w:cantSplit/>
          <w:trHeight w:val="388"/>
        </w:trPr>
        <w:tc>
          <w:tcPr>
            <w:tcW w:w="1418" w:type="dxa"/>
          </w:tcPr>
          <w:p w14:paraId="65A440B2" w14:textId="7E271778" w:rsidR="00B67FD0" w:rsidRPr="00027B1C" w:rsidRDefault="00B67FD0" w:rsidP="00027B1C">
            <w:pPr>
              <w:pStyle w:val="Tabletext"/>
              <w:ind w:left="-105"/>
              <w:rPr>
                <w:szCs w:val="22"/>
                <w:lang w:val="ru-RU"/>
              </w:rPr>
            </w:pPr>
            <w:r w:rsidRPr="00027B1C">
              <w:rPr>
                <w:szCs w:val="22"/>
                <w:lang w:val="ru-RU"/>
              </w:rPr>
              <w:t>Факс:</w:t>
            </w:r>
          </w:p>
        </w:tc>
        <w:tc>
          <w:tcPr>
            <w:tcW w:w="3262" w:type="dxa"/>
          </w:tcPr>
          <w:p w14:paraId="6952E333" w14:textId="5145B9E1" w:rsidR="00B67FD0" w:rsidRPr="00F26A42" w:rsidRDefault="00B67FD0" w:rsidP="00027B1C">
            <w:pPr>
              <w:pStyle w:val="Tabletext"/>
              <w:rPr>
                <w:szCs w:val="22"/>
                <w:lang w:val="ru-RU"/>
              </w:rPr>
            </w:pPr>
            <w:r w:rsidRPr="003F7D3C">
              <w:rPr>
                <w:rFonts w:cstheme="minorHAnsi"/>
                <w:szCs w:val="22"/>
                <w:lang w:val="ru-RU"/>
              </w:rPr>
              <w:t>+41 22 730 5853</w:t>
            </w:r>
          </w:p>
        </w:tc>
        <w:tc>
          <w:tcPr>
            <w:tcW w:w="5137" w:type="dxa"/>
            <w:gridSpan w:val="3"/>
            <w:vMerge/>
          </w:tcPr>
          <w:p w14:paraId="2BE30301" w14:textId="77777777" w:rsidR="00B67FD0" w:rsidRPr="00F26A42" w:rsidRDefault="00B67FD0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B67FD0" w:rsidRPr="00F26A42" w14:paraId="14553D92" w14:textId="77777777" w:rsidTr="00027B1C">
        <w:trPr>
          <w:cantSplit/>
          <w:trHeight w:val="801"/>
        </w:trPr>
        <w:tc>
          <w:tcPr>
            <w:tcW w:w="1418" w:type="dxa"/>
          </w:tcPr>
          <w:p w14:paraId="75DF072E" w14:textId="209F9EC1" w:rsidR="00B67FD0" w:rsidRPr="00027B1C" w:rsidRDefault="00B67FD0" w:rsidP="00027B1C">
            <w:pPr>
              <w:pStyle w:val="Tabletext"/>
              <w:ind w:left="-105"/>
              <w:rPr>
                <w:szCs w:val="22"/>
                <w:lang w:val="ru-RU"/>
              </w:rPr>
            </w:pPr>
            <w:r w:rsidRPr="00027B1C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2" w:type="dxa"/>
          </w:tcPr>
          <w:p w14:paraId="0823655A" w14:textId="35CCE318" w:rsidR="00B67FD0" w:rsidRPr="00F26A42" w:rsidRDefault="00B67FD0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3F7D3C">
                <w:rPr>
                  <w:rStyle w:val="Hyperlink"/>
                  <w:rFonts w:cstheme="minorHAnsi"/>
                  <w:szCs w:val="22"/>
                  <w:lang w:val="ru-RU"/>
                </w:rPr>
                <w:t>tsbsg11@itu.int</w:t>
              </w:r>
            </w:hyperlink>
          </w:p>
        </w:tc>
        <w:tc>
          <w:tcPr>
            <w:tcW w:w="5137" w:type="dxa"/>
            <w:gridSpan w:val="3"/>
            <w:vMerge/>
          </w:tcPr>
          <w:p w14:paraId="498BD41D" w14:textId="33BA8E1E" w:rsidR="00B67FD0" w:rsidRPr="00F26A42" w:rsidRDefault="00B67FD0" w:rsidP="00027B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B67FD0" w:rsidRPr="00027B1C" w14:paraId="5C105EF0" w14:textId="77777777" w:rsidTr="00027B1C">
        <w:trPr>
          <w:cantSplit/>
        </w:trPr>
        <w:tc>
          <w:tcPr>
            <w:tcW w:w="1418" w:type="dxa"/>
          </w:tcPr>
          <w:p w14:paraId="2527C622" w14:textId="77777777" w:rsidR="00B67FD0" w:rsidRPr="00F26A42" w:rsidRDefault="00B67FD0" w:rsidP="00027B1C">
            <w:pPr>
              <w:pStyle w:val="Tabletext"/>
              <w:spacing w:before="80" w:after="0"/>
              <w:ind w:left="-105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7BE81825" w:rsidR="00B67FD0" w:rsidRPr="00F26A42" w:rsidRDefault="00B67FD0" w:rsidP="00027B1C">
            <w:pPr>
              <w:pStyle w:val="Tabletext"/>
              <w:spacing w:before="8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2D0FEE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 xml:space="preserve">Консультации с Государствами-Членами по проекту Рекомендации МСЭ-Т Q.5057 (ранее – Q.GIR), по которому сделано заключение и который предложен для утверждения на собрании 11-й Исследовательской комиссии МСЭ-Т </w:t>
            </w: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 xml:space="preserve">(планируется провести в Женеве, </w:t>
            </w:r>
            <w:r w:rsidRPr="002D0FEE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 xml:space="preserve">14–22 июля </w:t>
            </w: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2026 г.)</w:t>
            </w:r>
          </w:p>
        </w:tc>
      </w:tr>
    </w:tbl>
    <w:p w14:paraId="660599B5" w14:textId="77777777" w:rsidR="00414B3C" w:rsidRPr="00F26A42" w:rsidRDefault="00414B3C" w:rsidP="00027B1C">
      <w:pPr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2E278180" w14:textId="77777777" w:rsidR="00B67FD0" w:rsidRPr="003F7D3C" w:rsidRDefault="00B67FD0" w:rsidP="00B67FD0">
      <w:pPr>
        <w:rPr>
          <w:lang w:val="ru-RU"/>
        </w:rPr>
      </w:pPr>
      <w:r w:rsidRPr="003F7D3C">
        <w:rPr>
          <w:bCs/>
          <w:lang w:val="ru-RU"/>
        </w:rPr>
        <w:t>1</w:t>
      </w:r>
      <w:r w:rsidRPr="003F7D3C">
        <w:rPr>
          <w:lang w:val="ru-RU"/>
        </w:rPr>
        <w:tab/>
      </w:r>
      <w:r w:rsidRPr="002D0FEE">
        <w:rPr>
          <w:lang w:val="ru-RU"/>
        </w:rPr>
        <w:t>11-я Исследовательская комиссия МСЭ-Т (Требования к сигнализации, протоколы, спецификации тестирования и борьба с контрафактными устройствами электросвязи/ИКТ) намерена применить традиционную процедуру утверждения, описанную в разделе 9 Резолюции 1 (Пересм. Женева, 2022 г.) ВАСЭ, для утверждения указанного выше проекта Рекомендации на своем следующем собрании, которое планируется провести в Женеве 14–22 июля 2026 года. Повестка дня и вся соответствующая информация, касающаяся собрания 11-й Исследовательской комиссии МСЭ-Т, будут опубликованы в установленном порядке</w:t>
      </w:r>
      <w:r w:rsidRPr="003F7D3C">
        <w:rPr>
          <w:lang w:val="ru-RU"/>
        </w:rPr>
        <w:t>.</w:t>
      </w:r>
    </w:p>
    <w:p w14:paraId="3C9FD1DC" w14:textId="77777777" w:rsidR="00B67FD0" w:rsidRPr="003F7D3C" w:rsidRDefault="00B67FD0" w:rsidP="00B67FD0">
      <w:pPr>
        <w:rPr>
          <w:lang w:val="ru-RU"/>
        </w:rPr>
      </w:pPr>
      <w:r w:rsidRPr="003F7D3C">
        <w:rPr>
          <w:bCs/>
          <w:lang w:val="ru-RU"/>
        </w:rPr>
        <w:t>2</w:t>
      </w:r>
      <w:r w:rsidRPr="003F7D3C">
        <w:rPr>
          <w:lang w:val="ru-RU"/>
        </w:rPr>
        <w:tab/>
      </w:r>
      <w:r w:rsidRPr="002D0FEE">
        <w:rPr>
          <w:lang w:val="ru-RU"/>
        </w:rPr>
        <w:t xml:space="preserve">Название и резюме предлагаемого к утверждению проекта Рекомендации МСЭ-Т, а также указание на место его размещения содержатся в </w:t>
      </w:r>
      <w:r w:rsidRPr="002D0FEE">
        <w:rPr>
          <w:b/>
          <w:bCs/>
          <w:lang w:val="ru-RU"/>
        </w:rPr>
        <w:t>Приложении 1</w:t>
      </w:r>
      <w:r w:rsidRPr="003F7D3C">
        <w:rPr>
          <w:lang w:val="ru-RU"/>
        </w:rPr>
        <w:t>.</w:t>
      </w:r>
    </w:p>
    <w:p w14:paraId="0C72791C" w14:textId="77777777" w:rsidR="00027B1C" w:rsidRPr="00027B1C" w:rsidRDefault="00B67FD0" w:rsidP="00027B1C">
      <w:pPr>
        <w:rPr>
          <w:lang w:val="ru-RU"/>
        </w:rPr>
      </w:pPr>
      <w:r w:rsidRPr="003F7D3C">
        <w:rPr>
          <w:bCs/>
          <w:lang w:val="ru-RU"/>
        </w:rPr>
        <w:t>3</w:t>
      </w:r>
      <w:r w:rsidRPr="003F7D3C">
        <w:rPr>
          <w:lang w:val="ru-RU"/>
        </w:rPr>
        <w:tab/>
      </w:r>
      <w:r w:rsidRPr="002D0FEE">
        <w:rPr>
          <w:lang w:val="ru-RU"/>
        </w:rPr>
        <w:t>Настоящий Циркуляр открывает официальные консультации с Государствами − Членами МСЭ относительно возможности рассмотрения этого текста с целью его утверждения на предстоящем собрании в соответствии с п.</w:t>
      </w:r>
      <w:r>
        <w:rPr>
          <w:lang w:val="en-US"/>
        </w:rPr>
        <w:t> </w:t>
      </w:r>
      <w:r w:rsidRPr="002D0FEE">
        <w:rPr>
          <w:lang w:val="ru-RU"/>
        </w:rPr>
        <w:t>9.4 Резолюции</w:t>
      </w:r>
      <w:r>
        <w:rPr>
          <w:lang w:val="en-US"/>
        </w:rPr>
        <w:t> </w:t>
      </w:r>
      <w:r w:rsidRPr="002D0FEE">
        <w:rPr>
          <w:lang w:val="ru-RU"/>
        </w:rPr>
        <w:t>1. Государствам-Членам предлагается заполнить</w:t>
      </w:r>
      <w:r>
        <w:rPr>
          <w:lang w:val="en-US"/>
        </w:rPr>
        <w:t> </w:t>
      </w:r>
      <w:r w:rsidRPr="002D0FEE">
        <w:rPr>
          <w:lang w:val="ru-RU"/>
        </w:rPr>
        <w:t xml:space="preserve">содержащуюся в </w:t>
      </w:r>
      <w:r w:rsidRPr="002D0FEE">
        <w:rPr>
          <w:b/>
          <w:bCs/>
          <w:lang w:val="ru-RU"/>
        </w:rPr>
        <w:t>Приложении 2</w:t>
      </w:r>
      <w:r w:rsidRPr="002D0FEE">
        <w:rPr>
          <w:lang w:val="ru-RU"/>
        </w:rPr>
        <w:t xml:space="preserve"> форму и вернуть ее не позднее 23 час. 59 мин. UTC </w:t>
      </w:r>
      <w:r w:rsidRPr="002D0FEE">
        <w:rPr>
          <w:b/>
          <w:bCs/>
          <w:lang w:val="ru-RU"/>
        </w:rPr>
        <w:t>2 июля 2026 года</w:t>
      </w:r>
      <w:r w:rsidRPr="003F7D3C">
        <w:rPr>
          <w:lang w:val="ru-RU"/>
        </w:rPr>
        <w:t>.</w:t>
      </w:r>
    </w:p>
    <w:p w14:paraId="5B412454" w14:textId="77777777" w:rsidR="00027B1C" w:rsidRPr="00027B1C" w:rsidRDefault="00B67FD0" w:rsidP="00027B1C">
      <w:pPr>
        <w:rPr>
          <w:lang w:val="ru-RU"/>
        </w:rPr>
      </w:pPr>
      <w:r w:rsidRPr="003F7D3C">
        <w:rPr>
          <w:lang w:val="ru-RU"/>
        </w:rPr>
        <w:t>4</w:t>
      </w:r>
      <w:r w:rsidRPr="003F7D3C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Государства­Члены,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39C0B820" w14:textId="77777777" w:rsidR="00027B1C" w:rsidRPr="00027B1C" w:rsidRDefault="00F12D97" w:rsidP="00027B1C">
      <w:pPr>
        <w:rPr>
          <w:lang w:val="ru-RU"/>
        </w:rPr>
      </w:pPr>
      <w:r w:rsidRPr="00F26A42">
        <w:rPr>
          <w:lang w:val="ru-RU"/>
        </w:rPr>
        <w:t>С уважением,</w:t>
      </w:r>
    </w:p>
    <w:p w14:paraId="0F1C6E01" w14:textId="08D4CFBD" w:rsidR="00414B3C" w:rsidRPr="00F26A42" w:rsidRDefault="00793C6B" w:rsidP="00027B1C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3FDD311F" wp14:editId="67322D12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768350" cy="342900"/>
            <wp:effectExtent l="0" t="0" r="0" b="0"/>
            <wp:wrapNone/>
            <wp:docPr id="2139564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64209" name="Picture 213956420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p w14:paraId="40948413" w14:textId="085E6D79" w:rsidR="00C62B05" w:rsidRPr="00F26A42" w:rsidRDefault="00C62B05" w:rsidP="00027B1C">
      <w:pPr>
        <w:spacing w:before="200"/>
        <w:jc w:val="left"/>
        <w:rPr>
          <w:lang w:val="ru-RU"/>
        </w:rPr>
      </w:pPr>
      <w:r w:rsidRPr="00F26A42">
        <w:rPr>
          <w:b/>
          <w:bCs/>
          <w:lang w:val="ru-RU"/>
        </w:rPr>
        <w:t>Приложения</w:t>
      </w:r>
      <w:r w:rsidRPr="00F26A42">
        <w:rPr>
          <w:lang w:val="ru-RU"/>
        </w:rPr>
        <w:t>: 2</w:t>
      </w:r>
      <w:r w:rsidRPr="00F26A42">
        <w:rPr>
          <w:lang w:val="ru-RU"/>
        </w:rPr>
        <w:br w:type="page"/>
      </w:r>
    </w:p>
    <w:p w14:paraId="79E32088" w14:textId="77777777" w:rsidR="00B67FD0" w:rsidRPr="003F7D3C" w:rsidRDefault="00B67FD0" w:rsidP="00996A82">
      <w:pPr>
        <w:pStyle w:val="AnnexNo"/>
        <w:rPr>
          <w:lang w:val="ru-RU"/>
        </w:rPr>
      </w:pPr>
      <w:r w:rsidRPr="003F7D3C">
        <w:rPr>
          <w:lang w:val="ru-RU"/>
        </w:rPr>
        <w:lastRenderedPageBreak/>
        <w:t>ПРИЛОЖЕНИЕ 1</w:t>
      </w:r>
    </w:p>
    <w:p w14:paraId="1964068E" w14:textId="77777777" w:rsidR="00B67FD0" w:rsidRPr="003F7D3C" w:rsidRDefault="00B67FD0" w:rsidP="00996A82">
      <w:pPr>
        <w:pStyle w:val="Annextitle"/>
        <w:rPr>
          <w:lang w:val="ru-RU"/>
        </w:rPr>
      </w:pPr>
      <w:r w:rsidRPr="003F7D3C">
        <w:rPr>
          <w:lang w:val="ru-RU"/>
        </w:rPr>
        <w:t>Резюме и указани</w:t>
      </w:r>
      <w:r>
        <w:rPr>
          <w:lang w:val="ru-RU"/>
        </w:rPr>
        <w:t>е</w:t>
      </w:r>
      <w:r w:rsidRPr="003F7D3C">
        <w:rPr>
          <w:lang w:val="ru-RU"/>
        </w:rPr>
        <w:t xml:space="preserve"> на мест</w:t>
      </w:r>
      <w:r>
        <w:rPr>
          <w:lang w:val="ru-RU"/>
        </w:rPr>
        <w:t>о</w:t>
      </w:r>
      <w:r w:rsidRPr="003F7D3C">
        <w:rPr>
          <w:lang w:val="ru-RU"/>
        </w:rPr>
        <w:t xml:space="preserve"> размещения </w:t>
      </w:r>
      <w:r w:rsidRPr="002D0FEE">
        <w:rPr>
          <w:lang w:val="ru-RU"/>
        </w:rPr>
        <w:t>проекта Рекомендации МСЭ-T Q.5057 (ранее – Q.GIR)</w:t>
      </w:r>
      <w:r w:rsidRPr="003F7D3C">
        <w:rPr>
          <w:lang w:val="ru-RU"/>
        </w:rPr>
        <w:t>,</w:t>
      </w:r>
      <w:r>
        <w:rPr>
          <w:lang w:val="ru-RU"/>
        </w:rPr>
        <w:t xml:space="preserve"> </w:t>
      </w:r>
      <w:r w:rsidRPr="003F7D3C">
        <w:rPr>
          <w:lang w:val="ru-RU"/>
        </w:rPr>
        <w:t>по котор</w:t>
      </w:r>
      <w:r>
        <w:rPr>
          <w:lang w:val="ru-RU"/>
        </w:rPr>
        <w:t>ому</w:t>
      </w:r>
      <w:r w:rsidRPr="003F7D3C">
        <w:rPr>
          <w:lang w:val="ru-RU"/>
        </w:rPr>
        <w:t xml:space="preserve"> сделан</w:t>
      </w:r>
      <w:r>
        <w:rPr>
          <w:lang w:val="ru-RU"/>
        </w:rPr>
        <w:t>о</w:t>
      </w:r>
      <w:r w:rsidRPr="003F7D3C">
        <w:rPr>
          <w:lang w:val="ru-RU"/>
        </w:rPr>
        <w:t> заключени</w:t>
      </w:r>
      <w:r>
        <w:rPr>
          <w:lang w:val="ru-RU"/>
        </w:rPr>
        <w:t>е</w:t>
      </w:r>
    </w:p>
    <w:p w14:paraId="2D5C46E2" w14:textId="77777777" w:rsidR="00B67FD0" w:rsidRPr="003F7D3C" w:rsidRDefault="00B67FD0" w:rsidP="00996A82">
      <w:pPr>
        <w:pStyle w:val="Heading1"/>
        <w:rPr>
          <w:lang w:val="ru-RU"/>
        </w:rPr>
      </w:pPr>
      <w:r w:rsidRPr="003F7D3C">
        <w:rPr>
          <w:lang w:val="ru-RU"/>
        </w:rPr>
        <w:t>1</w:t>
      </w:r>
      <w:r w:rsidRPr="003F7D3C">
        <w:rPr>
          <w:lang w:val="ru-RU"/>
        </w:rPr>
        <w:tab/>
        <w:t xml:space="preserve">Проект новой Рекомендации МСЭ-Т </w:t>
      </w:r>
      <w:r w:rsidRPr="002D0FEE">
        <w:rPr>
          <w:rFonts w:cstheme="minorHAnsi"/>
          <w:szCs w:val="22"/>
          <w:lang w:val="ru-RU"/>
        </w:rPr>
        <w:t>Q.5057 (ранее – Q.GIR) [</w:t>
      </w:r>
      <w:hyperlink r:id="rId14" w:history="1">
        <w:r w:rsidRPr="002D0FEE">
          <w:rPr>
            <w:rStyle w:val="Hyperlink"/>
            <w:rFonts w:cstheme="minorHAnsi"/>
            <w:szCs w:val="22"/>
            <w:lang w:val="ru-RU"/>
          </w:rPr>
          <w:t>SG11-R17</w:t>
        </w:r>
      </w:hyperlink>
      <w:r w:rsidRPr="002D0FEE">
        <w:rPr>
          <w:rFonts w:cstheme="minorHAnsi"/>
          <w:szCs w:val="22"/>
          <w:lang w:val="ru-RU"/>
        </w:rPr>
        <w:t>]</w:t>
      </w:r>
    </w:p>
    <w:p w14:paraId="48182903" w14:textId="77777777" w:rsidR="00B67FD0" w:rsidRPr="003F7D3C" w:rsidRDefault="00B67FD0" w:rsidP="00B67FD0">
      <w:pPr>
        <w:rPr>
          <w:lang w:val="ru-RU"/>
        </w:rPr>
      </w:pPr>
      <w:r w:rsidRPr="002D0FEE">
        <w:rPr>
          <w:lang w:val="ru-RU"/>
        </w:rPr>
        <w:t>Технические требования к глобальному регистру международных идентификаторов оборудования подвижной связи</w:t>
      </w:r>
    </w:p>
    <w:p w14:paraId="61EA3AEB" w14:textId="77777777" w:rsidR="00B67FD0" w:rsidRPr="003F7D3C" w:rsidRDefault="00B67FD0" w:rsidP="00B67FD0">
      <w:pPr>
        <w:pStyle w:val="Headingb"/>
        <w:rPr>
          <w:rFonts w:cstheme="minorHAnsi"/>
          <w:szCs w:val="22"/>
          <w:lang w:val="ru-RU"/>
        </w:rPr>
      </w:pPr>
      <w:r w:rsidRPr="00E65EBC">
        <w:rPr>
          <w:lang w:val="ru-RU"/>
        </w:rPr>
        <w:t>Резюме</w:t>
      </w:r>
    </w:p>
    <w:p w14:paraId="71E3399C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Рост интенсивности использования оборудования информационно-коммуникационных технологий (ИКТ) в повседневной жизни людей также привел к появлению ряда нежелательных побочных эффектов, связанных с ростом объемов продажи, распространения и использования контрафактных устройств ИКТ на рынке.</w:t>
      </w:r>
    </w:p>
    <w:p w14:paraId="3526199F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Как описано в Рекомендации [ITU-T Q.5050] по основам для решения проблемы контрафактных устройств ИКТ, это привело к неблагоприятным последствиям для многих заинтересованных сторон, таких как пользователи, операторы сетей, производители подлинных устройств, продавцы и правительственные органы, которые включают снижение уровня безопасности и качества обслуживания пользователей, а также потерю доходов для ряда заинтересованных сторон.</w:t>
      </w:r>
    </w:p>
    <w:p w14:paraId="11B1BDA9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В п. 10.1 [ITU-T Q.5050] говорится о запрете на "использование недействительных и поддельных идентификаторов устройств".</w:t>
      </w:r>
    </w:p>
    <w:p w14:paraId="6AC5A826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Поскольку перепрограммирование международного идентификатора оборудования подвижной связи (IMEI) по-прежнему является серьезной проблемой в рамках борьбы с контрафактными устройствами ИКТ, в п. 9.3 [ITU-T Q.5050] о надежных уникальных идентификаторах указывается, что подлинные устройства ИКТ должны иметь уникальные и постоянные идентификаторы, которые "безопасны в том смысле, что они не могут быть изменены неавторизованными объектами, уникальны для каждого устройства и присваиваются уполномоченным лицом или объектом". Это означает, что для борьбы с перепрограммированием IMEI необходимо определять факт его перепрограммирования.</w:t>
      </w:r>
    </w:p>
    <w:p w14:paraId="3BD0BD01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После перепрограммирования IMEI он будет либо случайным, то есть недействительным, либо неподлинным IMEI, яв</w:t>
      </w:r>
      <w:r>
        <w:rPr>
          <w:lang w:val="ru-RU"/>
        </w:rPr>
        <w:t>л</w:t>
      </w:r>
      <w:r w:rsidRPr="002D0FEE">
        <w:rPr>
          <w:lang w:val="ru-RU"/>
        </w:rPr>
        <w:t>яющимся дубликатом или уже использованным IMEI, либо IMEI, который действителен, но не изготовлен производителем оригинального оборудования (OEM). IMEI с недействительным форматом или нераспределенные IMEI на основе TAC могут быть обнаружены с использованием регистра идентификации оборудования (EIR) оператора сети подвижной связи (MNO) путем сравнения со стандартным форматом IMEI, определенным 3GPP, а также путем сравнения с информацией о коде распределения типа (TAC), распределенном Ассоциацией GSM. Даже те IMEI, которые уже использованы, могут быть проверены с помощью центрального регистра идентификации оборудования (CEIR).</w:t>
      </w:r>
    </w:p>
    <w:p w14:paraId="51EFAB4D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Однако узнать, был ли IMEI произведен OEM, можно только через регистр IMEI. Регистр IMEI может либо содержать список IMEI, выпущенных производителями устройств подвижной связи и выпущенных для продажи на рынке, либо проверять, произведены ли IMEI на самом деле соответствующими производителями, путем направления запроса в режиме реального времени в адрес соответствующего OEM/ODM. В отдельных странах, возможно, уже созданы национальные регистры IMEI, но проблема устройств подвижной связи, импортируемых из других стран или ввозимых по неразрешенным каналам, сохраняется. Помимо этого, в п. 10.2 [ITU-T Q.5050] также упоминается сертификация устройств ИКТ для содействия всем заинтересованным сторонам в проверке подлинности продуктов.</w:t>
      </w:r>
    </w:p>
    <w:p w14:paraId="728B7DF0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В п. 7.5 Рекомендации [ITU-T Q.5052] содержится призыв к обнаружению дубликатов IMEI на международном уровне. Однако он относится к IMEI, которые уже используются абонентами. К нему не относятся IMEI, которые были произведены, но не используются в сети.</w:t>
      </w:r>
    </w:p>
    <w:p w14:paraId="6C6B5FA3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lastRenderedPageBreak/>
        <w:t>В разделе решает Резолюции 96 ВАСЭ [b-WTSA Рез. 96] указано, что МСЭ-Т следует "рассмотреть решения, которые использовались бы для того, чтобы отличать аутентичные/подлинные устройства электросвязи/ИКТ от контрафактных или поддельных устройств, например путем создания централизованной национальной справочной базы данных разрешенного к использованию оборудования".</w:t>
      </w:r>
    </w:p>
    <w:p w14:paraId="6E40EF5E" w14:textId="77777777" w:rsidR="00B67FD0" w:rsidRPr="002D0FEE" w:rsidRDefault="00B67FD0" w:rsidP="00B67FD0">
      <w:pPr>
        <w:rPr>
          <w:lang w:val="ru-RU"/>
        </w:rPr>
      </w:pPr>
      <w:r w:rsidRPr="002D0FEE">
        <w:rPr>
          <w:lang w:val="ru-RU"/>
        </w:rPr>
        <w:t>В разделе решает Резолюции 97 ВАСЭ [b-WTSA Рез. 97] указано, что "МСЭ-T следует в сотрудничестве с соответствующими организациями по стандартам разработать решение проблемы дублирования уникальных идентификаторов".</w:t>
      </w:r>
    </w:p>
    <w:p w14:paraId="4C2BCC6E" w14:textId="77777777" w:rsidR="00B67FD0" w:rsidRDefault="00B67FD0" w:rsidP="00B67FD0">
      <w:pPr>
        <w:rPr>
          <w:lang w:val="ru-RU"/>
        </w:rPr>
      </w:pPr>
      <w:r w:rsidRPr="002D0FEE">
        <w:rPr>
          <w:lang w:val="ru-RU"/>
        </w:rPr>
        <w:t>В вышеуказанном контексте глобальный регистр IMEI будет способствовать решению проблем, с которыми сталкиваются Государства-Члены и потребители, таких как клонирование и дублирование IMEI в результате перепрограммирования IMEI, включая использование IMEI, которые не были произведены для распределенного TAC. Участвующие страны или сами производители устройств могут совместно использовать диапазон IMEI, выпущенных в их стране, для того чтобы помочь всем другим странам идентифицировать контрафактные устройства подвижной связи.</w:t>
      </w:r>
    </w:p>
    <w:p w14:paraId="474E655D" w14:textId="77777777" w:rsidR="00B67FD0" w:rsidRPr="002D0FEE" w:rsidRDefault="00B67FD0" w:rsidP="00B67FD0">
      <w:pPr>
        <w:rPr>
          <w:lang w:val="ru-RU"/>
        </w:rPr>
      </w:pPr>
      <w:r w:rsidRPr="006A0FCD">
        <w:rPr>
          <w:lang w:val="ru-RU"/>
        </w:rPr>
        <w:t>Документ для обоснования согласно Рекомендации МСЭ-T A.5 данного проекта текста, по которому сделано заключение, не подготавливался.</w:t>
      </w:r>
    </w:p>
    <w:p w14:paraId="25936C9D" w14:textId="77777777" w:rsidR="00B67FD0" w:rsidRPr="003F7D3C" w:rsidRDefault="00B67FD0" w:rsidP="00B67FD0">
      <w:pPr>
        <w:pStyle w:val="Note"/>
        <w:rPr>
          <w:lang w:val="ru-RU"/>
        </w:rPr>
      </w:pPr>
      <w:r w:rsidRPr="006A0FCD">
        <w:rPr>
          <w:lang w:val="ru-RU"/>
        </w:rPr>
        <w:t xml:space="preserve">ПРИМЕЧАНИЕ БСЭ. – На дату настоящего Циркуляра БСЭ не получило в отношении настоящего проекта текста каких-либо заявлений в соответствии с политикой в области прав интеллектуальной собственности (ПИС). Для получения актуальной информации членам предлагается обращаться к базе данных ПИС по адресу: </w:t>
      </w:r>
      <w:hyperlink r:id="rId15" w:history="1">
        <w:r w:rsidRPr="006A0FCD">
          <w:rPr>
            <w:rStyle w:val="Hyperlink"/>
            <w:rFonts w:cstheme="minorHAnsi"/>
            <w:sz w:val="20"/>
            <w:lang w:val="ru-RU"/>
          </w:rPr>
          <w:t>www.itu.int/ipr/</w:t>
        </w:r>
      </w:hyperlink>
      <w:r w:rsidRPr="003F7D3C">
        <w:rPr>
          <w:lang w:val="ru-RU"/>
        </w:rPr>
        <w:t>.</w:t>
      </w:r>
      <w:hyperlink r:id="rId16" w:history="1"/>
    </w:p>
    <w:p w14:paraId="23BA95FC" w14:textId="77777777" w:rsidR="00B67FD0" w:rsidRPr="003F7D3C" w:rsidRDefault="00B67FD0" w:rsidP="00996A82">
      <w:pPr>
        <w:pStyle w:val="Note"/>
        <w:rPr>
          <w:lang w:val="ru-RU"/>
        </w:rPr>
      </w:pPr>
      <w:r w:rsidRPr="003F7D3C">
        <w:rPr>
          <w:lang w:val="ru-RU"/>
        </w:rPr>
        <w:br w:type="page"/>
      </w:r>
    </w:p>
    <w:p w14:paraId="48189AF2" w14:textId="77777777" w:rsidR="00B67FD0" w:rsidRPr="003F7D3C" w:rsidRDefault="00B67FD0" w:rsidP="00996A82">
      <w:pPr>
        <w:pStyle w:val="AnnexNo"/>
        <w:pageBreakBefore/>
        <w:rPr>
          <w:lang w:val="ru-RU"/>
        </w:rPr>
      </w:pPr>
      <w:r w:rsidRPr="003F7D3C">
        <w:rPr>
          <w:lang w:val="ru-RU"/>
        </w:rPr>
        <w:lastRenderedPageBreak/>
        <w:t>ПРИЛОЖЕНИЕ 2</w:t>
      </w:r>
    </w:p>
    <w:p w14:paraId="72FD0ACE" w14:textId="03FE8093" w:rsidR="00B67FD0" w:rsidRPr="003F7D3C" w:rsidRDefault="00B67FD0" w:rsidP="00996A82">
      <w:pPr>
        <w:pStyle w:val="Annextitle"/>
        <w:spacing w:after="240"/>
        <w:rPr>
          <w:lang w:val="ru-RU"/>
        </w:rPr>
      </w:pPr>
      <w:r w:rsidRPr="003F7D3C">
        <w:rPr>
          <w:bCs/>
          <w:lang w:val="ru-RU"/>
        </w:rPr>
        <w:t xml:space="preserve">Предмет: ответ Государства-Члена на Циркуляр </w:t>
      </w:r>
      <w:r>
        <w:rPr>
          <w:bCs/>
          <w:lang w:val="ru-RU"/>
        </w:rPr>
        <w:t>125</w:t>
      </w:r>
      <w:r w:rsidRPr="003F7D3C">
        <w:rPr>
          <w:bCs/>
          <w:lang w:val="ru-RU"/>
        </w:rPr>
        <w:t xml:space="preserve"> БСЭ:</w:t>
      </w:r>
      <w:r w:rsidRPr="003F7D3C">
        <w:rPr>
          <w:lang w:val="ru-RU"/>
        </w:rPr>
        <w:br/>
      </w:r>
      <w:r w:rsidRPr="002D0FEE">
        <w:rPr>
          <w:bCs/>
          <w:lang w:val="ru-RU"/>
        </w:rPr>
        <w:t xml:space="preserve">Консультации по проекту Рекомендации МСЭ-Т Q.5057 (ранее – Q.GIR), </w:t>
      </w:r>
      <w:r w:rsidR="00470FDE" w:rsidRPr="00E65EBC">
        <w:rPr>
          <w:bCs/>
          <w:lang w:val="ru-RU"/>
        </w:rPr>
        <w:br/>
      </w:r>
      <w:r w:rsidRPr="002D0FEE">
        <w:rPr>
          <w:bCs/>
          <w:lang w:val="ru-RU"/>
        </w:rPr>
        <w:t>по которому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B67FD0" w:rsidRPr="00027B1C" w14:paraId="234C70E6" w14:textId="77777777" w:rsidTr="00996A82">
        <w:tc>
          <w:tcPr>
            <w:tcW w:w="1064" w:type="dxa"/>
          </w:tcPr>
          <w:p w14:paraId="70947951" w14:textId="77777777" w:rsidR="00B67FD0" w:rsidRPr="003F7D3C" w:rsidRDefault="00B67FD0" w:rsidP="00B67FD0">
            <w:pPr>
              <w:spacing w:before="240"/>
              <w:ind w:left="-113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Кому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0AFF1BA1" w14:textId="77777777" w:rsidR="00B67FD0" w:rsidRPr="003F7D3C" w:rsidRDefault="00B67FD0" w:rsidP="00B67FD0">
            <w:pPr>
              <w:spacing w:before="240"/>
              <w:jc w:val="left"/>
              <w:rPr>
                <w:lang w:val="ru-RU"/>
              </w:rPr>
            </w:pPr>
            <w:r w:rsidRPr="003F7D3C">
              <w:rPr>
                <w:lang w:val="ru-RU"/>
              </w:rPr>
              <w:t xml:space="preserve">Директору </w:t>
            </w:r>
            <w:r w:rsidRPr="003F7D3C">
              <w:rPr>
                <w:lang w:val="ru-RU"/>
              </w:rPr>
              <w:br/>
              <w:t>Бюро стандартизации электросвязи</w:t>
            </w:r>
            <w:r w:rsidRPr="003F7D3C">
              <w:rPr>
                <w:lang w:val="ru-RU"/>
              </w:rPr>
              <w:br/>
              <w:t>Международный союз электросвязи</w:t>
            </w:r>
            <w:r w:rsidRPr="003F7D3C">
              <w:rPr>
                <w:lang w:val="ru-RU"/>
              </w:rPr>
              <w:br/>
              <w:t>Place des Nations</w:t>
            </w:r>
            <w:r w:rsidRPr="003F7D3C">
              <w:rPr>
                <w:lang w:val="ru-RU"/>
              </w:rPr>
              <w:br/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7D3A50F" w14:textId="77777777" w:rsidR="00B67FD0" w:rsidRPr="003F7D3C" w:rsidRDefault="00B67FD0" w:rsidP="00B67FD0">
            <w:pPr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От кого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0D702BC9" w14:textId="77777777" w:rsidR="00B67FD0" w:rsidRPr="003F7D3C" w:rsidRDefault="00B67FD0" w:rsidP="00B67FD0">
            <w:pPr>
              <w:rPr>
                <w:lang w:val="ru-RU"/>
              </w:rPr>
            </w:pPr>
            <w:r w:rsidRPr="003F7D3C">
              <w:rPr>
                <w:highlight w:val="green"/>
                <w:lang w:val="ru-RU"/>
              </w:rPr>
              <w:t>[Фамилия]</w:t>
            </w:r>
            <w:r w:rsidRPr="003F7D3C">
              <w:rPr>
                <w:highlight w:val="green"/>
                <w:lang w:val="ru-RU"/>
              </w:rPr>
              <w:br/>
              <w:t>[Официальная должность/титул]</w:t>
            </w:r>
            <w:r w:rsidRPr="003F7D3C">
              <w:rPr>
                <w:highlight w:val="green"/>
                <w:lang w:val="ru-RU"/>
              </w:rPr>
              <w:br/>
              <w:t>[Адрес]</w:t>
            </w:r>
          </w:p>
        </w:tc>
      </w:tr>
      <w:tr w:rsidR="00B67FD0" w:rsidRPr="003F7D3C" w14:paraId="34211EEA" w14:textId="77777777" w:rsidTr="00996A82">
        <w:tc>
          <w:tcPr>
            <w:tcW w:w="1064" w:type="dxa"/>
          </w:tcPr>
          <w:p w14:paraId="4693E7D8" w14:textId="77777777" w:rsidR="00B67FD0" w:rsidRPr="003F7D3C" w:rsidRDefault="00B67FD0" w:rsidP="00B67FD0">
            <w:pPr>
              <w:spacing w:before="60"/>
              <w:ind w:left="-113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Факс</w:t>
            </w:r>
            <w:r w:rsidRPr="003F7D3C">
              <w:rPr>
                <w:lang w:val="ru-RU"/>
              </w:rPr>
              <w:t>:</w:t>
            </w:r>
          </w:p>
          <w:p w14:paraId="33321D77" w14:textId="77777777" w:rsidR="00B67FD0" w:rsidRPr="003F7D3C" w:rsidRDefault="00B67FD0" w:rsidP="00B67FD0">
            <w:pPr>
              <w:spacing w:before="0"/>
              <w:ind w:left="-113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Эл. почта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24A12976" w14:textId="77777777" w:rsidR="00B67FD0" w:rsidRPr="003F7D3C" w:rsidRDefault="00B67FD0" w:rsidP="00B67FD0">
            <w:pPr>
              <w:spacing w:before="60"/>
              <w:rPr>
                <w:lang w:val="ru-RU"/>
              </w:rPr>
            </w:pPr>
            <w:r w:rsidRPr="003F7D3C">
              <w:rPr>
                <w:lang w:val="ru-RU"/>
              </w:rPr>
              <w:t>+41 22 730 5853</w:t>
            </w:r>
          </w:p>
          <w:p w14:paraId="55C0556E" w14:textId="77777777" w:rsidR="00B67FD0" w:rsidRPr="003F7D3C" w:rsidRDefault="00B67FD0" w:rsidP="00B67FD0">
            <w:pPr>
              <w:spacing w:before="0"/>
              <w:rPr>
                <w:lang w:val="ru-RU"/>
              </w:rPr>
            </w:pPr>
            <w:hyperlink r:id="rId17" w:history="1">
              <w:r w:rsidRPr="003F7D3C">
                <w:rPr>
                  <w:color w:val="0000FF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4E9A3454" w14:textId="77777777" w:rsidR="00B67FD0" w:rsidRPr="003F7D3C" w:rsidRDefault="00B67FD0" w:rsidP="00B67FD0">
            <w:pPr>
              <w:spacing w:before="60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Факс</w:t>
            </w:r>
            <w:r w:rsidRPr="003F7D3C">
              <w:rPr>
                <w:lang w:val="ru-RU"/>
              </w:rPr>
              <w:t>:</w:t>
            </w:r>
          </w:p>
          <w:p w14:paraId="0CD64C6A" w14:textId="77777777" w:rsidR="00B67FD0" w:rsidRPr="003F7D3C" w:rsidRDefault="00B67FD0" w:rsidP="00B67FD0">
            <w:pPr>
              <w:spacing w:before="0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Эл. почта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143E4671" w14:textId="77777777" w:rsidR="00B67FD0" w:rsidRPr="003F7D3C" w:rsidRDefault="00B67FD0" w:rsidP="00B67FD0">
            <w:pPr>
              <w:spacing w:before="0"/>
              <w:rPr>
                <w:lang w:val="ru-RU"/>
              </w:rPr>
            </w:pPr>
          </w:p>
        </w:tc>
      </w:tr>
      <w:tr w:rsidR="00B67FD0" w:rsidRPr="003F7D3C" w14:paraId="25D5FDEA" w14:textId="77777777" w:rsidTr="00996A82">
        <w:tc>
          <w:tcPr>
            <w:tcW w:w="1064" w:type="dxa"/>
          </w:tcPr>
          <w:p w14:paraId="75ABC3E2" w14:textId="77777777" w:rsidR="00B67FD0" w:rsidRPr="003F7D3C" w:rsidRDefault="00B67FD0" w:rsidP="00B67FD0">
            <w:pPr>
              <w:spacing w:before="0"/>
              <w:ind w:left="-113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9869CE0" w14:textId="77777777" w:rsidR="00B67FD0" w:rsidRPr="003F7D3C" w:rsidRDefault="00B67FD0" w:rsidP="00B67FD0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C3D2D3F" w14:textId="77777777" w:rsidR="00B67FD0" w:rsidRPr="003F7D3C" w:rsidRDefault="00B67FD0" w:rsidP="00B67FD0">
            <w:pPr>
              <w:spacing w:before="0"/>
              <w:jc w:val="right"/>
              <w:rPr>
                <w:b/>
                <w:bCs/>
                <w:lang w:val="ru-RU"/>
              </w:rPr>
            </w:pPr>
            <w:r w:rsidRPr="003F7D3C">
              <w:rPr>
                <w:b/>
                <w:bCs/>
                <w:lang w:val="ru-RU"/>
              </w:rPr>
              <w:t>Дата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71FD84A1" w14:textId="77777777" w:rsidR="00B67FD0" w:rsidRPr="003F7D3C" w:rsidRDefault="00B67FD0" w:rsidP="00B67FD0">
            <w:pPr>
              <w:spacing w:before="0"/>
              <w:rPr>
                <w:lang w:val="ru-RU"/>
              </w:rPr>
            </w:pPr>
            <w:r w:rsidRPr="003F7D3C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1D7AC35D" w14:textId="77777777" w:rsidR="00B67FD0" w:rsidRPr="003F7D3C" w:rsidRDefault="00B67FD0" w:rsidP="00B67FD0">
      <w:pPr>
        <w:spacing w:before="240"/>
        <w:jc w:val="left"/>
        <w:rPr>
          <w:lang w:val="ru-RU"/>
        </w:rPr>
      </w:pPr>
      <w:r w:rsidRPr="003F7D3C">
        <w:rPr>
          <w:lang w:val="ru-RU"/>
        </w:rPr>
        <w:t>Уважаемая госпожа,</w:t>
      </w:r>
      <w:r w:rsidRPr="003F7D3C">
        <w:rPr>
          <w:lang w:val="ru-RU"/>
        </w:rPr>
        <w:br/>
        <w:t>уважаемый господин,</w:t>
      </w:r>
    </w:p>
    <w:p w14:paraId="09A599F6" w14:textId="77777777" w:rsidR="00B67FD0" w:rsidRPr="003F7D3C" w:rsidRDefault="00B67FD0" w:rsidP="00996A82">
      <w:pPr>
        <w:spacing w:after="120"/>
        <w:rPr>
          <w:lang w:val="ru-RU"/>
        </w:rPr>
      </w:pPr>
      <w:r w:rsidRPr="003F7D3C">
        <w:rPr>
          <w:lang w:val="ru-RU"/>
        </w:rPr>
        <w:t xml:space="preserve">В рамках консультаций с Государствами-Членами </w:t>
      </w:r>
      <w:r w:rsidRPr="002D0FEE">
        <w:rPr>
          <w:bCs/>
          <w:lang w:val="ru-RU"/>
        </w:rPr>
        <w:t>по указанному в Циркуляре 125 БСЭ проекту текста, по которому сделано заключение</w:t>
      </w:r>
      <w:r w:rsidRPr="003F7D3C">
        <w:rPr>
          <w:bCs/>
          <w:lang w:val="ru-RU"/>
        </w:rPr>
        <w:t xml:space="preserve">, </w:t>
      </w:r>
      <w:r w:rsidRPr="003F7D3C">
        <w:rPr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B67FD0" w:rsidRPr="00027B1C" w14:paraId="036F21DF" w14:textId="77777777" w:rsidTr="00996A82">
        <w:trPr>
          <w:cantSplit/>
          <w:tblHeader/>
        </w:trPr>
        <w:tc>
          <w:tcPr>
            <w:tcW w:w="1980" w:type="dxa"/>
            <w:vAlign w:val="center"/>
          </w:tcPr>
          <w:p w14:paraId="631908F1" w14:textId="77777777" w:rsidR="00B67FD0" w:rsidRPr="00F26A42" w:rsidRDefault="00B67FD0" w:rsidP="00996A82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vAlign w:val="center"/>
          </w:tcPr>
          <w:p w14:paraId="5278E828" w14:textId="77777777" w:rsidR="00B67FD0" w:rsidRPr="00F26A42" w:rsidRDefault="00B67FD0" w:rsidP="00996A8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F26A42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B67FD0" w:rsidRPr="00027B1C" w14:paraId="6E91EB15" w14:textId="77777777" w:rsidTr="00996A82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32B99" w14:textId="77777777" w:rsidR="00B67FD0" w:rsidRPr="00B67FD0" w:rsidRDefault="00B67FD0" w:rsidP="00996A82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lang w:val="ru-RU"/>
              </w:rPr>
            </w:pPr>
            <w:r w:rsidRPr="00B67FD0">
              <w:rPr>
                <w:b/>
                <w:bCs/>
                <w:sz w:val="20"/>
                <w:lang w:val="ru-RU"/>
              </w:rPr>
              <w:t xml:space="preserve">Проект новой Рекомендации МСЭ-Т Q.5057 </w:t>
            </w:r>
            <w:r w:rsidRPr="00B67FD0">
              <w:rPr>
                <w:b/>
                <w:bCs/>
                <w:sz w:val="20"/>
                <w:lang w:val="ru-RU"/>
              </w:rPr>
              <w:br/>
              <w:t>(ранее – Q.GIR)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6047" w14:textId="77777777" w:rsidR="00B67FD0" w:rsidRPr="00F26A42" w:rsidRDefault="00793C6B" w:rsidP="00996A8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175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0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67FD0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B67FD0" w:rsidRPr="00F26A42">
              <w:rPr>
                <w:sz w:val="20"/>
                <w:lang w:val="ru-RU"/>
              </w:rPr>
              <w:t xml:space="preserve"> </w:t>
            </w:r>
            <w:r w:rsidR="00B67FD0" w:rsidRPr="00B67FD0">
              <w:rPr>
                <w:sz w:val="20"/>
                <w:lang w:val="ru-RU"/>
              </w:rPr>
              <w:t>11-й Исследовательской комиссии</w:t>
            </w:r>
            <w:r w:rsidR="00B67FD0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1CE65983" w14:textId="75ACEE32" w:rsidR="00B67FD0" w:rsidRPr="00F26A42" w:rsidRDefault="00793C6B" w:rsidP="00996A8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14585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FDE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67FD0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4C04C8A3" w14:textId="77777777" w:rsidR="00B67FD0" w:rsidRPr="00F26A42" w:rsidRDefault="00793C6B" w:rsidP="00996A8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43937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0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67FD0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B67FD0" w:rsidRPr="00027B1C" w14:paraId="038A1C14" w14:textId="77777777" w:rsidTr="00996A82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649C" w14:textId="77777777" w:rsidR="00B67FD0" w:rsidRPr="00F26A42" w:rsidRDefault="00B67FD0" w:rsidP="00996A8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8BD" w14:textId="77777777" w:rsidR="00B67FD0" w:rsidRPr="00F26A42" w:rsidRDefault="00793C6B" w:rsidP="00996A8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1490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0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67FD0" w:rsidRPr="00F26A42">
              <w:rPr>
                <w:sz w:val="20"/>
                <w:lang w:val="ru-RU"/>
              </w:rPr>
              <w:tab/>
            </w:r>
            <w:r w:rsidR="00B67FD0" w:rsidRPr="00F26A42">
              <w:rPr>
                <w:b/>
                <w:bCs/>
                <w:sz w:val="20"/>
                <w:lang w:val="ru-RU"/>
              </w:rPr>
              <w:t xml:space="preserve">Не предоставляет </w:t>
            </w:r>
            <w:r w:rsidR="00B67FD0" w:rsidRPr="00B67FD0">
              <w:rPr>
                <w:sz w:val="20"/>
                <w:lang w:val="ru-RU"/>
              </w:rPr>
              <w:t>полномочий</w:t>
            </w:r>
            <w:r w:rsidR="00B67FD0" w:rsidRPr="00F26A42">
              <w:rPr>
                <w:sz w:val="20"/>
                <w:lang w:val="ru-RU"/>
              </w:rPr>
              <w:t xml:space="preserve"> </w:t>
            </w:r>
            <w:r w:rsidR="00B67FD0" w:rsidRPr="00B67FD0">
              <w:rPr>
                <w:sz w:val="20"/>
                <w:lang w:val="ru-RU"/>
              </w:rPr>
              <w:t>11-й Исследовательской комиссии</w:t>
            </w:r>
            <w:r w:rsidR="00B67FD0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77777777" w:rsidR="00713D99" w:rsidRPr="00F26A42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>С уважением,</w:t>
      </w:r>
    </w:p>
    <w:p w14:paraId="0A882A1E" w14:textId="20899374" w:rsidR="00C62B05" w:rsidRPr="00F26A42" w:rsidRDefault="00713D99" w:rsidP="00B67FD0">
      <w:pPr>
        <w:overflowPunct/>
        <w:autoSpaceDE/>
        <w:autoSpaceDN/>
        <w:adjustRightInd/>
        <w:spacing w:before="36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highlight w:val="green"/>
          <w:lang w:val="ru-RU"/>
        </w:rPr>
        <w:t>[Фамилия]</w:t>
      </w:r>
      <w:r w:rsidRPr="00F26A42">
        <w:rPr>
          <w:szCs w:val="24"/>
          <w:highlight w:val="green"/>
          <w:lang w:val="ru-RU"/>
        </w:rPr>
        <w:br/>
        <w:t>[Официальная должность/титул]</w:t>
      </w:r>
      <w:r w:rsidRPr="00F26A42">
        <w:rPr>
          <w:szCs w:val="24"/>
          <w:lang w:val="ru-RU"/>
        </w:rPr>
        <w:br/>
        <w:t xml:space="preserve">Администрация </w:t>
      </w:r>
      <w:r w:rsidRPr="00F26A42">
        <w:rPr>
          <w:szCs w:val="24"/>
          <w:highlight w:val="green"/>
          <w:lang w:val="ru-RU"/>
        </w:rPr>
        <w:t>[Государства-Члена]</w:t>
      </w:r>
    </w:p>
    <w:p w14:paraId="54288B69" w14:textId="1F3C981D" w:rsidR="00E46B3B" w:rsidRPr="00F26A42" w:rsidRDefault="00E46B3B" w:rsidP="00721EE9">
      <w:pPr>
        <w:spacing w:before="360"/>
        <w:jc w:val="center"/>
        <w:rPr>
          <w:lang w:val="ru-RU"/>
        </w:rPr>
      </w:pPr>
      <w:r w:rsidRPr="00F26A42">
        <w:rPr>
          <w:lang w:val="ru-RU"/>
        </w:rPr>
        <w:t>______________</w:t>
      </w:r>
    </w:p>
    <w:sectPr w:rsidR="00E46B3B" w:rsidRPr="00F26A42" w:rsidSect="00027B1C">
      <w:headerReference w:type="default" r:id="rId18"/>
      <w:footerReference w:type="first" r:id="rId19"/>
      <w:type w:val="oddPage"/>
      <w:pgSz w:w="11907" w:h="16834" w:code="9"/>
      <w:pgMar w:top="1134" w:right="1134" w:bottom="900" w:left="1134" w:header="567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5BB2B056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B67FD0">
      <w:rPr>
        <w:lang w:val="en-US"/>
      </w:rPr>
      <w:t>1</w:t>
    </w:r>
    <w:r>
      <w:rPr>
        <w:lang w:val="ru-RU"/>
      </w:rPr>
      <w:t>2</w:t>
    </w:r>
    <w:r w:rsidR="00B67FD0">
      <w:rPr>
        <w:lang w:val="en-US"/>
      </w:rPr>
      <w:t>5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27B1C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2B29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2D7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0FDE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456B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06A9"/>
    <w:rsid w:val="00791563"/>
    <w:rsid w:val="0079366C"/>
    <w:rsid w:val="00793926"/>
    <w:rsid w:val="00793C6B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67FD0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41E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65EBC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mailto:tsbdir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p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pr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1-R-0017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16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9152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>2600769R.docx  For: _x000d_Document date: _x000d_Saved by ITU51018020 at 13:43:23 on 13.04.26</dc:description>
  <cp:lastModifiedBy>Braud, Olivia</cp:lastModifiedBy>
  <cp:revision>7</cp:revision>
  <cp:lastPrinted>2026-04-13T13:15:00Z</cp:lastPrinted>
  <dcterms:created xsi:type="dcterms:W3CDTF">2026-04-10T13:21:00Z</dcterms:created>
  <dcterms:modified xsi:type="dcterms:W3CDTF">2026-04-13T13:16:00Z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2600769R.docx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  <property fmtid="{D5CDD505-2E9C-101B-9397-08002B2CF9AE}" pid="11" name="Docbluepink">
    <vt:lpwstr/>
  </property>
  <property fmtid="{D5CDD505-2E9C-101B-9397-08002B2CF9AE}" pid="12" name="Docdest">
    <vt:lpwstr/>
  </property>
  <property fmtid="{D5CDD505-2E9C-101B-9397-08002B2CF9AE}" pid="13" name="Docauthor">
    <vt:lpwstr/>
  </property>
</Properties>
</file>