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15"/>
        <w:tblW w:w="0" w:type="auto"/>
        <w:tblCellMar>
          <w:left w:w="0" w:type="dxa"/>
          <w:right w:w="0" w:type="dxa"/>
        </w:tblCellMar>
        <w:tblLook w:val="0000" w:firstRow="0" w:lastRow="0" w:firstColumn="0" w:lastColumn="0" w:noHBand="0" w:noVBand="0"/>
      </w:tblPr>
      <w:tblGrid>
        <w:gridCol w:w="1279"/>
        <w:gridCol w:w="3263"/>
        <w:gridCol w:w="5187"/>
      </w:tblGrid>
      <w:tr w:rsidR="00EF6A23" w:rsidRPr="002753E9" w14:paraId="3FDAE1F3" w14:textId="77777777" w:rsidTr="009A1034">
        <w:trPr>
          <w:cantSplit/>
        </w:trPr>
        <w:tc>
          <w:tcPr>
            <w:tcW w:w="0" w:type="auto"/>
            <w:vAlign w:val="center"/>
          </w:tcPr>
          <w:p w14:paraId="3DE42CAA" w14:textId="77777777" w:rsidR="00EF6A23" w:rsidRPr="002753E9" w:rsidRDefault="00EF6A23" w:rsidP="009A1034">
            <w:pPr>
              <w:tabs>
                <w:tab w:val="right" w:pos="8732"/>
              </w:tabs>
              <w:spacing w:before="0"/>
              <w:rPr>
                <w:b/>
                <w:bCs/>
                <w:iCs/>
                <w:color w:val="FFFFFF"/>
                <w:sz w:val="30"/>
                <w:szCs w:val="30"/>
              </w:rPr>
            </w:pPr>
            <w:r w:rsidRPr="002753E9">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2753E9" w:rsidRDefault="00EF6A23" w:rsidP="009A1034">
            <w:pPr>
              <w:spacing w:before="0"/>
              <w:rPr>
                <w:rFonts w:cs="Times New Roman Bold"/>
                <w:b/>
                <w:bCs/>
                <w:iCs/>
                <w:smallCaps/>
                <w:sz w:val="34"/>
                <w:szCs w:val="34"/>
              </w:rPr>
            </w:pPr>
            <w:r w:rsidRPr="002753E9">
              <w:rPr>
                <w:rFonts w:cs="Times New Roman Bold"/>
                <w:b/>
                <w:bCs/>
                <w:iCs/>
                <w:smallCaps/>
                <w:sz w:val="34"/>
                <w:szCs w:val="34"/>
              </w:rPr>
              <w:t>Union internationale des télécommunications</w:t>
            </w:r>
          </w:p>
          <w:p w14:paraId="089E66D0" w14:textId="77777777" w:rsidR="00EF6A23" w:rsidRPr="002753E9" w:rsidRDefault="00EF6A23" w:rsidP="009A1034">
            <w:pPr>
              <w:spacing w:before="0"/>
              <w:rPr>
                <w:color w:val="FFFFFF"/>
                <w:sz w:val="26"/>
                <w:szCs w:val="26"/>
              </w:rPr>
            </w:pPr>
            <w:r w:rsidRPr="002753E9">
              <w:rPr>
                <w:rFonts w:cs="Times New Roman Bold"/>
                <w:b/>
                <w:bCs/>
                <w:iCs/>
                <w:smallCaps/>
                <w:sz w:val="28"/>
                <w:szCs w:val="28"/>
              </w:rPr>
              <w:t>B</w:t>
            </w:r>
            <w:r w:rsidRPr="002753E9">
              <w:rPr>
                <w:b/>
                <w:bCs/>
                <w:iCs/>
                <w:smallCaps/>
                <w:sz w:val="28"/>
                <w:szCs w:val="28"/>
              </w:rPr>
              <w:t>ureau de la Normalisation des Télécommunications</w:t>
            </w:r>
          </w:p>
        </w:tc>
      </w:tr>
      <w:tr w:rsidR="00036F4F" w:rsidRPr="009A1034" w14:paraId="18B25741" w14:textId="77777777" w:rsidTr="009A1034">
        <w:trPr>
          <w:cantSplit/>
        </w:trPr>
        <w:tc>
          <w:tcPr>
            <w:tcW w:w="0" w:type="auto"/>
          </w:tcPr>
          <w:p w14:paraId="4B1AFD72" w14:textId="77777777" w:rsidR="00036F4F" w:rsidRPr="009A1034" w:rsidRDefault="00036F4F" w:rsidP="009A1034">
            <w:pPr>
              <w:tabs>
                <w:tab w:val="left" w:pos="4111"/>
              </w:tabs>
              <w:spacing w:before="10"/>
              <w:ind w:left="57"/>
              <w:rPr>
                <w:sz w:val="22"/>
                <w:szCs w:val="22"/>
              </w:rPr>
            </w:pPr>
          </w:p>
        </w:tc>
        <w:tc>
          <w:tcPr>
            <w:tcW w:w="3275" w:type="dxa"/>
          </w:tcPr>
          <w:p w14:paraId="6579D3E8" w14:textId="77777777" w:rsidR="00036F4F" w:rsidRPr="009A1034" w:rsidRDefault="00036F4F" w:rsidP="009A1034">
            <w:pPr>
              <w:tabs>
                <w:tab w:val="left" w:pos="4111"/>
              </w:tabs>
              <w:spacing w:before="10"/>
              <w:ind w:left="57"/>
              <w:rPr>
                <w:b/>
                <w:sz w:val="22"/>
                <w:szCs w:val="22"/>
              </w:rPr>
            </w:pPr>
          </w:p>
        </w:tc>
        <w:tc>
          <w:tcPr>
            <w:tcW w:w="5175" w:type="dxa"/>
          </w:tcPr>
          <w:p w14:paraId="0DC34ECA" w14:textId="38294909" w:rsidR="00036F4F" w:rsidRPr="009A1034" w:rsidRDefault="00036F4F" w:rsidP="009A1034">
            <w:pPr>
              <w:tabs>
                <w:tab w:val="clear" w:pos="794"/>
                <w:tab w:val="clear" w:pos="1191"/>
                <w:tab w:val="clear" w:pos="1588"/>
                <w:tab w:val="clear" w:pos="1985"/>
                <w:tab w:val="left" w:pos="284"/>
              </w:tabs>
              <w:spacing w:after="120"/>
              <w:ind w:left="284" w:hanging="227"/>
              <w:rPr>
                <w:sz w:val="22"/>
                <w:szCs w:val="22"/>
              </w:rPr>
            </w:pPr>
            <w:r w:rsidRPr="009A1034">
              <w:rPr>
                <w:sz w:val="22"/>
                <w:szCs w:val="22"/>
              </w:rPr>
              <w:t>Genève, le</w:t>
            </w:r>
            <w:r w:rsidR="004419E9" w:rsidRPr="009A1034">
              <w:rPr>
                <w:sz w:val="22"/>
                <w:szCs w:val="22"/>
              </w:rPr>
              <w:t xml:space="preserve"> </w:t>
            </w:r>
            <w:r w:rsidR="00931523" w:rsidRPr="009A1034">
              <w:rPr>
                <w:sz w:val="22"/>
                <w:szCs w:val="22"/>
              </w:rPr>
              <w:t>1er</w:t>
            </w:r>
            <w:r w:rsidR="00597B8A" w:rsidRPr="009A1034">
              <w:rPr>
                <w:sz w:val="22"/>
                <w:szCs w:val="22"/>
              </w:rPr>
              <w:t xml:space="preserve"> </w:t>
            </w:r>
            <w:r w:rsidR="00931523" w:rsidRPr="009A1034">
              <w:rPr>
                <w:sz w:val="22"/>
                <w:szCs w:val="22"/>
              </w:rPr>
              <w:t>avril</w:t>
            </w:r>
            <w:r w:rsidR="00597B8A" w:rsidRPr="009A1034">
              <w:rPr>
                <w:sz w:val="22"/>
                <w:szCs w:val="22"/>
              </w:rPr>
              <w:t xml:space="preserve"> 2026</w:t>
            </w:r>
          </w:p>
        </w:tc>
      </w:tr>
      <w:tr w:rsidR="00F60898" w:rsidRPr="009A1034" w14:paraId="16CDDFEF" w14:textId="77777777" w:rsidTr="009A1034">
        <w:trPr>
          <w:cantSplit/>
          <w:trHeight w:val="340"/>
        </w:trPr>
        <w:tc>
          <w:tcPr>
            <w:tcW w:w="0" w:type="auto"/>
          </w:tcPr>
          <w:p w14:paraId="3EFF375D" w14:textId="58556577" w:rsidR="00F60898" w:rsidRPr="009A1034" w:rsidRDefault="00F60898" w:rsidP="009A1034">
            <w:pPr>
              <w:tabs>
                <w:tab w:val="left" w:pos="4111"/>
              </w:tabs>
              <w:spacing w:before="10"/>
              <w:rPr>
                <w:b/>
                <w:bCs/>
                <w:sz w:val="22"/>
                <w:szCs w:val="22"/>
              </w:rPr>
            </w:pPr>
            <w:proofErr w:type="gramStart"/>
            <w:r w:rsidRPr="009A1034">
              <w:rPr>
                <w:b/>
                <w:bCs/>
                <w:sz w:val="22"/>
                <w:szCs w:val="22"/>
              </w:rPr>
              <w:t>Réf.:</w:t>
            </w:r>
            <w:proofErr w:type="gramEnd"/>
          </w:p>
        </w:tc>
        <w:tc>
          <w:tcPr>
            <w:tcW w:w="3275" w:type="dxa"/>
          </w:tcPr>
          <w:p w14:paraId="5FFBBC9B" w14:textId="11CAE1FF" w:rsidR="00F60898" w:rsidRPr="009A1034" w:rsidRDefault="00F60898" w:rsidP="009A1034">
            <w:pPr>
              <w:tabs>
                <w:tab w:val="left" w:pos="4111"/>
              </w:tabs>
              <w:spacing w:before="10"/>
              <w:ind w:left="57"/>
              <w:rPr>
                <w:b/>
                <w:sz w:val="22"/>
                <w:szCs w:val="22"/>
              </w:rPr>
            </w:pPr>
            <w:r w:rsidRPr="009A1034">
              <w:rPr>
                <w:b/>
                <w:sz w:val="22"/>
                <w:szCs w:val="22"/>
              </w:rPr>
              <w:t>Circulaire TSB 125</w:t>
            </w:r>
          </w:p>
          <w:p w14:paraId="577F6DA2" w14:textId="5C052A81" w:rsidR="00F60898" w:rsidRPr="009A1034" w:rsidRDefault="00F60898" w:rsidP="009A1034">
            <w:pPr>
              <w:tabs>
                <w:tab w:val="left" w:pos="4111"/>
              </w:tabs>
              <w:spacing w:before="10"/>
              <w:ind w:left="57"/>
              <w:rPr>
                <w:b/>
                <w:bCs/>
                <w:sz w:val="22"/>
                <w:szCs w:val="22"/>
              </w:rPr>
            </w:pPr>
            <w:r w:rsidRPr="009A1034">
              <w:rPr>
                <w:bCs/>
                <w:color w:val="000000"/>
                <w:sz w:val="22"/>
                <w:szCs w:val="22"/>
              </w:rPr>
              <w:t>CE 11/DA</w:t>
            </w:r>
          </w:p>
        </w:tc>
        <w:tc>
          <w:tcPr>
            <w:tcW w:w="5175" w:type="dxa"/>
            <w:vMerge w:val="restart"/>
          </w:tcPr>
          <w:p w14:paraId="60A4FD7F" w14:textId="77777777" w:rsidR="00F60898" w:rsidRPr="009A1034" w:rsidRDefault="00F60898" w:rsidP="009A1034">
            <w:pPr>
              <w:tabs>
                <w:tab w:val="clear" w:pos="794"/>
                <w:tab w:val="left" w:pos="430"/>
                <w:tab w:val="left" w:pos="4111"/>
              </w:tabs>
              <w:spacing w:before="0"/>
              <w:ind w:left="430" w:hanging="425"/>
              <w:rPr>
                <w:sz w:val="22"/>
                <w:szCs w:val="22"/>
              </w:rPr>
            </w:pPr>
            <w:bookmarkStart w:id="0" w:name="Addressee_F"/>
            <w:bookmarkEnd w:id="0"/>
            <w:r w:rsidRPr="009A1034">
              <w:rPr>
                <w:sz w:val="22"/>
                <w:szCs w:val="22"/>
              </w:rPr>
              <w:t>–</w:t>
            </w:r>
            <w:r w:rsidRPr="009A1034">
              <w:rPr>
                <w:sz w:val="22"/>
                <w:szCs w:val="22"/>
              </w:rPr>
              <w:tab/>
              <w:t xml:space="preserve">Aux Administrations des États Membres de </w:t>
            </w:r>
            <w:proofErr w:type="gramStart"/>
            <w:r w:rsidRPr="009A1034">
              <w:rPr>
                <w:sz w:val="22"/>
                <w:szCs w:val="22"/>
              </w:rPr>
              <w:t>l'Union;</w:t>
            </w:r>
            <w:proofErr w:type="gramEnd"/>
          </w:p>
          <w:p w14:paraId="38A02B9F" w14:textId="38EAA486" w:rsidR="00F60898" w:rsidRPr="009A1034" w:rsidRDefault="00F60898" w:rsidP="009A1034">
            <w:pPr>
              <w:tabs>
                <w:tab w:val="clear" w:pos="794"/>
                <w:tab w:val="left" w:pos="430"/>
                <w:tab w:val="left" w:pos="4111"/>
              </w:tabs>
              <w:spacing w:before="0"/>
              <w:ind w:left="430" w:hanging="425"/>
              <w:rPr>
                <w:sz w:val="22"/>
                <w:szCs w:val="22"/>
              </w:rPr>
            </w:pPr>
            <w:r w:rsidRPr="009A1034">
              <w:rPr>
                <w:sz w:val="22"/>
                <w:szCs w:val="22"/>
              </w:rPr>
              <w:t>–</w:t>
            </w:r>
            <w:r w:rsidRPr="009A1034">
              <w:rPr>
                <w:sz w:val="22"/>
                <w:szCs w:val="22"/>
              </w:rPr>
              <w:tab/>
              <w:t>À l'État de Palestine (Rés. 99 (Rév. Dubaï, 2018)</w:t>
            </w:r>
            <w:proofErr w:type="gramStart"/>
            <w:r w:rsidRPr="009A1034">
              <w:rPr>
                <w:sz w:val="22"/>
                <w:szCs w:val="22"/>
              </w:rPr>
              <w:t>);</w:t>
            </w:r>
            <w:proofErr w:type="gramEnd"/>
          </w:p>
          <w:p w14:paraId="0FB37A4C" w14:textId="77777777" w:rsidR="00F60898" w:rsidRPr="009A1034" w:rsidRDefault="00F60898" w:rsidP="009A1034">
            <w:pPr>
              <w:tabs>
                <w:tab w:val="clear" w:pos="794"/>
                <w:tab w:val="left" w:pos="430"/>
                <w:tab w:val="left" w:pos="4111"/>
              </w:tabs>
              <w:spacing w:before="0"/>
              <w:ind w:left="430" w:hanging="425"/>
              <w:rPr>
                <w:sz w:val="22"/>
                <w:szCs w:val="22"/>
              </w:rPr>
            </w:pPr>
            <w:r w:rsidRPr="009A1034">
              <w:rPr>
                <w:sz w:val="22"/>
                <w:szCs w:val="22"/>
              </w:rPr>
              <w:t>–</w:t>
            </w:r>
            <w:r w:rsidRPr="009A1034">
              <w:rPr>
                <w:sz w:val="22"/>
                <w:szCs w:val="22"/>
              </w:rPr>
              <w:tab/>
              <w:t>Aux Membres du Secteur de l'UIT-</w:t>
            </w:r>
            <w:proofErr w:type="gramStart"/>
            <w:r w:rsidRPr="009A1034">
              <w:rPr>
                <w:sz w:val="22"/>
                <w:szCs w:val="22"/>
              </w:rPr>
              <w:t>T;</w:t>
            </w:r>
            <w:proofErr w:type="gramEnd"/>
          </w:p>
          <w:p w14:paraId="5D775132" w14:textId="77777777" w:rsidR="00F60898" w:rsidRPr="009A1034" w:rsidRDefault="00F60898" w:rsidP="009A1034">
            <w:pPr>
              <w:tabs>
                <w:tab w:val="clear" w:pos="794"/>
                <w:tab w:val="left" w:pos="430"/>
                <w:tab w:val="left" w:pos="4111"/>
              </w:tabs>
              <w:spacing w:before="0"/>
              <w:ind w:left="430" w:hanging="425"/>
              <w:rPr>
                <w:sz w:val="22"/>
                <w:szCs w:val="22"/>
              </w:rPr>
            </w:pPr>
            <w:r w:rsidRPr="009A1034">
              <w:rPr>
                <w:sz w:val="22"/>
                <w:szCs w:val="22"/>
              </w:rPr>
              <w:t>–</w:t>
            </w:r>
            <w:r w:rsidRPr="009A1034">
              <w:rPr>
                <w:sz w:val="22"/>
                <w:szCs w:val="22"/>
              </w:rPr>
              <w:tab/>
              <w:t>Aux Associés participant aux travaux de la Commission d'études 11 de l'UIT-</w:t>
            </w:r>
            <w:proofErr w:type="gramStart"/>
            <w:r w:rsidRPr="009A1034">
              <w:rPr>
                <w:sz w:val="22"/>
                <w:szCs w:val="22"/>
              </w:rPr>
              <w:t>T;</w:t>
            </w:r>
            <w:proofErr w:type="gramEnd"/>
          </w:p>
          <w:p w14:paraId="5E36F64B" w14:textId="77777777" w:rsidR="00F60898" w:rsidRPr="009A1034" w:rsidRDefault="00F60898" w:rsidP="009A1034">
            <w:pPr>
              <w:tabs>
                <w:tab w:val="clear" w:pos="794"/>
                <w:tab w:val="left" w:pos="430"/>
                <w:tab w:val="left" w:pos="4111"/>
              </w:tabs>
              <w:spacing w:before="0"/>
              <w:ind w:left="430" w:hanging="425"/>
              <w:rPr>
                <w:sz w:val="22"/>
                <w:szCs w:val="22"/>
              </w:rPr>
            </w:pPr>
            <w:r w:rsidRPr="009A1034">
              <w:rPr>
                <w:sz w:val="22"/>
                <w:szCs w:val="22"/>
              </w:rPr>
              <w:t>–</w:t>
            </w:r>
            <w:r w:rsidRPr="009A1034">
              <w:rPr>
                <w:sz w:val="22"/>
                <w:szCs w:val="22"/>
              </w:rPr>
              <w:tab/>
              <w:t>Aux établissements universitaires participant aux travaux de l'UIT</w:t>
            </w:r>
          </w:p>
          <w:p w14:paraId="7D937BFA" w14:textId="77777777" w:rsidR="00F60898" w:rsidRPr="009A1034" w:rsidRDefault="00F60898" w:rsidP="009A1034">
            <w:pPr>
              <w:tabs>
                <w:tab w:val="clear" w:pos="794"/>
                <w:tab w:val="left" w:pos="226"/>
                <w:tab w:val="left" w:pos="4111"/>
              </w:tabs>
              <w:spacing w:before="0"/>
              <w:ind w:left="226" w:hanging="226"/>
              <w:rPr>
                <w:b/>
                <w:bCs/>
                <w:sz w:val="22"/>
                <w:szCs w:val="22"/>
              </w:rPr>
            </w:pPr>
            <w:proofErr w:type="gramStart"/>
            <w:r w:rsidRPr="009A1034">
              <w:rPr>
                <w:b/>
                <w:bCs/>
                <w:sz w:val="22"/>
                <w:szCs w:val="22"/>
              </w:rPr>
              <w:t>Copie:</w:t>
            </w:r>
            <w:proofErr w:type="gramEnd"/>
          </w:p>
          <w:p w14:paraId="1E0812C5" w14:textId="77777777" w:rsidR="00F60898" w:rsidRPr="009A1034" w:rsidRDefault="00F60898" w:rsidP="009A1034">
            <w:pPr>
              <w:tabs>
                <w:tab w:val="clear" w:pos="794"/>
                <w:tab w:val="left" w:pos="4111"/>
              </w:tabs>
              <w:spacing w:before="0"/>
              <w:ind w:left="426" w:hanging="426"/>
              <w:rPr>
                <w:sz w:val="22"/>
                <w:szCs w:val="22"/>
              </w:rPr>
            </w:pPr>
            <w:r w:rsidRPr="009A1034">
              <w:rPr>
                <w:sz w:val="22"/>
                <w:szCs w:val="22"/>
              </w:rPr>
              <w:t>–</w:t>
            </w:r>
            <w:r w:rsidRPr="009A1034">
              <w:rPr>
                <w:sz w:val="22"/>
                <w:szCs w:val="22"/>
              </w:rPr>
              <w:tab/>
              <w:t>Au Président et aux Vice-Présidents de la Commission d'études 11 de l'UIT-</w:t>
            </w:r>
            <w:proofErr w:type="gramStart"/>
            <w:r w:rsidRPr="009A1034">
              <w:rPr>
                <w:sz w:val="22"/>
                <w:szCs w:val="22"/>
              </w:rPr>
              <w:t>T;</w:t>
            </w:r>
            <w:proofErr w:type="gramEnd"/>
          </w:p>
          <w:p w14:paraId="36C4C73D" w14:textId="77777777" w:rsidR="00F60898" w:rsidRPr="009A1034" w:rsidRDefault="00F60898" w:rsidP="009A1034">
            <w:pPr>
              <w:tabs>
                <w:tab w:val="clear" w:pos="794"/>
                <w:tab w:val="left" w:pos="4111"/>
              </w:tabs>
              <w:spacing w:before="0"/>
              <w:ind w:left="426" w:hanging="426"/>
              <w:rPr>
                <w:sz w:val="22"/>
                <w:szCs w:val="22"/>
              </w:rPr>
            </w:pPr>
            <w:r w:rsidRPr="009A1034">
              <w:rPr>
                <w:sz w:val="22"/>
                <w:szCs w:val="22"/>
              </w:rPr>
              <w:t>–</w:t>
            </w:r>
            <w:r w:rsidRPr="009A1034">
              <w:rPr>
                <w:sz w:val="22"/>
                <w:szCs w:val="22"/>
              </w:rPr>
              <w:tab/>
              <w:t xml:space="preserve">Au Directeur du Bureau de développement des </w:t>
            </w:r>
            <w:proofErr w:type="gramStart"/>
            <w:r w:rsidRPr="009A1034">
              <w:rPr>
                <w:sz w:val="22"/>
                <w:szCs w:val="22"/>
              </w:rPr>
              <w:t>télécommunications;</w:t>
            </w:r>
            <w:proofErr w:type="gramEnd"/>
          </w:p>
          <w:p w14:paraId="461460AE" w14:textId="361C476D" w:rsidR="00F60898" w:rsidRPr="009A1034" w:rsidRDefault="00F60898" w:rsidP="009A1034">
            <w:pPr>
              <w:tabs>
                <w:tab w:val="left" w:pos="4111"/>
              </w:tabs>
              <w:spacing w:before="0"/>
              <w:ind w:left="426" w:hanging="426"/>
              <w:rPr>
                <w:sz w:val="22"/>
                <w:szCs w:val="22"/>
              </w:rPr>
            </w:pPr>
            <w:r w:rsidRPr="009A1034">
              <w:rPr>
                <w:sz w:val="22"/>
                <w:szCs w:val="22"/>
              </w:rPr>
              <w:t>–</w:t>
            </w:r>
            <w:r w:rsidRPr="009A1034">
              <w:rPr>
                <w:sz w:val="22"/>
                <w:szCs w:val="22"/>
              </w:rPr>
              <w:tab/>
              <w:t>Au Directeur du Bureau des radiocommunications</w:t>
            </w:r>
          </w:p>
        </w:tc>
      </w:tr>
      <w:tr w:rsidR="00F60898" w:rsidRPr="009A1034" w14:paraId="7E8BAA10" w14:textId="77777777" w:rsidTr="009A1034">
        <w:trPr>
          <w:cantSplit/>
        </w:trPr>
        <w:tc>
          <w:tcPr>
            <w:tcW w:w="0" w:type="auto"/>
          </w:tcPr>
          <w:p w14:paraId="16DEE3BE" w14:textId="320F25C0" w:rsidR="00F60898" w:rsidRPr="009A1034" w:rsidRDefault="00F60898" w:rsidP="009A1034">
            <w:pPr>
              <w:tabs>
                <w:tab w:val="left" w:pos="4111"/>
              </w:tabs>
              <w:spacing w:before="10"/>
              <w:rPr>
                <w:sz w:val="22"/>
                <w:szCs w:val="22"/>
              </w:rPr>
            </w:pPr>
            <w:proofErr w:type="gramStart"/>
            <w:r w:rsidRPr="009A1034">
              <w:rPr>
                <w:sz w:val="22"/>
                <w:szCs w:val="22"/>
              </w:rPr>
              <w:t>Tél.:</w:t>
            </w:r>
            <w:proofErr w:type="gramEnd"/>
          </w:p>
        </w:tc>
        <w:tc>
          <w:tcPr>
            <w:tcW w:w="3275" w:type="dxa"/>
          </w:tcPr>
          <w:p w14:paraId="7FD3B434" w14:textId="428DEFAB" w:rsidR="00F60898" w:rsidRPr="009A1034" w:rsidRDefault="00F60898" w:rsidP="009A1034">
            <w:pPr>
              <w:tabs>
                <w:tab w:val="left" w:pos="4111"/>
              </w:tabs>
              <w:spacing w:before="0"/>
              <w:ind w:left="57"/>
              <w:rPr>
                <w:sz w:val="22"/>
                <w:szCs w:val="22"/>
              </w:rPr>
            </w:pPr>
            <w:r w:rsidRPr="009A1034">
              <w:rPr>
                <w:sz w:val="22"/>
                <w:szCs w:val="22"/>
              </w:rPr>
              <w:t>+41 22 730 5780</w:t>
            </w:r>
          </w:p>
        </w:tc>
        <w:tc>
          <w:tcPr>
            <w:tcW w:w="5175" w:type="dxa"/>
            <w:vMerge/>
          </w:tcPr>
          <w:p w14:paraId="77B53A54" w14:textId="5BBF8AA6" w:rsidR="00F60898" w:rsidRPr="009A1034" w:rsidRDefault="00F60898" w:rsidP="009A1034">
            <w:pPr>
              <w:tabs>
                <w:tab w:val="left" w:pos="4111"/>
              </w:tabs>
              <w:spacing w:before="0"/>
              <w:ind w:left="426" w:hanging="426"/>
              <w:rPr>
                <w:b/>
                <w:sz w:val="22"/>
                <w:szCs w:val="22"/>
              </w:rPr>
            </w:pPr>
          </w:p>
        </w:tc>
      </w:tr>
      <w:tr w:rsidR="00F60898" w:rsidRPr="009A1034" w14:paraId="724FD23E" w14:textId="77777777" w:rsidTr="009A1034">
        <w:trPr>
          <w:cantSplit/>
        </w:trPr>
        <w:tc>
          <w:tcPr>
            <w:tcW w:w="0" w:type="auto"/>
          </w:tcPr>
          <w:p w14:paraId="73149CCD" w14:textId="3B3CE31E" w:rsidR="00F60898" w:rsidRPr="009A1034" w:rsidRDefault="00F60898" w:rsidP="009A1034">
            <w:pPr>
              <w:tabs>
                <w:tab w:val="left" w:pos="4111"/>
              </w:tabs>
              <w:spacing w:before="10"/>
              <w:rPr>
                <w:sz w:val="22"/>
                <w:szCs w:val="22"/>
              </w:rPr>
            </w:pPr>
            <w:proofErr w:type="gramStart"/>
            <w:r w:rsidRPr="009A1034">
              <w:rPr>
                <w:sz w:val="22"/>
                <w:szCs w:val="22"/>
              </w:rPr>
              <w:t>Télécopie:</w:t>
            </w:r>
            <w:proofErr w:type="gramEnd"/>
          </w:p>
        </w:tc>
        <w:tc>
          <w:tcPr>
            <w:tcW w:w="3275" w:type="dxa"/>
          </w:tcPr>
          <w:p w14:paraId="78D06186" w14:textId="29E1D1FD" w:rsidR="00F60898" w:rsidRPr="009A1034" w:rsidRDefault="00F60898" w:rsidP="009A1034">
            <w:pPr>
              <w:tabs>
                <w:tab w:val="left" w:pos="4111"/>
              </w:tabs>
              <w:spacing w:before="0"/>
              <w:ind w:left="57"/>
              <w:rPr>
                <w:sz w:val="22"/>
                <w:szCs w:val="22"/>
              </w:rPr>
            </w:pPr>
            <w:r w:rsidRPr="009A1034">
              <w:rPr>
                <w:sz w:val="22"/>
                <w:szCs w:val="22"/>
              </w:rPr>
              <w:t>+41 22 730 5853</w:t>
            </w:r>
          </w:p>
        </w:tc>
        <w:tc>
          <w:tcPr>
            <w:tcW w:w="5175" w:type="dxa"/>
            <w:vMerge/>
          </w:tcPr>
          <w:p w14:paraId="6D3A5806" w14:textId="4D34726D" w:rsidR="00F60898" w:rsidRPr="009A1034" w:rsidRDefault="00F60898" w:rsidP="009A1034">
            <w:pPr>
              <w:tabs>
                <w:tab w:val="left" w:pos="4111"/>
              </w:tabs>
              <w:spacing w:before="0"/>
              <w:ind w:left="426" w:hanging="426"/>
              <w:rPr>
                <w:b/>
                <w:sz w:val="22"/>
                <w:szCs w:val="22"/>
              </w:rPr>
            </w:pPr>
          </w:p>
        </w:tc>
      </w:tr>
      <w:tr w:rsidR="00F60898" w:rsidRPr="009A1034" w14:paraId="640FB6B9" w14:textId="77777777" w:rsidTr="009A1034">
        <w:trPr>
          <w:cantSplit/>
        </w:trPr>
        <w:tc>
          <w:tcPr>
            <w:tcW w:w="0" w:type="auto"/>
          </w:tcPr>
          <w:p w14:paraId="15527369" w14:textId="3875E89C" w:rsidR="00F60898" w:rsidRPr="009A1034" w:rsidRDefault="00F60898" w:rsidP="009A1034">
            <w:pPr>
              <w:tabs>
                <w:tab w:val="left" w:pos="4111"/>
              </w:tabs>
              <w:spacing w:before="10"/>
              <w:rPr>
                <w:sz w:val="22"/>
                <w:szCs w:val="22"/>
              </w:rPr>
            </w:pPr>
            <w:proofErr w:type="gramStart"/>
            <w:r w:rsidRPr="009A1034">
              <w:rPr>
                <w:sz w:val="22"/>
                <w:szCs w:val="22"/>
              </w:rPr>
              <w:t>Courriel:</w:t>
            </w:r>
            <w:proofErr w:type="gramEnd"/>
          </w:p>
        </w:tc>
        <w:tc>
          <w:tcPr>
            <w:tcW w:w="3275" w:type="dxa"/>
          </w:tcPr>
          <w:p w14:paraId="172249CE" w14:textId="2FAD71DD" w:rsidR="00F60898" w:rsidRPr="009A1034" w:rsidRDefault="00F60898" w:rsidP="009A1034">
            <w:pPr>
              <w:tabs>
                <w:tab w:val="left" w:pos="4111"/>
              </w:tabs>
              <w:spacing w:before="0"/>
              <w:ind w:left="57"/>
              <w:rPr>
                <w:sz w:val="22"/>
                <w:szCs w:val="22"/>
              </w:rPr>
            </w:pPr>
            <w:hyperlink r:id="rId9" w:history="1">
              <w:r w:rsidRPr="009A1034">
                <w:rPr>
                  <w:rStyle w:val="Hyperlink"/>
                  <w:sz w:val="22"/>
                  <w:szCs w:val="22"/>
                </w:rPr>
                <w:t>tsbsg11@itu.int</w:t>
              </w:r>
            </w:hyperlink>
          </w:p>
        </w:tc>
        <w:tc>
          <w:tcPr>
            <w:tcW w:w="5175" w:type="dxa"/>
            <w:vMerge/>
          </w:tcPr>
          <w:p w14:paraId="19762254" w14:textId="7D48E644" w:rsidR="00F60898" w:rsidRPr="009A1034" w:rsidRDefault="00F60898" w:rsidP="009A1034">
            <w:pPr>
              <w:tabs>
                <w:tab w:val="clear" w:pos="794"/>
                <w:tab w:val="left" w:pos="4111"/>
              </w:tabs>
              <w:spacing w:before="0"/>
              <w:ind w:left="426" w:hanging="426"/>
              <w:rPr>
                <w:sz w:val="22"/>
                <w:szCs w:val="22"/>
              </w:rPr>
            </w:pPr>
          </w:p>
        </w:tc>
      </w:tr>
      <w:tr w:rsidR="00597B8A" w:rsidRPr="009A1034" w14:paraId="5435C04A" w14:textId="77777777" w:rsidTr="009A1034">
        <w:trPr>
          <w:cantSplit/>
          <w:trHeight w:val="397"/>
        </w:trPr>
        <w:tc>
          <w:tcPr>
            <w:tcW w:w="0" w:type="auto"/>
          </w:tcPr>
          <w:p w14:paraId="2A0B9B4F" w14:textId="77777777" w:rsidR="00597B8A" w:rsidRPr="009A1034" w:rsidRDefault="00597B8A" w:rsidP="009A1034">
            <w:pPr>
              <w:tabs>
                <w:tab w:val="left" w:pos="4111"/>
              </w:tabs>
              <w:rPr>
                <w:b/>
                <w:bCs/>
                <w:sz w:val="22"/>
                <w:szCs w:val="22"/>
              </w:rPr>
            </w:pPr>
            <w:proofErr w:type="gramStart"/>
            <w:r w:rsidRPr="009A1034">
              <w:rPr>
                <w:b/>
                <w:bCs/>
                <w:sz w:val="22"/>
                <w:szCs w:val="22"/>
              </w:rPr>
              <w:t>Objet:</w:t>
            </w:r>
            <w:proofErr w:type="gramEnd"/>
          </w:p>
        </w:tc>
        <w:tc>
          <w:tcPr>
            <w:tcW w:w="0" w:type="auto"/>
            <w:gridSpan w:val="2"/>
          </w:tcPr>
          <w:p w14:paraId="1A51EE75" w14:textId="3E8DB23F" w:rsidR="00597B8A" w:rsidRPr="009A1034" w:rsidRDefault="00931523" w:rsidP="009A1034">
            <w:pPr>
              <w:tabs>
                <w:tab w:val="left" w:pos="4111"/>
              </w:tabs>
              <w:spacing w:after="120"/>
              <w:ind w:left="57"/>
              <w:rPr>
                <w:b/>
                <w:bCs/>
                <w:sz w:val="22"/>
                <w:szCs w:val="22"/>
              </w:rPr>
            </w:pPr>
            <w:r w:rsidRPr="009A1034">
              <w:rPr>
                <w:b/>
                <w:bCs/>
                <w:sz w:val="22"/>
                <w:szCs w:val="22"/>
              </w:rPr>
              <w:t>Consultation des États Membres au sujet du texte déterminé du projet de Recommandation UIT-T Q.5057 (anciennement Q.GIR) qu'il est proposé d'approuver à la réunion de la Commission d'études 11 de l'UIT-T (prévue à Genève du 14 au 22 juillet 2026</w:t>
            </w:r>
            <w:r w:rsidR="00597B8A" w:rsidRPr="009A1034">
              <w:rPr>
                <w:b/>
                <w:bCs/>
                <w:sz w:val="22"/>
                <w:szCs w:val="22"/>
              </w:rPr>
              <w:t>)</w:t>
            </w:r>
          </w:p>
        </w:tc>
      </w:tr>
    </w:tbl>
    <w:p w14:paraId="2D1EC328" w14:textId="77777777" w:rsidR="00517A03" w:rsidRPr="009A1034" w:rsidRDefault="00517A03" w:rsidP="009A1034">
      <w:pPr>
        <w:pStyle w:val="Normalaftertitle"/>
        <w:spacing w:before="240"/>
        <w:rPr>
          <w:sz w:val="22"/>
          <w:szCs w:val="22"/>
        </w:rPr>
      </w:pPr>
      <w:bookmarkStart w:id="1" w:name="StartTyping_F"/>
      <w:bookmarkEnd w:id="1"/>
      <w:r w:rsidRPr="009A1034">
        <w:rPr>
          <w:sz w:val="22"/>
          <w:szCs w:val="22"/>
        </w:rPr>
        <w:t>Madame, Monsieur,</w:t>
      </w:r>
    </w:p>
    <w:p w14:paraId="02F28B53" w14:textId="2D0FA026" w:rsidR="00931523" w:rsidRPr="009A1034" w:rsidRDefault="00597B8A" w:rsidP="00597B8A">
      <w:pPr>
        <w:rPr>
          <w:bCs/>
          <w:sz w:val="22"/>
          <w:szCs w:val="22"/>
        </w:rPr>
      </w:pPr>
      <w:r w:rsidRPr="009A1034">
        <w:rPr>
          <w:bCs/>
          <w:sz w:val="22"/>
          <w:szCs w:val="22"/>
        </w:rPr>
        <w:t>1</w:t>
      </w:r>
      <w:r w:rsidRPr="009A1034">
        <w:rPr>
          <w:bCs/>
          <w:sz w:val="22"/>
          <w:szCs w:val="22"/>
        </w:rPr>
        <w:tab/>
      </w:r>
      <w:r w:rsidR="00931523" w:rsidRPr="009A1034">
        <w:rPr>
          <w:bCs/>
          <w:sz w:val="22"/>
          <w:szCs w:val="22"/>
        </w:rPr>
        <w:t>La Commission d'études 11 de l'UIT-T (Exigences de signalisation, protocoles, spécifications de test et lutte contre la contrefaçon des dispositifs de télécommunication/TIC) a l'intention d'appliquer la procédure d'approbation traditionnelle énoncée à la section 9 de la Résolution</w:t>
      </w:r>
      <w:r w:rsidR="00F60898" w:rsidRPr="009A1034">
        <w:rPr>
          <w:bCs/>
          <w:sz w:val="22"/>
          <w:szCs w:val="22"/>
        </w:rPr>
        <w:t> </w:t>
      </w:r>
      <w:r w:rsidR="00931523" w:rsidRPr="009A1034">
        <w:rPr>
          <w:bCs/>
          <w:sz w:val="22"/>
          <w:szCs w:val="22"/>
        </w:rPr>
        <w:t>1</w:t>
      </w:r>
      <w:r w:rsidR="00F60898" w:rsidRPr="009A1034">
        <w:rPr>
          <w:bCs/>
          <w:sz w:val="22"/>
          <w:szCs w:val="22"/>
        </w:rPr>
        <w:t> </w:t>
      </w:r>
      <w:r w:rsidR="00931523" w:rsidRPr="009A1034">
        <w:rPr>
          <w:bCs/>
          <w:sz w:val="22"/>
          <w:szCs w:val="22"/>
        </w:rPr>
        <w:t>(Rév. Genève, 2022) de l'AMNT pour l'approbation du projet de Recommandation mentionné ci</w:t>
      </w:r>
      <w:r w:rsidR="00BC4007" w:rsidRPr="009A1034">
        <w:rPr>
          <w:bCs/>
          <w:sz w:val="22"/>
          <w:szCs w:val="22"/>
        </w:rPr>
        <w:noBreakHyphen/>
      </w:r>
      <w:r w:rsidR="00931523" w:rsidRPr="009A1034">
        <w:rPr>
          <w:bCs/>
          <w:sz w:val="22"/>
          <w:szCs w:val="22"/>
        </w:rPr>
        <w:t xml:space="preserve">dessus à sa prochaine réunion, qui se tiendra à Genève, du </w:t>
      </w:r>
      <w:r w:rsidR="00BC4007" w:rsidRPr="009A1034">
        <w:rPr>
          <w:bCs/>
          <w:sz w:val="22"/>
          <w:szCs w:val="22"/>
        </w:rPr>
        <w:t>14</w:t>
      </w:r>
      <w:r w:rsidR="00931523" w:rsidRPr="009A1034">
        <w:rPr>
          <w:bCs/>
          <w:sz w:val="22"/>
          <w:szCs w:val="22"/>
        </w:rPr>
        <w:t xml:space="preserve"> au </w:t>
      </w:r>
      <w:r w:rsidR="00BC4007" w:rsidRPr="009A1034">
        <w:rPr>
          <w:bCs/>
          <w:sz w:val="22"/>
          <w:szCs w:val="22"/>
        </w:rPr>
        <w:t>22</w:t>
      </w:r>
      <w:r w:rsidR="00931523" w:rsidRPr="009A1034">
        <w:rPr>
          <w:bCs/>
          <w:sz w:val="22"/>
          <w:szCs w:val="22"/>
        </w:rPr>
        <w:t xml:space="preserve"> </w:t>
      </w:r>
      <w:r w:rsidR="00BC4007" w:rsidRPr="009A1034">
        <w:rPr>
          <w:bCs/>
          <w:sz w:val="22"/>
          <w:szCs w:val="22"/>
        </w:rPr>
        <w:t>juillet</w:t>
      </w:r>
      <w:r w:rsidR="00931523" w:rsidRPr="009A1034">
        <w:rPr>
          <w:bCs/>
          <w:sz w:val="22"/>
          <w:szCs w:val="22"/>
        </w:rPr>
        <w:t xml:space="preserve"> 2026. L'ordre du jour ainsi que tous les renseignements pertinents concernant la réunion de la Commission d'études 11 de l'UIT-T seront mis à disposition en temps utile.</w:t>
      </w:r>
    </w:p>
    <w:p w14:paraId="41A2444F" w14:textId="77777777" w:rsidR="00931523" w:rsidRPr="009A1034" w:rsidRDefault="00931523" w:rsidP="00931523">
      <w:pPr>
        <w:rPr>
          <w:bCs/>
          <w:sz w:val="22"/>
          <w:szCs w:val="22"/>
        </w:rPr>
      </w:pPr>
      <w:r w:rsidRPr="009A1034">
        <w:rPr>
          <w:bCs/>
          <w:sz w:val="22"/>
          <w:szCs w:val="22"/>
        </w:rPr>
        <w:t>2</w:t>
      </w:r>
      <w:r w:rsidRPr="009A1034">
        <w:rPr>
          <w:bCs/>
          <w:sz w:val="22"/>
          <w:szCs w:val="22"/>
        </w:rPr>
        <w:tab/>
        <w:t>Vous trouverez dans l'</w:t>
      </w:r>
      <w:r w:rsidRPr="009A1034">
        <w:rPr>
          <w:b/>
          <w:sz w:val="22"/>
          <w:szCs w:val="22"/>
        </w:rPr>
        <w:t>Annexe 1</w:t>
      </w:r>
      <w:r w:rsidRPr="009A1034">
        <w:rPr>
          <w:bCs/>
          <w:sz w:val="22"/>
          <w:szCs w:val="22"/>
        </w:rPr>
        <w:t xml:space="preserve"> le titre, le résumé et l'emplacement du projet de Recommandation UIT-T qu'il est proposé d'approuver.</w:t>
      </w:r>
    </w:p>
    <w:p w14:paraId="09237327" w14:textId="6D45289C" w:rsidR="00931523" w:rsidRPr="009A1034" w:rsidRDefault="00931523" w:rsidP="00931523">
      <w:pPr>
        <w:rPr>
          <w:bCs/>
          <w:sz w:val="22"/>
          <w:szCs w:val="22"/>
        </w:rPr>
      </w:pPr>
      <w:r w:rsidRPr="009A1034">
        <w:rPr>
          <w:bCs/>
          <w:sz w:val="22"/>
          <w:szCs w:val="22"/>
        </w:rPr>
        <w:t>3</w:t>
      </w:r>
      <w:r w:rsidRPr="009A1034">
        <w:rPr>
          <w:bCs/>
          <w:sz w:val="22"/>
          <w:szCs w:val="22"/>
        </w:rPr>
        <w:tab/>
        <w:t>La présente circulaire a pour objet d'engager le processus de consultation formelle des États</w:t>
      </w:r>
      <w:r w:rsidR="00F60898" w:rsidRPr="009A1034">
        <w:rPr>
          <w:bCs/>
          <w:sz w:val="22"/>
          <w:szCs w:val="22"/>
        </w:rPr>
        <w:t> </w:t>
      </w:r>
      <w:r w:rsidRPr="009A1034">
        <w:rPr>
          <w:bCs/>
          <w:sz w:val="22"/>
          <w:szCs w:val="22"/>
        </w:rPr>
        <w:t>Membres de l'UIT, qui devront indiquer si ce texte peut être examiné en vue de leur approbation à la prochaine réunion, conformément au paragraphe 9.4 de la Résolution 1. Les</w:t>
      </w:r>
      <w:r w:rsidR="00F60898" w:rsidRPr="009A1034">
        <w:rPr>
          <w:bCs/>
          <w:sz w:val="22"/>
          <w:szCs w:val="22"/>
        </w:rPr>
        <w:t> </w:t>
      </w:r>
      <w:r w:rsidRPr="009A1034">
        <w:rPr>
          <w:bCs/>
          <w:sz w:val="22"/>
          <w:szCs w:val="22"/>
        </w:rPr>
        <w:t>États</w:t>
      </w:r>
      <w:r w:rsidR="00F60898" w:rsidRPr="009A1034">
        <w:rPr>
          <w:bCs/>
          <w:sz w:val="22"/>
          <w:szCs w:val="22"/>
        </w:rPr>
        <w:t> </w:t>
      </w:r>
      <w:r w:rsidRPr="009A1034">
        <w:rPr>
          <w:bCs/>
          <w:sz w:val="22"/>
          <w:szCs w:val="22"/>
        </w:rPr>
        <w:t>Membres sont priés de remplir le formulaire de l'</w:t>
      </w:r>
      <w:r w:rsidRPr="009A1034">
        <w:rPr>
          <w:b/>
          <w:sz w:val="22"/>
          <w:szCs w:val="22"/>
        </w:rPr>
        <w:t xml:space="preserve">Annexe 2 </w:t>
      </w:r>
      <w:r w:rsidRPr="009A1034">
        <w:rPr>
          <w:bCs/>
          <w:sz w:val="22"/>
          <w:szCs w:val="22"/>
        </w:rPr>
        <w:t>et de le renvoyer d'ici au</w:t>
      </w:r>
      <w:r w:rsidR="00F60898" w:rsidRPr="009A1034">
        <w:rPr>
          <w:bCs/>
          <w:sz w:val="22"/>
          <w:szCs w:val="22"/>
        </w:rPr>
        <w:t> </w:t>
      </w:r>
      <w:r w:rsidRPr="009A1034">
        <w:rPr>
          <w:b/>
          <w:sz w:val="22"/>
          <w:szCs w:val="22"/>
        </w:rPr>
        <w:t>2</w:t>
      </w:r>
      <w:r w:rsidR="00F60898" w:rsidRPr="009A1034">
        <w:rPr>
          <w:b/>
          <w:sz w:val="22"/>
          <w:szCs w:val="22"/>
        </w:rPr>
        <w:t> </w:t>
      </w:r>
      <w:r w:rsidRPr="009A1034">
        <w:rPr>
          <w:b/>
          <w:sz w:val="22"/>
          <w:szCs w:val="22"/>
        </w:rPr>
        <w:t>juillet</w:t>
      </w:r>
      <w:r w:rsidR="00F60898" w:rsidRPr="009A1034">
        <w:rPr>
          <w:b/>
          <w:sz w:val="22"/>
          <w:szCs w:val="22"/>
        </w:rPr>
        <w:t> </w:t>
      </w:r>
      <w:r w:rsidRPr="009A1034">
        <w:rPr>
          <w:b/>
          <w:sz w:val="22"/>
          <w:szCs w:val="22"/>
        </w:rPr>
        <w:t>2026</w:t>
      </w:r>
      <w:r w:rsidRPr="009A1034">
        <w:rPr>
          <w:bCs/>
          <w:sz w:val="22"/>
          <w:szCs w:val="22"/>
        </w:rPr>
        <w:t xml:space="preserve"> à 23 h 59 (UTC).</w:t>
      </w:r>
    </w:p>
    <w:p w14:paraId="5E93018C" w14:textId="77777777" w:rsidR="009A1034" w:rsidRDefault="00931523" w:rsidP="009A1034">
      <w:pPr>
        <w:rPr>
          <w:bCs/>
          <w:sz w:val="22"/>
          <w:szCs w:val="22"/>
        </w:rPr>
      </w:pPr>
      <w:r w:rsidRPr="009A1034">
        <w:rPr>
          <w:bCs/>
          <w:sz w:val="22"/>
          <w:szCs w:val="22"/>
        </w:rPr>
        <w:t>4</w:t>
      </w:r>
      <w:r w:rsidRPr="009A1034">
        <w:rPr>
          <w:bCs/>
          <w:sz w:val="22"/>
          <w:szCs w:val="22"/>
        </w:rPr>
        <w:tab/>
        <w:t>Si au moins 70% des réponses des États Membres sont en faveur de l'examen, aux fins d'approbation, de ces textes, une séance plénière sera consacrée à l'application de la procédure d'approbation. Les États Membres qui n'autorisent pas la commission d'études à procéder ainsi doivent informer le Directeur du TSB des motifs de cette décision et lui faire part des éventuelles modifications qui permettraient la poursuite des travaux.</w:t>
      </w:r>
    </w:p>
    <w:p w14:paraId="13AC09D3" w14:textId="161CDBEE" w:rsidR="009A1034" w:rsidRDefault="00931523" w:rsidP="009A1034">
      <w:pPr>
        <w:rPr>
          <w:bCs/>
          <w:sz w:val="22"/>
          <w:szCs w:val="22"/>
        </w:rPr>
      </w:pPr>
      <w:r w:rsidRPr="009A1034">
        <w:rPr>
          <w:bCs/>
          <w:sz w:val="22"/>
          <w:szCs w:val="22"/>
        </w:rPr>
        <w:t>Veuillez agréer, Madame, Monsieur, l'assurance de ma considération distinguée</w:t>
      </w:r>
      <w:r w:rsidR="0064301C" w:rsidRPr="009A1034">
        <w:rPr>
          <w:bCs/>
          <w:sz w:val="22"/>
          <w:szCs w:val="22"/>
        </w:rPr>
        <w:t>.</w:t>
      </w:r>
    </w:p>
    <w:p w14:paraId="1DE06A24" w14:textId="19C9C9E2" w:rsidR="009A1034" w:rsidRDefault="00C237FC" w:rsidP="009A1034">
      <w:pPr>
        <w:spacing w:before="720"/>
        <w:rPr>
          <w:bCs/>
          <w:sz w:val="22"/>
          <w:szCs w:val="22"/>
        </w:rPr>
      </w:pPr>
      <w:r>
        <w:rPr>
          <w:bCs/>
          <w:noProof/>
          <w:sz w:val="22"/>
          <w:szCs w:val="22"/>
        </w:rPr>
        <w:drawing>
          <wp:anchor distT="0" distB="0" distL="114300" distR="114300" simplePos="0" relativeHeight="251658240" behindDoc="1" locked="0" layoutInCell="1" allowOverlap="1" wp14:anchorId="3D33F141" wp14:editId="6368185A">
            <wp:simplePos x="0" y="0"/>
            <wp:positionH relativeFrom="column">
              <wp:posOffset>22860</wp:posOffset>
            </wp:positionH>
            <wp:positionV relativeFrom="paragraph">
              <wp:posOffset>53975</wp:posOffset>
            </wp:positionV>
            <wp:extent cx="692150" cy="330200"/>
            <wp:effectExtent l="0" t="0" r="0" b="0"/>
            <wp:wrapNone/>
            <wp:docPr id="1518041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41311" name="Picture 1518041311"/>
                    <pic:cNvPicPr/>
                  </pic:nvPicPr>
                  <pic:blipFill>
                    <a:blip r:embed="rId10">
                      <a:extLst>
                        <a:ext uri="{28A0092B-C50C-407E-A947-70E740481C1C}">
                          <a14:useLocalDpi xmlns:a14="http://schemas.microsoft.com/office/drawing/2010/main" val="0"/>
                        </a:ext>
                      </a:extLst>
                    </a:blip>
                    <a:stretch>
                      <a:fillRect/>
                    </a:stretch>
                  </pic:blipFill>
                  <pic:spPr>
                    <a:xfrm>
                      <a:off x="0" y="0"/>
                      <a:ext cx="692150" cy="330200"/>
                    </a:xfrm>
                    <a:prstGeom prst="rect">
                      <a:avLst/>
                    </a:prstGeom>
                  </pic:spPr>
                </pic:pic>
              </a:graphicData>
            </a:graphic>
          </wp:anchor>
        </w:drawing>
      </w:r>
      <w:r w:rsidR="0064301C" w:rsidRPr="009A1034">
        <w:rPr>
          <w:bCs/>
          <w:sz w:val="22"/>
          <w:szCs w:val="22"/>
        </w:rPr>
        <w:t>Seizo Onoe</w:t>
      </w:r>
      <w:r w:rsidR="009A1034">
        <w:rPr>
          <w:bCs/>
          <w:sz w:val="22"/>
          <w:szCs w:val="22"/>
        </w:rPr>
        <w:br/>
      </w:r>
      <w:r w:rsidR="00931523" w:rsidRPr="009A1034">
        <w:rPr>
          <w:bCs/>
          <w:sz w:val="22"/>
          <w:szCs w:val="22"/>
        </w:rPr>
        <w:t>Directeur du Bureau de la normalisation</w:t>
      </w:r>
      <w:r w:rsidR="00931523" w:rsidRPr="009A1034">
        <w:rPr>
          <w:bCs/>
          <w:sz w:val="22"/>
          <w:szCs w:val="22"/>
        </w:rPr>
        <w:br/>
        <w:t>des télécommunications</w:t>
      </w:r>
    </w:p>
    <w:p w14:paraId="3DF9BFC0" w14:textId="0DC01B35" w:rsidR="00931523" w:rsidRPr="009A1034" w:rsidRDefault="00931523" w:rsidP="009A1034">
      <w:pPr>
        <w:spacing w:before="360"/>
        <w:rPr>
          <w:bCs/>
          <w:sz w:val="22"/>
          <w:szCs w:val="22"/>
        </w:rPr>
      </w:pPr>
      <w:proofErr w:type="gramStart"/>
      <w:r w:rsidRPr="009A1034">
        <w:rPr>
          <w:b/>
          <w:sz w:val="22"/>
          <w:szCs w:val="22"/>
        </w:rPr>
        <w:t>Annexes</w:t>
      </w:r>
      <w:r w:rsidRPr="009A1034">
        <w:rPr>
          <w:bCs/>
          <w:sz w:val="22"/>
          <w:szCs w:val="22"/>
        </w:rPr>
        <w:t>:</w:t>
      </w:r>
      <w:proofErr w:type="gramEnd"/>
      <w:r w:rsidRPr="009A1034">
        <w:rPr>
          <w:bCs/>
          <w:sz w:val="22"/>
          <w:szCs w:val="22"/>
        </w:rPr>
        <w:t xml:space="preserve"> 2</w:t>
      </w:r>
    </w:p>
    <w:p w14:paraId="70BBBB3E" w14:textId="2EB2F649" w:rsidR="00985CE0" w:rsidRPr="002753E9" w:rsidRDefault="00985CE0" w:rsidP="00597B8A">
      <w:pPr>
        <w:rPr>
          <w:bCs/>
        </w:rPr>
      </w:pPr>
      <w:r w:rsidRPr="002753E9">
        <w:rPr>
          <w:bCs/>
        </w:rPr>
        <w:br w:type="page"/>
      </w:r>
    </w:p>
    <w:p w14:paraId="3B647157" w14:textId="74162694" w:rsidR="00517A03" w:rsidRDefault="00931523" w:rsidP="000B26CE">
      <w:pPr>
        <w:pStyle w:val="AnnexTitle"/>
      </w:pPr>
      <w:r w:rsidRPr="00931523">
        <w:lastRenderedPageBreak/>
        <w:t>Annexe 1</w:t>
      </w:r>
    </w:p>
    <w:p w14:paraId="10D2F620" w14:textId="7C8456B5" w:rsidR="00931523" w:rsidRDefault="00931523" w:rsidP="00BC4007">
      <w:pPr>
        <w:pStyle w:val="AnnexTitle"/>
      </w:pPr>
      <w:r w:rsidRPr="00931523">
        <w:t xml:space="preserve">Résumé et emplacement du texte déterminé du projet de Recommandation </w:t>
      </w:r>
      <w:r w:rsidR="00BC4007">
        <w:br/>
      </w:r>
      <w:r w:rsidRPr="00931523">
        <w:t>UIT-T Q.5057 (anciennement Q.GIR)</w:t>
      </w:r>
    </w:p>
    <w:p w14:paraId="5B468760" w14:textId="2E79FCE9" w:rsidR="00931523" w:rsidRDefault="00931523" w:rsidP="000B26CE">
      <w:pPr>
        <w:pStyle w:val="Heading1"/>
      </w:pPr>
      <w:r w:rsidRPr="00931523">
        <w:t>1</w:t>
      </w:r>
      <w:r w:rsidRPr="00931523">
        <w:tab/>
        <w:t>Projet de nouvelle Recommandation UIT-T Q.5057 (anciennement Q.GIR) [</w:t>
      </w:r>
      <w:hyperlink r:id="rId11" w:history="1">
        <w:r w:rsidR="00F60898">
          <w:rPr>
            <w:rStyle w:val="Hyperlink"/>
          </w:rPr>
          <w:t>SG1</w:t>
        </w:r>
        <w:r w:rsidR="00F60898">
          <w:rPr>
            <w:rStyle w:val="Hyperlink"/>
          </w:rPr>
          <w:t>1</w:t>
        </w:r>
        <w:r w:rsidR="00F60898">
          <w:rPr>
            <w:rStyle w:val="Hyperlink"/>
          </w:rPr>
          <w:t>-R17</w:t>
        </w:r>
      </w:hyperlink>
      <w:r w:rsidRPr="00931523">
        <w:t>]</w:t>
      </w:r>
    </w:p>
    <w:p w14:paraId="229488DE" w14:textId="499B65AD" w:rsidR="00931523" w:rsidRPr="00931523" w:rsidRDefault="00931523" w:rsidP="000F7A96">
      <w:r w:rsidRPr="00931523">
        <w:t>Spécifications techniques du registre mondial d'identités internationales d'équipements mobiles</w:t>
      </w:r>
      <w:r w:rsidR="00464F59">
        <w:t>.</w:t>
      </w:r>
    </w:p>
    <w:p w14:paraId="3753836B" w14:textId="77777777" w:rsidR="00931523" w:rsidRPr="00931523" w:rsidRDefault="00931523" w:rsidP="000B26CE">
      <w:pPr>
        <w:pStyle w:val="headingb"/>
      </w:pPr>
      <w:r w:rsidRPr="00931523">
        <w:t>Résumé</w:t>
      </w:r>
    </w:p>
    <w:p w14:paraId="19E56063" w14:textId="77777777" w:rsidR="00931523" w:rsidRPr="00931523" w:rsidRDefault="00931523" w:rsidP="00931523">
      <w:pPr>
        <w:rPr>
          <w:bCs/>
        </w:rPr>
      </w:pPr>
      <w:r w:rsidRPr="00931523">
        <w:rPr>
          <w:bCs/>
        </w:rPr>
        <w:t>L'utilisation croissante d'équipements fondés sur les technologies de l'information et de la communication (TIC) dans la vie quotidienne s'est accompagnée d'effets secondaires indésirables liés à l'augmentation de la vente, de la circulation et de l'utilisation de dispositifs TIC de contrefaçon sur le marché.</w:t>
      </w:r>
    </w:p>
    <w:p w14:paraId="0FAF7881" w14:textId="77777777" w:rsidR="00931523" w:rsidRPr="00931523" w:rsidRDefault="00931523" w:rsidP="00931523">
      <w:pPr>
        <w:rPr>
          <w:bCs/>
        </w:rPr>
      </w:pPr>
      <w:r w:rsidRPr="00931523">
        <w:rPr>
          <w:bCs/>
        </w:rPr>
        <w:t>Comme indiqué dans la Recommandation [UIT-T Q.5050] relative à un cadre pour des solutions de lutte contre la contrefaçon des dispositifs TIC, cette situation engendre des conséquences négatives pour diverses parties prenantes, telles que les utilisateurs, les opérateurs de réseau, les fabricants de dispositifs authentiques, les négociants et les pouvoirs publics, notamment une diminution de la protection de la sécurité et de la qualité de service pour les utilisateurs, ainsi qu'un manque à gagner pour un éventail de parties prenantes.</w:t>
      </w:r>
    </w:p>
    <w:p w14:paraId="59AEABBA" w14:textId="77777777" w:rsidR="00931523" w:rsidRPr="00931523" w:rsidRDefault="00931523" w:rsidP="00931523">
      <w:pPr>
        <w:rPr>
          <w:bCs/>
        </w:rPr>
      </w:pPr>
      <w:r w:rsidRPr="00931523">
        <w:rPr>
          <w:bCs/>
        </w:rPr>
        <w:t>Le paragraphe 10.1 de la Recommandation [UIT-T Q.5050] porte sur l'"interdiction de l'utilisation d'identificateurs invalides ou correspondant à des dispositifs qui ne sont pas authentiques".</w:t>
      </w:r>
    </w:p>
    <w:p w14:paraId="1CFEE79F" w14:textId="77777777" w:rsidR="00931523" w:rsidRPr="00931523" w:rsidRDefault="00931523" w:rsidP="00931523">
      <w:pPr>
        <w:rPr>
          <w:bCs/>
        </w:rPr>
      </w:pPr>
      <w:r w:rsidRPr="00931523">
        <w:rPr>
          <w:bCs/>
        </w:rPr>
        <w:t>La question de la reprogrammation des identités internationales d'équipement mobile (IMEI) demeurant une préoccupation majeure dans la lutte contre la contrefaçon des dispositifs TIC, on se référera au paragraphe 9.3 de la Recommandation [UIT-T Q.5050], relatif aux identificateurs uniques fiables, qui mentionne que "les dispositifs TIC authentiques doivent avoir des identificateurs uniques et permanents sécurisés, c'est-à-dire que ces identificateurs ne doivent pas pouvoir être modifiés par des entités non autorisées, qu'ils sont uniques pour chaque équipement et qu'ils ont été attribués par l'entité autorisée responsable de cette attribution". Autrement dit, pour pouvoir atténuer les incidences de la reprogrammation d'IMEI, il est nécessaire de repérer qu'une IMEI a été reprogrammée.</w:t>
      </w:r>
    </w:p>
    <w:p w14:paraId="7A088B8F" w14:textId="77777777" w:rsidR="00931523" w:rsidRPr="00931523" w:rsidRDefault="00931523" w:rsidP="00931523">
      <w:pPr>
        <w:rPr>
          <w:bCs/>
        </w:rPr>
      </w:pPr>
      <w:r w:rsidRPr="00931523">
        <w:rPr>
          <w:bCs/>
        </w:rPr>
        <w:t xml:space="preserve">Le cas échéant, le numéro sera soit aléatoire, c'est-à-dire que l'identité sera invalide, soit non authentique, c'est-à-dire que l'identité existera en double ou aura déjà été utilisée, ou bien qu'elle </w:t>
      </w:r>
      <w:proofErr w:type="gramStart"/>
      <w:r w:rsidRPr="00931523">
        <w:rPr>
          <w:bCs/>
        </w:rPr>
        <w:t>sera</w:t>
      </w:r>
      <w:proofErr w:type="gramEnd"/>
      <w:r w:rsidRPr="00931523">
        <w:rPr>
          <w:bCs/>
        </w:rPr>
        <w:t xml:space="preserve"> valide sans avoir pour autant été créée par le fabricant d'équipement d'origine (OEM). On peut détecter une IMEI non valide ou ne disposant pas d'un code d'attribution type (TAC) au moyen du registre des identités d'équipement (EIR) de l'opérateur de réseau mobile (MNO) en établissant une comparaison avec le format IMEI type défini dans le cadre du projet de partenariat de troisième génération (3GPP) et une correspondance avec les informations TAC prévues par l'Association du système mondial de communications mobiles (GSMA). On peut aussi procéder à une vérification des IMEI qui ont déjà été utilisées grâce aux registres centraux d'identités d'équipements (CEIR).</w:t>
      </w:r>
    </w:p>
    <w:p w14:paraId="57BC5F8F" w14:textId="14A94D2E" w:rsidR="00CE0B53" w:rsidRDefault="00931523" w:rsidP="00931523">
      <w:pPr>
        <w:rPr>
          <w:bCs/>
        </w:rPr>
      </w:pPr>
      <w:r w:rsidRPr="00931523">
        <w:rPr>
          <w:bCs/>
        </w:rPr>
        <w:t>Toutefois, le seul moyen pour déterminer qu'une IMEI n'a pas été créée par l'OEM consiste à consulter les registres des IMEI. On y trouvera la liste des IMEI qui ont été créées par les fabricants d'appareils mobiles et mises sur le marché ou des moyens de vérifier si elles ont été créées ou non par les fabricants respectifs en interrogeant en temps réel l'OEM ou le concepteur d'équipement d'origine (ODM) concerné. Certains pays ont peut-être déjà mis en place un registre national des</w:t>
      </w:r>
      <w:r w:rsidR="00CE0B53">
        <w:rPr>
          <w:bCs/>
        </w:rPr>
        <w:t> </w:t>
      </w:r>
      <w:r w:rsidRPr="00931523">
        <w:rPr>
          <w:bCs/>
        </w:rPr>
        <w:t>IMEI, mais le problème persiste pour ce qui est des dispositifs mobiles importés d'autres pays</w:t>
      </w:r>
      <w:r w:rsidR="00CE0B53">
        <w:rPr>
          <w:bCs/>
        </w:rPr>
        <w:br w:type="page"/>
      </w:r>
    </w:p>
    <w:p w14:paraId="34DEF41F" w14:textId="25448274" w:rsidR="00931523" w:rsidRPr="00931523" w:rsidRDefault="00CE0B53" w:rsidP="00931523">
      <w:pPr>
        <w:rPr>
          <w:bCs/>
        </w:rPr>
      </w:pPr>
      <w:proofErr w:type="gramStart"/>
      <w:r>
        <w:rPr>
          <w:bCs/>
        </w:rPr>
        <w:lastRenderedPageBreak/>
        <w:t>ou</w:t>
      </w:r>
      <w:proofErr w:type="gramEnd"/>
      <w:r>
        <w:rPr>
          <w:bCs/>
        </w:rPr>
        <w:t xml:space="preserve"> </w:t>
      </w:r>
      <w:r w:rsidR="00931523" w:rsidRPr="00931523">
        <w:rPr>
          <w:bCs/>
        </w:rPr>
        <w:t>introduits par voie illicite. Le paragraphe 10.2 de la Recommandation [UIT-T Q.5050] fait également référence à la certification des dispositifs TIC en vue d'aider toutes les parties prenantes à vérifier l'authenticité des produits.</w:t>
      </w:r>
    </w:p>
    <w:p w14:paraId="684816CF" w14:textId="77777777" w:rsidR="00931523" w:rsidRPr="00931523" w:rsidRDefault="00931523" w:rsidP="00931523">
      <w:pPr>
        <w:rPr>
          <w:bCs/>
        </w:rPr>
      </w:pPr>
      <w:r w:rsidRPr="00931523">
        <w:rPr>
          <w:bCs/>
        </w:rPr>
        <w:t>On préconise, au titre du paragraphe 7.5 de la Recommandation [UIT-T Q.5052], d'assurer la détection des IMEI en double d'un pays à l'autre. Toutefois, cette mesure concerne les IMEI déjà utilisées par les abonnés et ne porte pas sur les IMEI qui ont été créées mais qui ne sont pas utilisées dans le réseau.</w:t>
      </w:r>
    </w:p>
    <w:p w14:paraId="30A00354" w14:textId="77777777" w:rsidR="00931523" w:rsidRPr="00931523" w:rsidRDefault="00931523" w:rsidP="00931523">
      <w:pPr>
        <w:rPr>
          <w:bCs/>
        </w:rPr>
      </w:pPr>
      <w:r w:rsidRPr="00931523">
        <w:rPr>
          <w:bCs/>
        </w:rPr>
        <w:t>Au titre de sa Résolution 96 [b-AMNT Rés. 96], l'Assemblée mondiale de normalisation des télécommunications (AMNT) a décidé que l'UIT-T devra "envisager des solutions, destinées à différencier les dispositifs de télécommunication/TIC authentiques/véritables des dispositifs contrefaits ayant subi une altération volontaire, par exemple en créant une base de données nationale centralisée de référence des équipements autorisés".</w:t>
      </w:r>
    </w:p>
    <w:p w14:paraId="05AC7839" w14:textId="77777777" w:rsidR="00931523" w:rsidRPr="00931523" w:rsidRDefault="00931523" w:rsidP="00931523">
      <w:pPr>
        <w:rPr>
          <w:bCs/>
        </w:rPr>
      </w:pPr>
      <w:r w:rsidRPr="00931523">
        <w:rPr>
          <w:bCs/>
        </w:rPr>
        <w:t>Au titre de sa Résolution 97 [b-AMNT Rés. 97], l'AMNT a décidé "que l'UIT-T devra, en collaboration avec les organisations de normalisation concernées, concevoir des solutions pour remédier au problème de la copie des identifiants uniques".</w:t>
      </w:r>
    </w:p>
    <w:p w14:paraId="448CD9DB" w14:textId="2F936899" w:rsidR="00931523" w:rsidRPr="00931523" w:rsidRDefault="00931523" w:rsidP="00931523">
      <w:pPr>
        <w:rPr>
          <w:bCs/>
        </w:rPr>
      </w:pPr>
      <w:r w:rsidRPr="00931523">
        <w:rPr>
          <w:bCs/>
        </w:rPr>
        <w:t>Dans ce contexte, le fait de disposer d'un registre mondial des IMEI aidera à résoudre les problèmes que rencontrent les États Membres et les consommateurs, tels que le clonage et le double emploi d'IMEI en raison de la reprogrammation de ces dernières, y compris l'utilisation des</w:t>
      </w:r>
      <w:r w:rsidR="00CE0B53">
        <w:rPr>
          <w:bCs/>
        </w:rPr>
        <w:t> </w:t>
      </w:r>
      <w:r w:rsidRPr="00931523">
        <w:rPr>
          <w:bCs/>
        </w:rPr>
        <w:t>IMEI qui n'ont pas été créées pour le TAC prévu. Les pays participants ou les fabricants de dispositifs eux-mêmes peuvent partager la série d'IMEI produite dans leur pays pour aider tous les autres pays à déceler les dispositifs mobiles de contrefaçon.</w:t>
      </w:r>
    </w:p>
    <w:p w14:paraId="6A8E7468" w14:textId="77777777" w:rsidR="00931523" w:rsidRPr="00931523" w:rsidRDefault="00931523" w:rsidP="00931523">
      <w:pPr>
        <w:rPr>
          <w:bCs/>
        </w:rPr>
      </w:pPr>
      <w:r w:rsidRPr="00931523">
        <w:rPr>
          <w:bCs/>
        </w:rPr>
        <w:t>Aucun document de justification UIT-T A.5 n'a été élaboré pour ce projet de document déterminé.</w:t>
      </w:r>
    </w:p>
    <w:p w14:paraId="45A81BEB" w14:textId="21A58232" w:rsidR="00931523" w:rsidRDefault="00931523" w:rsidP="00931523">
      <w:pPr>
        <w:rPr>
          <w:bCs/>
        </w:rPr>
      </w:pPr>
      <w:r w:rsidRPr="00931523">
        <w:rPr>
          <w:bCs/>
        </w:rPr>
        <w:t xml:space="preserve">NOTE DU TSB – À la date de la présente circulaire, le TSB n'avait reçu aucune déclaration concernant les droits de propriété intellectuelle relative à ce projet de texte. Pour obtenir des renseignements actualisés, les membres sont invités à consulter la base de données relative aux droits de propriété intellectuelle à l'adresse </w:t>
      </w:r>
      <w:hyperlink r:id="rId12" w:history="1">
        <w:r w:rsidR="0034287D" w:rsidRPr="00CE0B53">
          <w:rPr>
            <w:rStyle w:val="Hyperlink"/>
            <w:rFonts w:cstheme="minorHAnsi"/>
            <w:szCs w:val="24"/>
          </w:rPr>
          <w:t>www.itu.int/ipr/</w:t>
        </w:r>
      </w:hyperlink>
      <w:r w:rsidRPr="0034287D">
        <w:rPr>
          <w:bCs/>
          <w:szCs w:val="24"/>
        </w:rPr>
        <w:t>.</w:t>
      </w:r>
      <w:r>
        <w:rPr>
          <w:bCs/>
        </w:rPr>
        <w:br w:type="page"/>
      </w:r>
    </w:p>
    <w:p w14:paraId="159B3673" w14:textId="77777777" w:rsidR="00931523" w:rsidRPr="00931523" w:rsidRDefault="00931523" w:rsidP="000B26CE">
      <w:pPr>
        <w:pStyle w:val="AnnexTitle"/>
      </w:pPr>
      <w:r w:rsidRPr="00931523">
        <w:lastRenderedPageBreak/>
        <w:t xml:space="preserve">Annexe 2 </w:t>
      </w:r>
    </w:p>
    <w:p w14:paraId="0344544C" w14:textId="411166EB" w:rsidR="00931523" w:rsidRDefault="00931523" w:rsidP="000B26CE">
      <w:pPr>
        <w:pStyle w:val="AnnexTitle"/>
      </w:pPr>
      <w:proofErr w:type="gramStart"/>
      <w:r w:rsidRPr="00931523">
        <w:t>Objet:</w:t>
      </w:r>
      <w:proofErr w:type="gramEnd"/>
      <w:r w:rsidRPr="00931523">
        <w:t xml:space="preserve"> Réponse des États Membres à la Circulaire TSB </w:t>
      </w:r>
      <w:proofErr w:type="gramStart"/>
      <w:r w:rsidRPr="00931523">
        <w:t>125:</w:t>
      </w:r>
      <w:proofErr w:type="gramEnd"/>
      <w:r w:rsidRPr="00931523">
        <w:t xml:space="preserve"> Consultation au sujet du texte déterminé du projet de Recommandation UIT-T Q.5057 (anciennement Q.GIR)</w:t>
      </w:r>
    </w:p>
    <w:tbl>
      <w:tblPr>
        <w:tblW w:w="9960" w:type="dxa"/>
        <w:tblInd w:w="-176" w:type="dxa"/>
        <w:tblLayout w:type="fixed"/>
        <w:tblLook w:val="04A0" w:firstRow="1" w:lastRow="0" w:firstColumn="1" w:lastColumn="0" w:noHBand="0" w:noVBand="1"/>
      </w:tblPr>
      <w:tblGrid>
        <w:gridCol w:w="1347"/>
        <w:gridCol w:w="4218"/>
        <w:gridCol w:w="1273"/>
        <w:gridCol w:w="3122"/>
      </w:tblGrid>
      <w:tr w:rsidR="00931523" w:rsidRPr="00781DCE" w14:paraId="40A77225" w14:textId="77777777" w:rsidTr="000B26CE">
        <w:tc>
          <w:tcPr>
            <w:tcW w:w="1347" w:type="dxa"/>
            <w:hideMark/>
          </w:tcPr>
          <w:p w14:paraId="28096A15" w14:textId="77777777" w:rsidR="00931523" w:rsidRPr="000B26CE" w:rsidRDefault="00931523" w:rsidP="002F0C83">
            <w:pPr>
              <w:jc w:val="right"/>
              <w:rPr>
                <w:rFonts w:ascii="Calibri" w:hAnsi="Calibri"/>
                <w:szCs w:val="24"/>
                <w:lang w:val="en-GB"/>
              </w:rPr>
            </w:pPr>
            <w:proofErr w:type="gramStart"/>
            <w:r w:rsidRPr="000B26CE">
              <w:rPr>
                <w:b/>
                <w:bCs/>
                <w:szCs w:val="24"/>
              </w:rPr>
              <w:t>À</w:t>
            </w:r>
            <w:r w:rsidRPr="000B26CE">
              <w:rPr>
                <w:szCs w:val="24"/>
              </w:rPr>
              <w:t>:</w:t>
            </w:r>
            <w:proofErr w:type="gramEnd"/>
          </w:p>
        </w:tc>
        <w:tc>
          <w:tcPr>
            <w:tcW w:w="4218" w:type="dxa"/>
            <w:tcBorders>
              <w:top w:val="nil"/>
              <w:left w:val="nil"/>
              <w:bottom w:val="nil"/>
              <w:right w:val="single" w:sz="8" w:space="0" w:color="auto"/>
            </w:tcBorders>
            <w:hideMark/>
          </w:tcPr>
          <w:p w14:paraId="0C3780F2" w14:textId="77777777" w:rsidR="00931523" w:rsidRPr="000B26CE" w:rsidRDefault="00931523" w:rsidP="002F0C83">
            <w:pPr>
              <w:rPr>
                <w:szCs w:val="24"/>
              </w:rPr>
            </w:pPr>
            <w:r w:rsidRPr="000B26CE">
              <w:rPr>
                <w:color w:val="000000"/>
                <w:szCs w:val="24"/>
              </w:rPr>
              <w:t>Directeur du Bureau de la normalisation des télécommunications</w:t>
            </w:r>
          </w:p>
          <w:p w14:paraId="485A8B2C" w14:textId="77777777" w:rsidR="00931523" w:rsidRPr="000B26CE" w:rsidRDefault="00931523" w:rsidP="002F0C83">
            <w:pPr>
              <w:spacing w:before="0"/>
              <w:rPr>
                <w:szCs w:val="24"/>
              </w:rPr>
            </w:pPr>
            <w:r w:rsidRPr="000B26CE">
              <w:rPr>
                <w:color w:val="000000"/>
                <w:szCs w:val="24"/>
              </w:rPr>
              <w:t>Union internationale des télécommunications</w:t>
            </w:r>
          </w:p>
          <w:p w14:paraId="5499E6DB" w14:textId="77777777" w:rsidR="00931523" w:rsidRPr="000B26CE" w:rsidRDefault="00931523" w:rsidP="002F0C83">
            <w:pPr>
              <w:spacing w:before="0"/>
              <w:rPr>
                <w:szCs w:val="24"/>
              </w:rPr>
            </w:pPr>
            <w:r w:rsidRPr="000B26CE">
              <w:rPr>
                <w:color w:val="000000"/>
                <w:szCs w:val="24"/>
              </w:rPr>
              <w:t>Place des Nations</w:t>
            </w:r>
          </w:p>
          <w:p w14:paraId="2F3A5187" w14:textId="77777777" w:rsidR="00931523" w:rsidRPr="000B26CE" w:rsidRDefault="00931523" w:rsidP="002F0C83">
            <w:pPr>
              <w:spacing w:before="0"/>
              <w:rPr>
                <w:szCs w:val="24"/>
                <w:lang w:val="en-GB"/>
              </w:rPr>
            </w:pPr>
            <w:r w:rsidRPr="000B26CE">
              <w:rPr>
                <w:color w:val="000000"/>
                <w:szCs w:val="24"/>
              </w:rPr>
              <w:t>CH-1211 Genève 20, Suisse</w:t>
            </w:r>
          </w:p>
        </w:tc>
        <w:tc>
          <w:tcPr>
            <w:tcW w:w="1273" w:type="dxa"/>
            <w:tcBorders>
              <w:top w:val="nil"/>
              <w:left w:val="single" w:sz="8" w:space="0" w:color="auto"/>
              <w:bottom w:val="nil"/>
              <w:right w:val="nil"/>
            </w:tcBorders>
            <w:hideMark/>
          </w:tcPr>
          <w:p w14:paraId="6B566615" w14:textId="77777777" w:rsidR="00931523" w:rsidRPr="000B26CE" w:rsidRDefault="00931523" w:rsidP="002F0C83">
            <w:pPr>
              <w:jc w:val="right"/>
              <w:rPr>
                <w:szCs w:val="24"/>
              </w:rPr>
            </w:pPr>
            <w:proofErr w:type="gramStart"/>
            <w:r w:rsidRPr="000B26CE">
              <w:rPr>
                <w:b/>
                <w:bCs/>
                <w:color w:val="000000"/>
                <w:szCs w:val="24"/>
              </w:rPr>
              <w:t>De</w:t>
            </w:r>
            <w:r w:rsidRPr="000B26CE">
              <w:rPr>
                <w:color w:val="000000"/>
                <w:szCs w:val="24"/>
              </w:rPr>
              <w:t>:</w:t>
            </w:r>
            <w:proofErr w:type="gramEnd"/>
          </w:p>
        </w:tc>
        <w:tc>
          <w:tcPr>
            <w:tcW w:w="3122" w:type="dxa"/>
            <w:hideMark/>
          </w:tcPr>
          <w:p w14:paraId="6C971CC0" w14:textId="77777777" w:rsidR="00931523" w:rsidRPr="000B26CE" w:rsidRDefault="00931523" w:rsidP="002F0C83">
            <w:pPr>
              <w:rPr>
                <w:szCs w:val="24"/>
                <w:highlight w:val="green"/>
              </w:rPr>
            </w:pPr>
            <w:r w:rsidRPr="000B26CE">
              <w:rPr>
                <w:color w:val="000000"/>
                <w:szCs w:val="24"/>
                <w:highlight w:val="green"/>
              </w:rPr>
              <w:t>[Nom]</w:t>
            </w:r>
          </w:p>
          <w:p w14:paraId="7C36EBF4" w14:textId="77777777" w:rsidR="00931523" w:rsidRPr="000B26CE" w:rsidRDefault="00931523" w:rsidP="002F0C83">
            <w:pPr>
              <w:spacing w:before="0"/>
              <w:rPr>
                <w:szCs w:val="24"/>
                <w:highlight w:val="green"/>
              </w:rPr>
            </w:pPr>
            <w:r w:rsidRPr="000B26CE">
              <w:rPr>
                <w:color w:val="000000"/>
                <w:szCs w:val="24"/>
                <w:highlight w:val="green"/>
              </w:rPr>
              <w:t>[Rôle/titre officiel]</w:t>
            </w:r>
          </w:p>
          <w:p w14:paraId="6206F9BB" w14:textId="77777777" w:rsidR="00931523" w:rsidRPr="000B26CE" w:rsidRDefault="00931523" w:rsidP="002F0C83">
            <w:pPr>
              <w:spacing w:before="0"/>
              <w:rPr>
                <w:szCs w:val="24"/>
              </w:rPr>
            </w:pPr>
            <w:r w:rsidRPr="000B26CE">
              <w:rPr>
                <w:color w:val="000000"/>
                <w:szCs w:val="24"/>
                <w:highlight w:val="green"/>
              </w:rPr>
              <w:t>[Adresse]</w:t>
            </w:r>
          </w:p>
        </w:tc>
      </w:tr>
      <w:tr w:rsidR="00931523" w:rsidRPr="00781DCE" w14:paraId="3E90B27E" w14:textId="77777777" w:rsidTr="000B26CE">
        <w:tc>
          <w:tcPr>
            <w:tcW w:w="1347" w:type="dxa"/>
            <w:hideMark/>
          </w:tcPr>
          <w:p w14:paraId="1C586F7A" w14:textId="4D95350C" w:rsidR="00931523" w:rsidRPr="000B26CE" w:rsidRDefault="00931523" w:rsidP="000B26CE">
            <w:pPr>
              <w:spacing w:before="0"/>
              <w:jc w:val="right"/>
              <w:rPr>
                <w:szCs w:val="24"/>
                <w:lang w:val="en-GB"/>
              </w:rPr>
            </w:pPr>
            <w:proofErr w:type="gramStart"/>
            <w:r w:rsidRPr="000B26CE">
              <w:rPr>
                <w:b/>
                <w:bCs/>
                <w:color w:val="000000"/>
                <w:szCs w:val="24"/>
              </w:rPr>
              <w:t>Télécopie</w:t>
            </w:r>
            <w:r w:rsidRPr="000B26CE">
              <w:rPr>
                <w:color w:val="000000"/>
                <w:szCs w:val="24"/>
              </w:rPr>
              <w:t>:</w:t>
            </w:r>
            <w:proofErr w:type="gramEnd"/>
          </w:p>
        </w:tc>
        <w:tc>
          <w:tcPr>
            <w:tcW w:w="4218" w:type="dxa"/>
            <w:tcBorders>
              <w:top w:val="nil"/>
              <w:left w:val="nil"/>
              <w:bottom w:val="nil"/>
              <w:right w:val="single" w:sz="8" w:space="0" w:color="auto"/>
            </w:tcBorders>
            <w:hideMark/>
          </w:tcPr>
          <w:p w14:paraId="6E18D6DC" w14:textId="07908043" w:rsidR="00931523" w:rsidRPr="000B26CE" w:rsidRDefault="00931523" w:rsidP="000B26CE">
            <w:pPr>
              <w:spacing w:before="0"/>
              <w:rPr>
                <w:rStyle w:val="Hyperlink"/>
                <w:color w:val="auto"/>
                <w:szCs w:val="24"/>
                <w:u w:val="none"/>
              </w:rPr>
            </w:pPr>
            <w:r w:rsidRPr="000B26CE">
              <w:rPr>
                <w:color w:val="000000"/>
                <w:szCs w:val="24"/>
              </w:rPr>
              <w:t>+41-22-730-5853</w:t>
            </w:r>
          </w:p>
        </w:tc>
        <w:tc>
          <w:tcPr>
            <w:tcW w:w="1273" w:type="dxa"/>
            <w:tcBorders>
              <w:top w:val="nil"/>
              <w:left w:val="single" w:sz="8" w:space="0" w:color="auto"/>
              <w:bottom w:val="nil"/>
              <w:right w:val="nil"/>
            </w:tcBorders>
            <w:hideMark/>
          </w:tcPr>
          <w:p w14:paraId="3EFBBC68" w14:textId="7020FBBA" w:rsidR="00931523" w:rsidRPr="000B26CE" w:rsidRDefault="00931523" w:rsidP="000B26CE">
            <w:pPr>
              <w:spacing w:before="0"/>
              <w:jc w:val="right"/>
              <w:rPr>
                <w:szCs w:val="24"/>
              </w:rPr>
            </w:pPr>
            <w:proofErr w:type="gramStart"/>
            <w:r w:rsidRPr="000B26CE">
              <w:rPr>
                <w:b/>
                <w:bCs/>
                <w:color w:val="000000"/>
                <w:szCs w:val="24"/>
              </w:rPr>
              <w:t>Télécopie</w:t>
            </w:r>
            <w:r w:rsidRPr="000B26CE">
              <w:rPr>
                <w:color w:val="000000"/>
                <w:szCs w:val="24"/>
              </w:rPr>
              <w:t>:</w:t>
            </w:r>
            <w:proofErr w:type="gramEnd"/>
          </w:p>
        </w:tc>
        <w:tc>
          <w:tcPr>
            <w:tcW w:w="3122" w:type="dxa"/>
          </w:tcPr>
          <w:p w14:paraId="5A77BCBE" w14:textId="77777777" w:rsidR="00931523" w:rsidRPr="000B26CE" w:rsidRDefault="00931523" w:rsidP="002F0C83">
            <w:pPr>
              <w:spacing w:before="0"/>
              <w:rPr>
                <w:szCs w:val="24"/>
              </w:rPr>
            </w:pPr>
          </w:p>
        </w:tc>
      </w:tr>
      <w:tr w:rsidR="000B26CE" w:rsidRPr="00781DCE" w14:paraId="59625126" w14:textId="77777777" w:rsidTr="000B26CE">
        <w:tc>
          <w:tcPr>
            <w:tcW w:w="1347" w:type="dxa"/>
          </w:tcPr>
          <w:p w14:paraId="3C3CC398" w14:textId="3A3DB827" w:rsidR="000B26CE" w:rsidRPr="000B26CE" w:rsidRDefault="000B26CE" w:rsidP="000B26CE">
            <w:pPr>
              <w:spacing w:before="0"/>
              <w:jc w:val="right"/>
              <w:rPr>
                <w:b/>
                <w:bCs/>
                <w:color w:val="000000"/>
                <w:szCs w:val="24"/>
              </w:rPr>
            </w:pPr>
            <w:proofErr w:type="gramStart"/>
            <w:r w:rsidRPr="000B26CE">
              <w:rPr>
                <w:b/>
                <w:bCs/>
                <w:color w:val="000000"/>
                <w:szCs w:val="24"/>
              </w:rPr>
              <w:t>Courriel</w:t>
            </w:r>
            <w:r w:rsidRPr="000B26CE">
              <w:rPr>
                <w:color w:val="000000"/>
                <w:szCs w:val="24"/>
              </w:rPr>
              <w:t>:</w:t>
            </w:r>
            <w:proofErr w:type="gramEnd"/>
          </w:p>
        </w:tc>
        <w:tc>
          <w:tcPr>
            <w:tcW w:w="4218" w:type="dxa"/>
            <w:tcBorders>
              <w:top w:val="nil"/>
              <w:left w:val="nil"/>
              <w:bottom w:val="nil"/>
              <w:right w:val="single" w:sz="8" w:space="0" w:color="auto"/>
            </w:tcBorders>
          </w:tcPr>
          <w:p w14:paraId="02286A76" w14:textId="243FAD50" w:rsidR="000B26CE" w:rsidRPr="000B26CE" w:rsidRDefault="000B26CE" w:rsidP="000B26CE">
            <w:pPr>
              <w:spacing w:before="0"/>
              <w:rPr>
                <w:color w:val="000000"/>
                <w:szCs w:val="24"/>
              </w:rPr>
            </w:pPr>
            <w:hyperlink r:id="rId13" w:history="1">
              <w:r w:rsidRPr="000B26CE">
                <w:rPr>
                  <w:rStyle w:val="Hyperlink"/>
                  <w:szCs w:val="24"/>
                </w:rPr>
                <w:t>tsbdir@itu.int</w:t>
              </w:r>
            </w:hyperlink>
          </w:p>
        </w:tc>
        <w:tc>
          <w:tcPr>
            <w:tcW w:w="1273" w:type="dxa"/>
            <w:tcBorders>
              <w:top w:val="nil"/>
              <w:left w:val="single" w:sz="8" w:space="0" w:color="auto"/>
              <w:bottom w:val="nil"/>
              <w:right w:val="nil"/>
            </w:tcBorders>
          </w:tcPr>
          <w:p w14:paraId="6388F08E" w14:textId="5C641BEF" w:rsidR="000B26CE" w:rsidRPr="000B26CE" w:rsidRDefault="000B26CE" w:rsidP="000B26CE">
            <w:pPr>
              <w:spacing w:before="0"/>
              <w:jc w:val="right"/>
              <w:rPr>
                <w:b/>
                <w:bCs/>
                <w:color w:val="000000"/>
                <w:szCs w:val="24"/>
              </w:rPr>
            </w:pPr>
            <w:proofErr w:type="gramStart"/>
            <w:r w:rsidRPr="000B26CE">
              <w:rPr>
                <w:b/>
                <w:bCs/>
                <w:color w:val="000000"/>
                <w:szCs w:val="24"/>
              </w:rPr>
              <w:t>Courriel</w:t>
            </w:r>
            <w:r w:rsidRPr="000B26CE">
              <w:rPr>
                <w:color w:val="000000"/>
                <w:szCs w:val="24"/>
              </w:rPr>
              <w:t>:</w:t>
            </w:r>
            <w:proofErr w:type="gramEnd"/>
          </w:p>
        </w:tc>
        <w:tc>
          <w:tcPr>
            <w:tcW w:w="3122" w:type="dxa"/>
          </w:tcPr>
          <w:p w14:paraId="17816091" w14:textId="77777777" w:rsidR="000B26CE" w:rsidRPr="000B26CE" w:rsidRDefault="000B26CE" w:rsidP="000B26CE">
            <w:pPr>
              <w:spacing w:before="0"/>
              <w:rPr>
                <w:szCs w:val="24"/>
              </w:rPr>
            </w:pPr>
          </w:p>
        </w:tc>
      </w:tr>
      <w:tr w:rsidR="000B26CE" w:rsidRPr="00781DCE" w14:paraId="2DCD8CD5" w14:textId="77777777" w:rsidTr="000B26CE">
        <w:tc>
          <w:tcPr>
            <w:tcW w:w="1347" w:type="dxa"/>
          </w:tcPr>
          <w:p w14:paraId="501C7413" w14:textId="14E3BB03" w:rsidR="000B26CE" w:rsidRPr="000B26CE" w:rsidRDefault="000B26CE" w:rsidP="000B26CE">
            <w:pPr>
              <w:spacing w:before="0"/>
              <w:jc w:val="right"/>
              <w:rPr>
                <w:szCs w:val="24"/>
              </w:rPr>
            </w:pPr>
          </w:p>
        </w:tc>
        <w:tc>
          <w:tcPr>
            <w:tcW w:w="4218" w:type="dxa"/>
            <w:tcBorders>
              <w:top w:val="nil"/>
              <w:left w:val="nil"/>
              <w:bottom w:val="nil"/>
              <w:right w:val="single" w:sz="8" w:space="0" w:color="auto"/>
            </w:tcBorders>
          </w:tcPr>
          <w:p w14:paraId="6E9DD0BF" w14:textId="2698014D" w:rsidR="000B26CE" w:rsidRPr="000B26CE" w:rsidRDefault="000B26CE" w:rsidP="000B26CE">
            <w:pPr>
              <w:spacing w:before="0"/>
              <w:rPr>
                <w:szCs w:val="24"/>
              </w:rPr>
            </w:pPr>
          </w:p>
        </w:tc>
        <w:tc>
          <w:tcPr>
            <w:tcW w:w="1273" w:type="dxa"/>
            <w:tcBorders>
              <w:top w:val="nil"/>
              <w:left w:val="single" w:sz="8" w:space="0" w:color="auto"/>
              <w:bottom w:val="nil"/>
              <w:right w:val="nil"/>
            </w:tcBorders>
            <w:hideMark/>
          </w:tcPr>
          <w:p w14:paraId="375E130B" w14:textId="77777777" w:rsidR="000B26CE" w:rsidRPr="000B26CE" w:rsidRDefault="000B26CE" w:rsidP="000B26CE">
            <w:pPr>
              <w:spacing w:before="0"/>
              <w:jc w:val="right"/>
              <w:rPr>
                <w:szCs w:val="24"/>
              </w:rPr>
            </w:pPr>
            <w:proofErr w:type="gramStart"/>
            <w:r w:rsidRPr="000B26CE">
              <w:rPr>
                <w:b/>
                <w:bCs/>
                <w:color w:val="000000"/>
                <w:szCs w:val="24"/>
              </w:rPr>
              <w:t>Date</w:t>
            </w:r>
            <w:r w:rsidRPr="000B26CE">
              <w:rPr>
                <w:color w:val="000000"/>
                <w:szCs w:val="24"/>
              </w:rPr>
              <w:t>:</w:t>
            </w:r>
            <w:proofErr w:type="gramEnd"/>
          </w:p>
        </w:tc>
        <w:tc>
          <w:tcPr>
            <w:tcW w:w="3122" w:type="dxa"/>
            <w:hideMark/>
          </w:tcPr>
          <w:p w14:paraId="2F0D56F4" w14:textId="77777777" w:rsidR="000B26CE" w:rsidRPr="000B26CE" w:rsidRDefault="000B26CE" w:rsidP="000B26CE">
            <w:pPr>
              <w:spacing w:before="0"/>
              <w:rPr>
                <w:szCs w:val="24"/>
              </w:rPr>
            </w:pPr>
            <w:r w:rsidRPr="000B26CE">
              <w:rPr>
                <w:color w:val="000000"/>
                <w:szCs w:val="24"/>
                <w:highlight w:val="green"/>
              </w:rPr>
              <w:t>[Lieu,] [Date]</w:t>
            </w:r>
          </w:p>
        </w:tc>
      </w:tr>
    </w:tbl>
    <w:p w14:paraId="6AD9B92D" w14:textId="77777777" w:rsidR="000B26CE" w:rsidRPr="000B26CE" w:rsidRDefault="000B26CE" w:rsidP="000B26CE">
      <w:pPr>
        <w:rPr>
          <w:bCs/>
        </w:rPr>
      </w:pPr>
      <w:r w:rsidRPr="000B26CE">
        <w:rPr>
          <w:bCs/>
        </w:rPr>
        <w:t>Madame, Monsieur,</w:t>
      </w:r>
    </w:p>
    <w:p w14:paraId="53A629B3" w14:textId="3DA1ED55" w:rsidR="00931523" w:rsidRDefault="000B26CE" w:rsidP="000B26CE">
      <w:pPr>
        <w:spacing w:after="120"/>
        <w:rPr>
          <w:bCs/>
        </w:rPr>
      </w:pPr>
      <w:r w:rsidRPr="000B26CE">
        <w:rPr>
          <w:bCs/>
        </w:rPr>
        <w:t>Dans le cadre de la consultation des États Membres au sujet du projet de texte déterminé dont il est question dans la Circulaire TSB 125, je vous indique par la présente l'opinion de mon Administration, qui figure dans le tableau ci-après.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173"/>
      </w:tblGrid>
      <w:tr w:rsidR="000B26CE" w:rsidRPr="00781DCE" w14:paraId="32FA6040" w14:textId="77777777" w:rsidTr="002F0C83">
        <w:tc>
          <w:tcPr>
            <w:tcW w:w="2547" w:type="dxa"/>
            <w:tcBorders>
              <w:top w:val="single" w:sz="4" w:space="0" w:color="auto"/>
              <w:left w:val="single" w:sz="4" w:space="0" w:color="auto"/>
              <w:bottom w:val="single" w:sz="4" w:space="0" w:color="auto"/>
              <w:right w:val="single" w:sz="4" w:space="0" w:color="auto"/>
            </w:tcBorders>
            <w:vAlign w:val="center"/>
          </w:tcPr>
          <w:p w14:paraId="2661A0EB" w14:textId="77777777" w:rsidR="000B26CE" w:rsidRPr="000B26CE" w:rsidRDefault="000B26CE" w:rsidP="002F0C83">
            <w:pPr>
              <w:spacing w:before="40" w:after="40"/>
              <w:jc w:val="center"/>
              <w:rPr>
                <w:b/>
                <w:bCs/>
                <w:szCs w:val="24"/>
              </w:rPr>
            </w:pPr>
          </w:p>
        </w:tc>
        <w:tc>
          <w:tcPr>
            <w:tcW w:w="7173" w:type="dxa"/>
            <w:tcBorders>
              <w:top w:val="single" w:sz="4" w:space="0" w:color="auto"/>
              <w:left w:val="single" w:sz="4" w:space="0" w:color="auto"/>
              <w:bottom w:val="single" w:sz="4" w:space="0" w:color="auto"/>
              <w:right w:val="single" w:sz="4" w:space="0" w:color="auto"/>
            </w:tcBorders>
            <w:vAlign w:val="center"/>
            <w:hideMark/>
          </w:tcPr>
          <w:p w14:paraId="0A672B72" w14:textId="77777777" w:rsidR="000B26CE" w:rsidRPr="000B26CE" w:rsidRDefault="000B26CE" w:rsidP="002F0C83">
            <w:pPr>
              <w:tabs>
                <w:tab w:val="left" w:pos="720"/>
              </w:tabs>
              <w:spacing w:before="40" w:after="40"/>
              <w:ind w:left="939" w:hanging="459"/>
              <w:jc w:val="center"/>
              <w:rPr>
                <w:b/>
                <w:bCs/>
                <w:szCs w:val="24"/>
              </w:rPr>
            </w:pPr>
            <w:r w:rsidRPr="000B26CE">
              <w:rPr>
                <w:b/>
                <w:bCs/>
                <w:color w:val="000000"/>
                <w:szCs w:val="24"/>
              </w:rPr>
              <w:t>Cochez l'une des deux cases pour chaque texte</w:t>
            </w:r>
          </w:p>
        </w:tc>
      </w:tr>
      <w:tr w:rsidR="000B26CE" w:rsidRPr="00781DCE" w14:paraId="39E2BDA1" w14:textId="77777777" w:rsidTr="002F0C83">
        <w:trPr>
          <w:trHeight w:val="748"/>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4A4B34B1" w14:textId="77777777" w:rsidR="000B26CE" w:rsidRPr="000B26CE" w:rsidRDefault="000B26CE" w:rsidP="002F0C83">
            <w:pPr>
              <w:spacing w:before="40" w:after="40"/>
              <w:jc w:val="center"/>
              <w:rPr>
                <w:b/>
                <w:bCs/>
                <w:color w:val="000000"/>
                <w:szCs w:val="24"/>
              </w:rPr>
            </w:pPr>
            <w:r w:rsidRPr="000B26CE">
              <w:rPr>
                <w:b/>
                <w:bCs/>
                <w:color w:val="000000"/>
                <w:szCs w:val="24"/>
              </w:rPr>
              <w:t>Projet de nouvelle Recommandation UIT</w:t>
            </w:r>
            <w:r w:rsidRPr="000B26CE">
              <w:rPr>
                <w:b/>
                <w:bCs/>
                <w:color w:val="000000"/>
                <w:szCs w:val="24"/>
              </w:rPr>
              <w:noBreakHyphen/>
              <w:t>T Q.5057</w:t>
            </w:r>
          </w:p>
          <w:p w14:paraId="4231420B" w14:textId="290B47A3" w:rsidR="000B26CE" w:rsidRPr="000B26CE" w:rsidRDefault="000B26CE" w:rsidP="002F0C83">
            <w:pPr>
              <w:spacing w:before="40" w:after="40"/>
              <w:jc w:val="center"/>
              <w:rPr>
                <w:b/>
                <w:bCs/>
                <w:szCs w:val="24"/>
              </w:rPr>
            </w:pPr>
            <w:r w:rsidRPr="000B26CE">
              <w:rPr>
                <w:b/>
                <w:bCs/>
                <w:color w:val="000000"/>
                <w:szCs w:val="24"/>
              </w:rPr>
              <w:t>(</w:t>
            </w:r>
            <w:proofErr w:type="gramStart"/>
            <w:r w:rsidRPr="000B26CE">
              <w:rPr>
                <w:b/>
                <w:bCs/>
                <w:color w:val="000000"/>
                <w:szCs w:val="24"/>
              </w:rPr>
              <w:t>anciennement</w:t>
            </w:r>
            <w:proofErr w:type="gramEnd"/>
            <w:r w:rsidRPr="000B26CE">
              <w:rPr>
                <w:b/>
                <w:bCs/>
                <w:color w:val="000000"/>
                <w:szCs w:val="24"/>
              </w:rPr>
              <w:t xml:space="preserve"> Q.GIR)</w:t>
            </w:r>
          </w:p>
        </w:tc>
        <w:tc>
          <w:tcPr>
            <w:tcW w:w="7173" w:type="dxa"/>
            <w:tcBorders>
              <w:top w:val="single" w:sz="4" w:space="0" w:color="auto"/>
              <w:left w:val="single" w:sz="4" w:space="0" w:color="auto"/>
              <w:bottom w:val="single" w:sz="4" w:space="0" w:color="auto"/>
              <w:right w:val="single" w:sz="4" w:space="0" w:color="auto"/>
            </w:tcBorders>
            <w:vAlign w:val="center"/>
            <w:hideMark/>
          </w:tcPr>
          <w:p w14:paraId="76BF6E5E" w14:textId="77777777" w:rsidR="000B26CE" w:rsidRPr="000B26CE" w:rsidRDefault="000B26CE" w:rsidP="00CE0B53">
            <w:pPr>
              <w:tabs>
                <w:tab w:val="left" w:pos="720"/>
              </w:tabs>
              <w:spacing w:after="40"/>
              <w:ind w:left="459" w:hanging="459"/>
              <w:rPr>
                <w:szCs w:val="24"/>
              </w:rPr>
            </w:pPr>
            <w:r w:rsidRPr="000B26CE">
              <w:rPr>
                <w:szCs w:val="24"/>
              </w:rPr>
              <w:fldChar w:fldCharType="begin">
                <w:ffData>
                  <w:name w:val="Check1"/>
                  <w:enabled/>
                  <w:calcOnExit w:val="0"/>
                  <w:checkBox>
                    <w:sizeAuto/>
                    <w:default w:val="0"/>
                  </w:checkBox>
                </w:ffData>
              </w:fldChar>
            </w:r>
            <w:r w:rsidRPr="000B26CE">
              <w:rPr>
                <w:szCs w:val="24"/>
              </w:rPr>
              <w:instrText xml:space="preserve"> FORMCHECKBOX </w:instrText>
            </w:r>
            <w:r w:rsidRPr="000B26CE">
              <w:rPr>
                <w:szCs w:val="24"/>
              </w:rPr>
            </w:r>
            <w:r w:rsidRPr="000B26CE">
              <w:rPr>
                <w:szCs w:val="24"/>
              </w:rPr>
              <w:fldChar w:fldCharType="separate"/>
            </w:r>
            <w:r w:rsidRPr="000B26CE">
              <w:rPr>
                <w:szCs w:val="24"/>
              </w:rPr>
              <w:fldChar w:fldCharType="end"/>
            </w:r>
            <w:r w:rsidRPr="000B26CE">
              <w:rPr>
                <w:color w:val="000000"/>
                <w:szCs w:val="24"/>
              </w:rPr>
              <w:tab/>
            </w:r>
            <w:r w:rsidRPr="000B26CE">
              <w:rPr>
                <w:b/>
                <w:bCs/>
                <w:color w:val="000000"/>
                <w:szCs w:val="24"/>
              </w:rPr>
              <w:t xml:space="preserve">Autorise </w:t>
            </w:r>
            <w:r w:rsidRPr="000B26CE">
              <w:rPr>
                <w:color w:val="000000"/>
                <w:szCs w:val="24"/>
              </w:rPr>
              <w:t>la Commission d'études 11 à procéder à l'examen de ce document en vue de son approbation (dans ce cas, sélectionnez l'une des deux options ⃝</w:t>
            </w:r>
            <w:proofErr w:type="gramStart"/>
            <w:r w:rsidRPr="000B26CE">
              <w:rPr>
                <w:color w:val="000000"/>
                <w:szCs w:val="24"/>
              </w:rPr>
              <w:t>):</w:t>
            </w:r>
            <w:proofErr w:type="gramEnd"/>
          </w:p>
          <w:p w14:paraId="28FA0C34" w14:textId="77777777" w:rsidR="000B26CE" w:rsidRPr="000B26CE" w:rsidRDefault="000B26CE" w:rsidP="002F0C83">
            <w:pPr>
              <w:tabs>
                <w:tab w:val="clear" w:pos="794"/>
              </w:tabs>
              <w:spacing w:before="40" w:after="40"/>
              <w:ind w:left="939" w:hanging="459"/>
              <w:rPr>
                <w:szCs w:val="24"/>
              </w:rPr>
            </w:pPr>
            <w:r w:rsidRPr="000B26CE">
              <w:rPr>
                <w:color w:val="000000"/>
                <w:szCs w:val="24"/>
              </w:rPr>
              <w:t>⃝</w:t>
            </w:r>
            <w:r w:rsidRPr="000B26CE">
              <w:rPr>
                <w:color w:val="000000"/>
                <w:szCs w:val="24"/>
              </w:rPr>
              <w:tab/>
              <w:t>Pas de commentaire ou de proposition de modification.</w:t>
            </w:r>
          </w:p>
          <w:p w14:paraId="1BB2EAB4" w14:textId="77777777" w:rsidR="000B26CE" w:rsidRPr="000B26CE" w:rsidRDefault="000B26CE" w:rsidP="00CE0B53">
            <w:pPr>
              <w:tabs>
                <w:tab w:val="clear" w:pos="794"/>
              </w:tabs>
              <w:spacing w:before="40" w:after="120"/>
              <w:ind w:left="939" w:hanging="459"/>
              <w:rPr>
                <w:szCs w:val="24"/>
              </w:rPr>
            </w:pPr>
            <w:r w:rsidRPr="000B26CE">
              <w:rPr>
                <w:color w:val="000000"/>
                <w:szCs w:val="24"/>
              </w:rPr>
              <w:t>⃝</w:t>
            </w:r>
            <w:r w:rsidRPr="000B26CE">
              <w:rPr>
                <w:color w:val="000000"/>
                <w:szCs w:val="24"/>
              </w:rPr>
              <w:tab/>
              <w:t>Des commentaires ou propositions de modification sont joints à la présente.</w:t>
            </w:r>
          </w:p>
        </w:tc>
      </w:tr>
      <w:tr w:rsidR="000B26CE" w:rsidRPr="00781DCE" w14:paraId="22EBCDE2" w14:textId="77777777" w:rsidTr="002F0C83">
        <w:trPr>
          <w:trHeight w:val="747"/>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A9192D8" w14:textId="77777777" w:rsidR="000B26CE" w:rsidRPr="000B26CE" w:rsidRDefault="000B26CE" w:rsidP="002F0C83">
            <w:pPr>
              <w:tabs>
                <w:tab w:val="clear" w:pos="794"/>
                <w:tab w:val="clear" w:pos="1191"/>
                <w:tab w:val="clear" w:pos="1588"/>
                <w:tab w:val="clear" w:pos="1985"/>
              </w:tabs>
              <w:overflowPunct/>
              <w:autoSpaceDE/>
              <w:autoSpaceDN/>
              <w:adjustRightInd/>
              <w:spacing w:before="0"/>
              <w:rPr>
                <w:rFonts w:ascii="Calibri" w:hAnsi="Calibri"/>
                <w:b/>
                <w:bCs/>
                <w:szCs w:val="24"/>
              </w:rPr>
            </w:pPr>
          </w:p>
        </w:tc>
        <w:tc>
          <w:tcPr>
            <w:tcW w:w="7173" w:type="dxa"/>
            <w:tcBorders>
              <w:top w:val="single" w:sz="4" w:space="0" w:color="auto"/>
              <w:left w:val="single" w:sz="4" w:space="0" w:color="auto"/>
              <w:bottom w:val="single" w:sz="4" w:space="0" w:color="auto"/>
              <w:right w:val="single" w:sz="4" w:space="0" w:color="auto"/>
            </w:tcBorders>
            <w:vAlign w:val="center"/>
            <w:hideMark/>
          </w:tcPr>
          <w:p w14:paraId="4DBB3BA3" w14:textId="77777777" w:rsidR="000B26CE" w:rsidRPr="000B26CE" w:rsidRDefault="000B26CE" w:rsidP="00CE0B53">
            <w:pPr>
              <w:tabs>
                <w:tab w:val="left" w:pos="250"/>
              </w:tabs>
              <w:spacing w:after="120"/>
              <w:ind w:left="459" w:hanging="459"/>
              <w:rPr>
                <w:szCs w:val="24"/>
              </w:rPr>
            </w:pPr>
            <w:r w:rsidRPr="000B26CE">
              <w:rPr>
                <w:szCs w:val="24"/>
              </w:rPr>
              <w:fldChar w:fldCharType="begin">
                <w:ffData>
                  <w:name w:val="Check1"/>
                  <w:enabled/>
                  <w:calcOnExit w:val="0"/>
                  <w:checkBox>
                    <w:sizeAuto/>
                    <w:default w:val="0"/>
                  </w:checkBox>
                </w:ffData>
              </w:fldChar>
            </w:r>
            <w:r w:rsidRPr="000B26CE">
              <w:rPr>
                <w:szCs w:val="24"/>
              </w:rPr>
              <w:instrText xml:space="preserve"> FORMCHECKBOX </w:instrText>
            </w:r>
            <w:r w:rsidRPr="000B26CE">
              <w:rPr>
                <w:szCs w:val="24"/>
              </w:rPr>
            </w:r>
            <w:r w:rsidRPr="000B26CE">
              <w:rPr>
                <w:szCs w:val="24"/>
              </w:rPr>
              <w:fldChar w:fldCharType="separate"/>
            </w:r>
            <w:r w:rsidRPr="000B26CE">
              <w:rPr>
                <w:szCs w:val="24"/>
              </w:rPr>
              <w:fldChar w:fldCharType="end"/>
            </w:r>
            <w:r w:rsidRPr="000B26CE">
              <w:rPr>
                <w:color w:val="000000"/>
                <w:szCs w:val="24"/>
              </w:rPr>
              <w:tab/>
            </w:r>
            <w:r w:rsidRPr="000B26CE">
              <w:rPr>
                <w:b/>
                <w:bCs/>
                <w:color w:val="000000"/>
                <w:szCs w:val="24"/>
              </w:rPr>
              <w:t>N'autorise pas</w:t>
            </w:r>
            <w:r w:rsidRPr="000B26CE">
              <w:rPr>
                <w:color w:val="000000"/>
                <w:szCs w:val="24"/>
              </w:rPr>
              <w:t xml:space="preserve"> la Commission d'études 11 à procéder à l'examen de ce document en vue de son approbation (les motifs de cette décision et une description des éventuelles modifications qui permettraient la poursuite des travaux sont joints à la présente).</w:t>
            </w:r>
          </w:p>
        </w:tc>
      </w:tr>
    </w:tbl>
    <w:p w14:paraId="0973D725" w14:textId="77777777" w:rsidR="000B26CE" w:rsidRPr="000B26CE" w:rsidRDefault="000B26CE" w:rsidP="000B26CE">
      <w:pPr>
        <w:keepNext/>
        <w:rPr>
          <w:rFonts w:ascii="Calibri" w:hAnsi="Calibri"/>
          <w:szCs w:val="24"/>
        </w:rPr>
      </w:pPr>
      <w:r w:rsidRPr="000B26CE">
        <w:rPr>
          <w:szCs w:val="24"/>
        </w:rPr>
        <w:t>Veuillez agréer, Madame, Monsieur, l'assurance de ma considération distinguée.</w:t>
      </w:r>
    </w:p>
    <w:p w14:paraId="3C116010" w14:textId="77777777" w:rsidR="000B26CE" w:rsidRPr="00464F59" w:rsidRDefault="000B26CE" w:rsidP="000B26CE">
      <w:pPr>
        <w:spacing w:before="840"/>
        <w:rPr>
          <w:szCs w:val="24"/>
          <w:highlight w:val="green"/>
        </w:rPr>
      </w:pPr>
      <w:r w:rsidRPr="00464F59">
        <w:rPr>
          <w:szCs w:val="24"/>
          <w:highlight w:val="green"/>
        </w:rPr>
        <w:t>[Nom]</w:t>
      </w:r>
    </w:p>
    <w:p w14:paraId="019F1371" w14:textId="77777777" w:rsidR="000B26CE" w:rsidRPr="00464F59" w:rsidRDefault="000B26CE" w:rsidP="000B26CE">
      <w:pPr>
        <w:rPr>
          <w:szCs w:val="24"/>
        </w:rPr>
      </w:pPr>
      <w:r w:rsidRPr="00464F59">
        <w:rPr>
          <w:szCs w:val="24"/>
          <w:highlight w:val="green"/>
        </w:rPr>
        <w:t>[Rôle/titre officiel]</w:t>
      </w:r>
    </w:p>
    <w:p w14:paraId="6867E7B2" w14:textId="0452CCD1" w:rsidR="000B26CE" w:rsidRPr="00CE0B53" w:rsidRDefault="000B26CE" w:rsidP="00CE0B53">
      <w:pPr>
        <w:pStyle w:val="Reasons"/>
        <w:rPr>
          <w:rFonts w:ascii="Calibri" w:hAnsi="Calibri" w:cs="Calibri"/>
          <w:szCs w:val="24"/>
          <w:lang w:val="fr-FR"/>
        </w:rPr>
      </w:pPr>
      <w:r w:rsidRPr="00F60898">
        <w:rPr>
          <w:rFonts w:ascii="Calibri" w:hAnsi="Calibri" w:cs="Calibri"/>
          <w:szCs w:val="24"/>
          <w:lang w:val="fr-FR"/>
        </w:rPr>
        <w:t xml:space="preserve">Administration de </w:t>
      </w:r>
      <w:r w:rsidRPr="00F60898">
        <w:rPr>
          <w:rFonts w:ascii="Calibri" w:hAnsi="Calibri" w:cs="Calibri"/>
          <w:szCs w:val="24"/>
          <w:highlight w:val="green"/>
          <w:lang w:val="fr-FR"/>
        </w:rPr>
        <w:t>[État Membre]</w:t>
      </w:r>
    </w:p>
    <w:sectPr w:rsidR="000B26CE" w:rsidRPr="00CE0B53" w:rsidSect="009A1034">
      <w:headerReference w:type="default" r:id="rId14"/>
      <w:footerReference w:type="first" r:id="rId15"/>
      <w:pgSz w:w="11907" w:h="16840" w:code="9"/>
      <w:pgMar w:top="1134" w:right="1089" w:bottom="810"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0B836DF8"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29EB1722" w:rsidR="00697BC1" w:rsidRPr="00697BC1" w:rsidRDefault="00C237FC"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F60898">
      <w:rPr>
        <w:noProof/>
        <w:sz w:val="18"/>
        <w:szCs w:val="16"/>
      </w:rPr>
      <w:t>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10DE5738"/>
    <w:multiLevelType w:val="hybridMultilevel"/>
    <w:tmpl w:val="8F06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C5A77C7"/>
    <w:multiLevelType w:val="hybridMultilevel"/>
    <w:tmpl w:val="D674AC54"/>
    <w:lvl w:ilvl="0" w:tplc="CD84F918">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434934">
    <w:abstractNumId w:val="1"/>
  </w:num>
  <w:num w:numId="2" w16cid:durableId="35007920">
    <w:abstractNumId w:val="4"/>
  </w:num>
  <w:num w:numId="3" w16cid:durableId="996959408">
    <w:abstractNumId w:val="3"/>
  </w:num>
  <w:num w:numId="4" w16cid:durableId="539124126">
    <w:abstractNumId w:val="0"/>
  </w:num>
  <w:num w:numId="5" w16cid:durableId="88503346">
    <w:abstractNumId w:val="5"/>
  </w:num>
  <w:num w:numId="6" w16cid:durableId="1307592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26CE"/>
    <w:rsid w:val="000B59D8"/>
    <w:rsid w:val="000C1F6B"/>
    <w:rsid w:val="000C25CC"/>
    <w:rsid w:val="000C56BE"/>
    <w:rsid w:val="000F7A96"/>
    <w:rsid w:val="001026FD"/>
    <w:rsid w:val="001077FD"/>
    <w:rsid w:val="00115DD7"/>
    <w:rsid w:val="00167472"/>
    <w:rsid w:val="00167F92"/>
    <w:rsid w:val="00173738"/>
    <w:rsid w:val="001B79A3"/>
    <w:rsid w:val="002152A3"/>
    <w:rsid w:val="0023667A"/>
    <w:rsid w:val="002753E9"/>
    <w:rsid w:val="002937DB"/>
    <w:rsid w:val="002E2F1E"/>
    <w:rsid w:val="002E395D"/>
    <w:rsid w:val="00307FB4"/>
    <w:rsid w:val="003131F0"/>
    <w:rsid w:val="00333A80"/>
    <w:rsid w:val="00341117"/>
    <w:rsid w:val="0034287D"/>
    <w:rsid w:val="00364E95"/>
    <w:rsid w:val="00372875"/>
    <w:rsid w:val="003742F8"/>
    <w:rsid w:val="0039468D"/>
    <w:rsid w:val="003B1E80"/>
    <w:rsid w:val="003B66E8"/>
    <w:rsid w:val="003E66AD"/>
    <w:rsid w:val="004033F1"/>
    <w:rsid w:val="00414B0C"/>
    <w:rsid w:val="00423C21"/>
    <w:rsid w:val="004257AC"/>
    <w:rsid w:val="0043711B"/>
    <w:rsid w:val="004419E9"/>
    <w:rsid w:val="00445B68"/>
    <w:rsid w:val="00464F59"/>
    <w:rsid w:val="0048088B"/>
    <w:rsid w:val="004977C9"/>
    <w:rsid w:val="004B732E"/>
    <w:rsid w:val="004D51F4"/>
    <w:rsid w:val="004D64E0"/>
    <w:rsid w:val="005120A2"/>
    <w:rsid w:val="0051210D"/>
    <w:rsid w:val="005136D2"/>
    <w:rsid w:val="00517A03"/>
    <w:rsid w:val="00597B8A"/>
    <w:rsid w:val="005A3DD9"/>
    <w:rsid w:val="005B1DFC"/>
    <w:rsid w:val="00601682"/>
    <w:rsid w:val="00603470"/>
    <w:rsid w:val="00625E79"/>
    <w:rsid w:val="006333F7"/>
    <w:rsid w:val="0063456B"/>
    <w:rsid w:val="006427A1"/>
    <w:rsid w:val="0064301C"/>
    <w:rsid w:val="00644741"/>
    <w:rsid w:val="00697BC1"/>
    <w:rsid w:val="006A6FFE"/>
    <w:rsid w:val="006C5A91"/>
    <w:rsid w:val="006F52F7"/>
    <w:rsid w:val="00716BBC"/>
    <w:rsid w:val="007321BC"/>
    <w:rsid w:val="00743FD4"/>
    <w:rsid w:val="00760063"/>
    <w:rsid w:val="00775E4B"/>
    <w:rsid w:val="0079553B"/>
    <w:rsid w:val="00795679"/>
    <w:rsid w:val="007A40FE"/>
    <w:rsid w:val="00810105"/>
    <w:rsid w:val="008157E0"/>
    <w:rsid w:val="00850477"/>
    <w:rsid w:val="00854E1D"/>
    <w:rsid w:val="00887FA6"/>
    <w:rsid w:val="008C4397"/>
    <w:rsid w:val="008C465A"/>
    <w:rsid w:val="008F2C9B"/>
    <w:rsid w:val="00900F93"/>
    <w:rsid w:val="00923CD6"/>
    <w:rsid w:val="00931523"/>
    <w:rsid w:val="00935AA8"/>
    <w:rsid w:val="00937252"/>
    <w:rsid w:val="00971C9A"/>
    <w:rsid w:val="00981564"/>
    <w:rsid w:val="00985CE0"/>
    <w:rsid w:val="009A1034"/>
    <w:rsid w:val="009D51FA"/>
    <w:rsid w:val="009F1E23"/>
    <w:rsid w:val="00A05799"/>
    <w:rsid w:val="00A15179"/>
    <w:rsid w:val="00A51537"/>
    <w:rsid w:val="00A5280F"/>
    <w:rsid w:val="00A5645A"/>
    <w:rsid w:val="00A60FC1"/>
    <w:rsid w:val="00A97C37"/>
    <w:rsid w:val="00AA131B"/>
    <w:rsid w:val="00AC37B5"/>
    <w:rsid w:val="00AD752F"/>
    <w:rsid w:val="00AF08A4"/>
    <w:rsid w:val="00AF0D7D"/>
    <w:rsid w:val="00B27B41"/>
    <w:rsid w:val="00B4046E"/>
    <w:rsid w:val="00B42659"/>
    <w:rsid w:val="00B46F2D"/>
    <w:rsid w:val="00B60868"/>
    <w:rsid w:val="00B8573E"/>
    <w:rsid w:val="00BB24C0"/>
    <w:rsid w:val="00BC4007"/>
    <w:rsid w:val="00BD6ECF"/>
    <w:rsid w:val="00C237FC"/>
    <w:rsid w:val="00C26F2E"/>
    <w:rsid w:val="00C302E3"/>
    <w:rsid w:val="00C41B89"/>
    <w:rsid w:val="00C45376"/>
    <w:rsid w:val="00C466F1"/>
    <w:rsid w:val="00C5541E"/>
    <w:rsid w:val="00C9028F"/>
    <w:rsid w:val="00CA0416"/>
    <w:rsid w:val="00CB1125"/>
    <w:rsid w:val="00CB4E80"/>
    <w:rsid w:val="00CD042E"/>
    <w:rsid w:val="00CE0B53"/>
    <w:rsid w:val="00CF2560"/>
    <w:rsid w:val="00CF5B46"/>
    <w:rsid w:val="00D46B68"/>
    <w:rsid w:val="00D542A5"/>
    <w:rsid w:val="00DC3D47"/>
    <w:rsid w:val="00DD77DA"/>
    <w:rsid w:val="00E06C61"/>
    <w:rsid w:val="00E13DB3"/>
    <w:rsid w:val="00E2408B"/>
    <w:rsid w:val="00E62CEA"/>
    <w:rsid w:val="00E72AE1"/>
    <w:rsid w:val="00E84A0A"/>
    <w:rsid w:val="00ED6A7A"/>
    <w:rsid w:val="00EE4C36"/>
    <w:rsid w:val="00EF6A23"/>
    <w:rsid w:val="00F1557E"/>
    <w:rsid w:val="00F346CE"/>
    <w:rsid w:val="00F34F98"/>
    <w:rsid w:val="00F40540"/>
    <w:rsid w:val="00F60898"/>
    <w:rsid w:val="00F67402"/>
    <w:rsid w:val="00F766A2"/>
    <w:rsid w:val="00F9451D"/>
    <w:rsid w:val="00FD362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table" w:styleId="TableGrid">
    <w:name w:val="Table Grid"/>
    <w:basedOn w:val="TableNormal"/>
    <w:rsid w:val="00597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34287D"/>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bdir@itu.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fr/ITU-T/ipr/Pages/default.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1-R-0017/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sbsg11@itu.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51</TotalTime>
  <Pages>4</Pages>
  <Words>1499</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Manager>ITU-T</Manager>
  <Company>International Telecommunication Union (ITU)</Company>
  <LinksUpToDate>false</LinksUpToDate>
  <CharactersWithSpaces>10302</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French</dc:creator>
  <dc:description>2600769F.docx  For: _x000d_Document date: _x000d_Saved by ITU51018020 at 13:43:16 on 13.04.26</dc:description>
  <cp:lastModifiedBy>Braud, Olivia</cp:lastModifiedBy>
  <cp:revision>17</cp:revision>
  <cp:lastPrinted>2026-04-13T13:12:00Z</cp:lastPrinted>
  <dcterms:created xsi:type="dcterms:W3CDTF">2026-04-07T05:20:00Z</dcterms:created>
  <dcterms:modified xsi:type="dcterms:W3CDTF">2026-04-13T13:13:00Z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2600769F.docx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