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1" w:type="dxa"/>
        <w:tblLayout w:type="fixed"/>
        <w:tblLook w:val="0000" w:firstRow="0" w:lastRow="0" w:firstColumn="0" w:lastColumn="0" w:noHBand="0" w:noVBand="0"/>
      </w:tblPr>
      <w:tblGrid>
        <w:gridCol w:w="1170"/>
        <w:gridCol w:w="16"/>
        <w:gridCol w:w="3402"/>
        <w:gridCol w:w="3119"/>
        <w:gridCol w:w="1984"/>
      </w:tblGrid>
      <w:tr w:rsidR="00852B82" w:rsidRPr="004572F7" w14:paraId="595066DE" w14:textId="77777777" w:rsidTr="002113B3">
        <w:trPr>
          <w:trHeight w:val="1282"/>
        </w:trPr>
        <w:tc>
          <w:tcPr>
            <w:tcW w:w="1186" w:type="dxa"/>
            <w:gridSpan w:val="2"/>
            <w:tcMar>
              <w:left w:w="0" w:type="dxa"/>
              <w:right w:w="0" w:type="dxa"/>
            </w:tcMar>
            <w:vAlign w:val="center"/>
          </w:tcPr>
          <w:p w14:paraId="26606B40" w14:textId="77777777" w:rsidR="00852B82" w:rsidRPr="004572F7" w:rsidRDefault="00607E07" w:rsidP="002113B3">
            <w:pPr>
              <w:pStyle w:val="Tabletext"/>
              <w:jc w:val="center"/>
            </w:pPr>
            <w:r w:rsidRPr="004572F7">
              <w:rPr>
                <w:noProof/>
                <w:lang w:eastAsia="en-GB"/>
              </w:rPr>
              <w:drawing>
                <wp:inline distT="0" distB="0" distL="0" distR="0" wp14:anchorId="58240479" wp14:editId="78CC6C3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4572F7" w:rsidRDefault="00691DAA" w:rsidP="002113B3">
            <w:pPr>
              <w:spacing w:before="0"/>
              <w:rPr>
                <w:rFonts w:cs="Times New Roman Bold"/>
                <w:b/>
                <w:bCs/>
                <w:smallCaps/>
                <w:sz w:val="26"/>
                <w:szCs w:val="26"/>
              </w:rPr>
            </w:pPr>
            <w:r w:rsidRPr="004572F7">
              <w:rPr>
                <w:rFonts w:cs="Times New Roman Bold"/>
                <w:b/>
                <w:bCs/>
                <w:smallCaps/>
                <w:sz w:val="36"/>
                <w:szCs w:val="36"/>
              </w:rPr>
              <w:t>International telecommunication union</w:t>
            </w:r>
          </w:p>
          <w:p w14:paraId="6BF57C6E" w14:textId="77777777" w:rsidR="00852B82" w:rsidRPr="004572F7" w:rsidRDefault="00691DAA" w:rsidP="002113B3">
            <w:pPr>
              <w:spacing w:before="0"/>
              <w:rPr>
                <w:rFonts w:ascii="Verdana" w:hAnsi="Verdana"/>
                <w:color w:val="FFFFFF"/>
                <w:sz w:val="26"/>
                <w:szCs w:val="26"/>
              </w:rPr>
            </w:pPr>
            <w:r w:rsidRPr="004572F7">
              <w:rPr>
                <w:rFonts w:cs="Times New Roman Bold"/>
                <w:b/>
                <w:bCs/>
                <w:iCs/>
                <w:smallCaps/>
                <w:sz w:val="28"/>
                <w:szCs w:val="28"/>
              </w:rPr>
              <w:t>Telecommunication Standardization Bureau</w:t>
            </w:r>
          </w:p>
        </w:tc>
        <w:tc>
          <w:tcPr>
            <w:tcW w:w="1984" w:type="dxa"/>
            <w:vAlign w:val="center"/>
          </w:tcPr>
          <w:p w14:paraId="43B3870A" w14:textId="77777777" w:rsidR="00852B82" w:rsidRPr="004572F7" w:rsidRDefault="00852B82" w:rsidP="002113B3">
            <w:pPr>
              <w:spacing w:before="0"/>
              <w:jc w:val="right"/>
              <w:rPr>
                <w:rFonts w:ascii="Verdana" w:hAnsi="Verdana"/>
                <w:color w:val="FFFFFF"/>
                <w:sz w:val="26"/>
                <w:szCs w:val="26"/>
              </w:rPr>
            </w:pPr>
          </w:p>
        </w:tc>
      </w:tr>
      <w:tr w:rsidR="00852B82" w:rsidRPr="004572F7" w14:paraId="4882C087" w14:textId="77777777" w:rsidTr="002113B3">
        <w:trPr>
          <w:trHeight w:val="80"/>
        </w:trPr>
        <w:tc>
          <w:tcPr>
            <w:tcW w:w="4588" w:type="dxa"/>
            <w:gridSpan w:val="3"/>
            <w:vAlign w:val="center"/>
          </w:tcPr>
          <w:p w14:paraId="7C87437D" w14:textId="77777777" w:rsidR="00852B82" w:rsidRPr="004572F7" w:rsidRDefault="00852B82" w:rsidP="002113B3">
            <w:pPr>
              <w:pStyle w:val="Tabletext"/>
              <w:spacing w:after="60"/>
              <w:jc w:val="right"/>
              <w:rPr>
                <w:rFonts w:asciiTheme="minorHAnsi" w:hAnsiTheme="minorHAnsi" w:cstheme="minorHAnsi"/>
                <w:sz w:val="22"/>
                <w:szCs w:val="22"/>
              </w:rPr>
            </w:pPr>
          </w:p>
        </w:tc>
        <w:tc>
          <w:tcPr>
            <w:tcW w:w="5103" w:type="dxa"/>
            <w:gridSpan w:val="2"/>
            <w:vAlign w:val="center"/>
          </w:tcPr>
          <w:p w14:paraId="6C350160" w14:textId="57244D70" w:rsidR="00852B82" w:rsidRPr="004572F7" w:rsidRDefault="009354E6" w:rsidP="002113B3">
            <w:pPr>
              <w:pStyle w:val="Tabletext"/>
              <w:spacing w:before="120" w:after="60"/>
              <w:rPr>
                <w:rFonts w:asciiTheme="minorHAnsi" w:hAnsiTheme="minorHAnsi" w:cstheme="minorHAnsi"/>
                <w:sz w:val="22"/>
                <w:szCs w:val="22"/>
              </w:rPr>
            </w:pPr>
            <w:r w:rsidRPr="0090313E">
              <w:rPr>
                <w:sz w:val="22"/>
                <w:szCs w:val="22"/>
              </w:rPr>
              <w:t xml:space="preserve">Geneva, </w:t>
            </w:r>
            <w:r w:rsidR="00B25F8E">
              <w:rPr>
                <w:sz w:val="22"/>
                <w:szCs w:val="22"/>
              </w:rPr>
              <w:t>1 April 2026</w:t>
            </w:r>
          </w:p>
        </w:tc>
      </w:tr>
      <w:tr w:rsidR="00157CC8" w:rsidRPr="00AD306E" w14:paraId="61EECE08" w14:textId="77777777" w:rsidTr="002113B3">
        <w:trPr>
          <w:trHeight w:val="746"/>
        </w:trPr>
        <w:tc>
          <w:tcPr>
            <w:tcW w:w="1170" w:type="dxa"/>
          </w:tcPr>
          <w:p w14:paraId="5B20D03C" w14:textId="77777777" w:rsidR="00157CC8" w:rsidRPr="00AD306E" w:rsidRDefault="00157CC8" w:rsidP="002113B3">
            <w:pPr>
              <w:pStyle w:val="Tabletext"/>
              <w:ind w:left="-110"/>
              <w:rPr>
                <w:rFonts w:asciiTheme="minorHAnsi" w:hAnsiTheme="minorHAnsi" w:cstheme="minorHAnsi"/>
                <w:sz w:val="22"/>
                <w:szCs w:val="22"/>
              </w:rPr>
            </w:pPr>
            <w:r w:rsidRPr="00AD306E">
              <w:rPr>
                <w:rFonts w:asciiTheme="minorHAnsi" w:hAnsiTheme="minorHAnsi" w:cstheme="minorHAnsi"/>
                <w:b/>
                <w:sz w:val="22"/>
                <w:szCs w:val="22"/>
              </w:rPr>
              <w:t>Ref:</w:t>
            </w:r>
          </w:p>
        </w:tc>
        <w:tc>
          <w:tcPr>
            <w:tcW w:w="3418" w:type="dxa"/>
            <w:gridSpan w:val="2"/>
          </w:tcPr>
          <w:p w14:paraId="14E17BCB" w14:textId="23A33DCA" w:rsidR="00157CC8" w:rsidRPr="00AD306E" w:rsidRDefault="00157CC8" w:rsidP="002113B3">
            <w:pPr>
              <w:pStyle w:val="Docnumber"/>
              <w:framePr w:hSpace="0" w:wrap="auto" w:vAnchor="margin" w:hAnchor="text" w:xAlign="left" w:yAlign="inline"/>
              <w:ind w:left="-110"/>
              <w:rPr>
                <w:rFonts w:asciiTheme="minorHAnsi" w:hAnsiTheme="minorHAnsi" w:cstheme="minorHAnsi"/>
                <w:b w:val="0"/>
                <w:bCs w:val="0"/>
              </w:rPr>
            </w:pPr>
            <w:r w:rsidRPr="00AD306E">
              <w:rPr>
                <w:rFonts w:asciiTheme="minorHAnsi" w:hAnsiTheme="minorHAnsi" w:cstheme="minorHAnsi"/>
              </w:rPr>
              <w:t xml:space="preserve">TSB </w:t>
            </w:r>
            <w:r w:rsidRPr="00AD306E">
              <w:t xml:space="preserve">Circular </w:t>
            </w:r>
            <w:r w:rsidR="009354E6" w:rsidRPr="00AD306E">
              <w:t>125</w:t>
            </w:r>
          </w:p>
          <w:p w14:paraId="2956E71A" w14:textId="1DED5711" w:rsidR="00157CC8" w:rsidRPr="00AD306E" w:rsidRDefault="00157CC8" w:rsidP="002113B3">
            <w:pPr>
              <w:pStyle w:val="Tabletext"/>
              <w:ind w:left="-110"/>
              <w:rPr>
                <w:rFonts w:asciiTheme="minorHAnsi" w:hAnsiTheme="minorHAnsi" w:cstheme="minorHAnsi"/>
                <w:sz w:val="22"/>
                <w:szCs w:val="22"/>
              </w:rPr>
            </w:pPr>
            <w:r w:rsidRPr="00AD306E">
              <w:rPr>
                <w:rFonts w:asciiTheme="minorHAnsi" w:hAnsiTheme="minorHAnsi" w:cstheme="minorHAnsi"/>
                <w:sz w:val="22"/>
                <w:szCs w:val="22"/>
              </w:rPr>
              <w:t>SG11/DA</w:t>
            </w:r>
          </w:p>
        </w:tc>
        <w:tc>
          <w:tcPr>
            <w:tcW w:w="5103" w:type="dxa"/>
            <w:gridSpan w:val="2"/>
            <w:vMerge w:val="restart"/>
          </w:tcPr>
          <w:p w14:paraId="642CA4BE" w14:textId="77777777" w:rsidR="009354E6" w:rsidRPr="00AD306E" w:rsidRDefault="009354E6" w:rsidP="002113B3">
            <w:pPr>
              <w:tabs>
                <w:tab w:val="clear" w:pos="794"/>
                <w:tab w:val="clear" w:pos="1191"/>
                <w:tab w:val="clear" w:pos="1588"/>
                <w:tab w:val="clear" w:pos="1985"/>
                <w:tab w:val="left" w:pos="241"/>
              </w:tabs>
              <w:spacing w:before="0" w:after="20"/>
              <w:ind w:left="274" w:hanging="389"/>
              <w:rPr>
                <w:sz w:val="22"/>
                <w:szCs w:val="22"/>
              </w:rPr>
            </w:pPr>
            <w:r w:rsidRPr="00AD306E">
              <w:rPr>
                <w:b/>
                <w:sz w:val="22"/>
                <w:szCs w:val="22"/>
              </w:rPr>
              <w:t>To:</w:t>
            </w:r>
          </w:p>
          <w:p w14:paraId="1FB8F10E" w14:textId="77777777" w:rsidR="009354E6" w:rsidRPr="00AD306E" w:rsidRDefault="009354E6" w:rsidP="002113B3">
            <w:pPr>
              <w:tabs>
                <w:tab w:val="clear" w:pos="794"/>
                <w:tab w:val="clear" w:pos="1191"/>
                <w:tab w:val="clear" w:pos="1588"/>
                <w:tab w:val="clear" w:pos="1985"/>
              </w:tabs>
              <w:spacing w:before="0" w:after="20"/>
              <w:ind w:left="274" w:hanging="389"/>
              <w:rPr>
                <w:sz w:val="22"/>
                <w:szCs w:val="22"/>
              </w:rPr>
            </w:pPr>
            <w:r w:rsidRPr="00AD306E">
              <w:rPr>
                <w:sz w:val="22"/>
                <w:szCs w:val="22"/>
              </w:rPr>
              <w:t>-</w:t>
            </w:r>
            <w:r w:rsidRPr="00AD306E">
              <w:rPr>
                <w:sz w:val="22"/>
                <w:szCs w:val="22"/>
              </w:rPr>
              <w:tab/>
              <w:t xml:space="preserve">Administrations of Member States of the </w:t>
            </w:r>
            <w:proofErr w:type="gramStart"/>
            <w:r w:rsidRPr="00AD306E">
              <w:rPr>
                <w:sz w:val="22"/>
                <w:szCs w:val="22"/>
              </w:rPr>
              <w:t>Union;</w:t>
            </w:r>
            <w:proofErr w:type="gramEnd"/>
          </w:p>
          <w:p w14:paraId="15046C5F" w14:textId="77777777" w:rsidR="009354E6" w:rsidRPr="00AD306E" w:rsidRDefault="009354E6" w:rsidP="002113B3">
            <w:pPr>
              <w:tabs>
                <w:tab w:val="clear" w:pos="794"/>
                <w:tab w:val="clear" w:pos="1191"/>
                <w:tab w:val="clear" w:pos="1588"/>
                <w:tab w:val="clear" w:pos="1985"/>
              </w:tabs>
              <w:spacing w:before="0" w:after="20"/>
              <w:ind w:left="274" w:hanging="389"/>
              <w:rPr>
                <w:sz w:val="22"/>
                <w:szCs w:val="22"/>
              </w:rPr>
            </w:pPr>
            <w:r w:rsidRPr="00AD306E">
              <w:rPr>
                <w:sz w:val="22"/>
                <w:szCs w:val="22"/>
              </w:rPr>
              <w:t>-</w:t>
            </w:r>
            <w:r w:rsidRPr="00AD306E">
              <w:rPr>
                <w:sz w:val="22"/>
                <w:szCs w:val="22"/>
              </w:rPr>
              <w:tab/>
              <w:t>The State of Palestine (Res. 99 (Rev. Dubai, 2018)</w:t>
            </w:r>
            <w:proofErr w:type="gramStart"/>
            <w:r w:rsidRPr="00AD306E">
              <w:rPr>
                <w:sz w:val="22"/>
                <w:szCs w:val="22"/>
              </w:rPr>
              <w:t>);</w:t>
            </w:r>
            <w:proofErr w:type="gramEnd"/>
          </w:p>
          <w:p w14:paraId="65BE3A86" w14:textId="77777777" w:rsidR="009354E6" w:rsidRPr="00AD306E" w:rsidRDefault="009354E6" w:rsidP="002113B3">
            <w:pPr>
              <w:tabs>
                <w:tab w:val="clear" w:pos="794"/>
                <w:tab w:val="clear" w:pos="1191"/>
                <w:tab w:val="clear" w:pos="1588"/>
                <w:tab w:val="clear" w:pos="1985"/>
              </w:tabs>
              <w:spacing w:before="0" w:after="20"/>
              <w:ind w:left="274" w:hanging="389"/>
              <w:rPr>
                <w:sz w:val="22"/>
                <w:szCs w:val="22"/>
              </w:rPr>
            </w:pPr>
            <w:r w:rsidRPr="00AD306E">
              <w:rPr>
                <w:sz w:val="22"/>
                <w:szCs w:val="22"/>
              </w:rPr>
              <w:t>-</w:t>
            </w:r>
            <w:r w:rsidRPr="00AD306E">
              <w:rPr>
                <w:sz w:val="22"/>
                <w:szCs w:val="22"/>
              </w:rPr>
              <w:tab/>
              <w:t xml:space="preserve">ITU-T Sector </w:t>
            </w:r>
            <w:proofErr w:type="gramStart"/>
            <w:r w:rsidRPr="00AD306E">
              <w:rPr>
                <w:sz w:val="22"/>
                <w:szCs w:val="22"/>
              </w:rPr>
              <w:t>Members;</w:t>
            </w:r>
            <w:proofErr w:type="gramEnd"/>
          </w:p>
          <w:p w14:paraId="4DD8017E" w14:textId="77777777" w:rsidR="009354E6" w:rsidRPr="00AD306E" w:rsidRDefault="009354E6" w:rsidP="002113B3">
            <w:pPr>
              <w:tabs>
                <w:tab w:val="clear" w:pos="794"/>
                <w:tab w:val="clear" w:pos="1191"/>
                <w:tab w:val="clear" w:pos="1588"/>
                <w:tab w:val="clear" w:pos="1985"/>
              </w:tabs>
              <w:spacing w:before="0" w:after="20"/>
              <w:ind w:left="274" w:hanging="389"/>
              <w:rPr>
                <w:sz w:val="22"/>
                <w:szCs w:val="22"/>
              </w:rPr>
            </w:pPr>
            <w:r w:rsidRPr="00AD306E">
              <w:rPr>
                <w:sz w:val="22"/>
                <w:szCs w:val="22"/>
              </w:rPr>
              <w:t>-</w:t>
            </w:r>
            <w:r w:rsidRPr="00AD306E">
              <w:rPr>
                <w:sz w:val="22"/>
                <w:szCs w:val="22"/>
              </w:rPr>
              <w:tab/>
              <w:t xml:space="preserve">ITU-T Associates of Study Group </w:t>
            </w:r>
            <w:proofErr w:type="gramStart"/>
            <w:r w:rsidRPr="00AD306E">
              <w:rPr>
                <w:sz w:val="22"/>
                <w:szCs w:val="22"/>
              </w:rPr>
              <w:t>11;</w:t>
            </w:r>
            <w:proofErr w:type="gramEnd"/>
          </w:p>
          <w:p w14:paraId="72BE1E4E" w14:textId="77777777" w:rsidR="009354E6" w:rsidRPr="00AD306E" w:rsidRDefault="009354E6" w:rsidP="002113B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74" w:hanging="389"/>
              <w:rPr>
                <w:sz w:val="22"/>
                <w:szCs w:val="22"/>
              </w:rPr>
            </w:pPr>
            <w:r w:rsidRPr="00AD306E">
              <w:rPr>
                <w:sz w:val="22"/>
                <w:szCs w:val="22"/>
              </w:rPr>
              <w:t>-</w:t>
            </w:r>
            <w:r w:rsidRPr="00AD306E">
              <w:rPr>
                <w:sz w:val="22"/>
                <w:szCs w:val="22"/>
              </w:rPr>
              <w:tab/>
              <w:t>ITU Academia</w:t>
            </w:r>
          </w:p>
          <w:p w14:paraId="029D86E2" w14:textId="77777777" w:rsidR="009354E6" w:rsidRPr="00AD306E" w:rsidRDefault="009354E6" w:rsidP="002113B3">
            <w:pPr>
              <w:pStyle w:val="Tabletext"/>
              <w:spacing w:before="0" w:after="20"/>
              <w:ind w:left="274" w:hanging="389"/>
              <w:rPr>
                <w:sz w:val="22"/>
                <w:szCs w:val="22"/>
              </w:rPr>
            </w:pPr>
            <w:r w:rsidRPr="00AD306E">
              <w:rPr>
                <w:b/>
                <w:sz w:val="22"/>
                <w:szCs w:val="22"/>
              </w:rPr>
              <w:t>Copy to:</w:t>
            </w:r>
          </w:p>
          <w:p w14:paraId="704C38FB" w14:textId="77777777" w:rsidR="009354E6" w:rsidRPr="00AD306E" w:rsidRDefault="009354E6" w:rsidP="002113B3">
            <w:pPr>
              <w:pStyle w:val="Tabletext"/>
              <w:tabs>
                <w:tab w:val="clear" w:pos="284"/>
              </w:tabs>
              <w:spacing w:before="0" w:after="20"/>
              <w:ind w:left="274" w:hanging="389"/>
              <w:rPr>
                <w:sz w:val="22"/>
                <w:szCs w:val="22"/>
              </w:rPr>
            </w:pPr>
            <w:r w:rsidRPr="00AD306E">
              <w:rPr>
                <w:sz w:val="22"/>
                <w:szCs w:val="22"/>
              </w:rPr>
              <w:t>-</w:t>
            </w:r>
            <w:r w:rsidRPr="00AD306E">
              <w:rPr>
                <w:sz w:val="22"/>
                <w:szCs w:val="22"/>
              </w:rPr>
              <w:tab/>
              <w:t xml:space="preserve">The Chairs and Vice-chairs of ITU-T Study Group </w:t>
            </w:r>
            <w:proofErr w:type="gramStart"/>
            <w:r w:rsidRPr="00AD306E">
              <w:rPr>
                <w:sz w:val="22"/>
                <w:szCs w:val="22"/>
              </w:rPr>
              <w:t>11;</w:t>
            </w:r>
            <w:proofErr w:type="gramEnd"/>
          </w:p>
          <w:p w14:paraId="3732EDD2" w14:textId="77777777" w:rsidR="009354E6" w:rsidRPr="00AD306E" w:rsidRDefault="009354E6" w:rsidP="002113B3">
            <w:pPr>
              <w:pStyle w:val="Tabletext"/>
              <w:tabs>
                <w:tab w:val="clear" w:pos="284"/>
              </w:tabs>
              <w:spacing w:before="0" w:after="20"/>
              <w:ind w:left="274" w:hanging="389"/>
              <w:rPr>
                <w:sz w:val="22"/>
                <w:szCs w:val="22"/>
              </w:rPr>
            </w:pPr>
            <w:r w:rsidRPr="00AD306E">
              <w:rPr>
                <w:sz w:val="22"/>
                <w:szCs w:val="22"/>
              </w:rPr>
              <w:t>-</w:t>
            </w:r>
            <w:r w:rsidRPr="00AD306E">
              <w:rPr>
                <w:sz w:val="22"/>
                <w:szCs w:val="22"/>
              </w:rPr>
              <w:tab/>
              <w:t xml:space="preserve">The Director of the Telecommunication Development </w:t>
            </w:r>
            <w:proofErr w:type="gramStart"/>
            <w:r w:rsidRPr="00AD306E">
              <w:rPr>
                <w:sz w:val="22"/>
                <w:szCs w:val="22"/>
              </w:rPr>
              <w:t>Bureau;</w:t>
            </w:r>
            <w:proofErr w:type="gramEnd"/>
          </w:p>
          <w:p w14:paraId="5E14E054" w14:textId="37DA6CC7" w:rsidR="00157CC8" w:rsidRPr="00AD306E" w:rsidRDefault="009354E6" w:rsidP="002113B3">
            <w:pPr>
              <w:pStyle w:val="Tabletext"/>
              <w:ind w:left="283" w:hanging="283"/>
              <w:rPr>
                <w:rFonts w:asciiTheme="minorHAnsi" w:hAnsiTheme="minorHAnsi" w:cstheme="minorHAnsi"/>
                <w:sz w:val="22"/>
                <w:szCs w:val="22"/>
              </w:rPr>
            </w:pPr>
            <w:r w:rsidRPr="00AD306E">
              <w:rPr>
                <w:sz w:val="22"/>
                <w:szCs w:val="22"/>
              </w:rPr>
              <w:t>-</w:t>
            </w:r>
            <w:r w:rsidRPr="00AD306E">
              <w:rPr>
                <w:sz w:val="22"/>
                <w:szCs w:val="22"/>
              </w:rPr>
              <w:tab/>
              <w:t>The Director of the Radiocommunication Bureau</w:t>
            </w:r>
          </w:p>
        </w:tc>
      </w:tr>
      <w:tr w:rsidR="00157CC8" w:rsidRPr="00AD306E" w14:paraId="1D86F18E" w14:textId="77777777" w:rsidTr="002113B3">
        <w:trPr>
          <w:trHeight w:val="221"/>
        </w:trPr>
        <w:tc>
          <w:tcPr>
            <w:tcW w:w="1170" w:type="dxa"/>
          </w:tcPr>
          <w:p w14:paraId="2162E8BE" w14:textId="77777777" w:rsidR="00157CC8" w:rsidRPr="00AD306E" w:rsidRDefault="00157CC8" w:rsidP="002113B3">
            <w:pPr>
              <w:pStyle w:val="Tabletext"/>
              <w:ind w:left="-110"/>
              <w:rPr>
                <w:rFonts w:asciiTheme="minorHAnsi" w:hAnsiTheme="minorHAnsi" w:cstheme="minorHAnsi"/>
                <w:bCs/>
                <w:sz w:val="22"/>
                <w:szCs w:val="22"/>
              </w:rPr>
            </w:pPr>
            <w:r w:rsidRPr="00AD306E">
              <w:rPr>
                <w:rFonts w:asciiTheme="minorHAnsi" w:hAnsiTheme="minorHAnsi" w:cstheme="minorHAnsi"/>
                <w:bCs/>
                <w:sz w:val="22"/>
                <w:szCs w:val="22"/>
              </w:rPr>
              <w:t>Tel:</w:t>
            </w:r>
          </w:p>
        </w:tc>
        <w:tc>
          <w:tcPr>
            <w:tcW w:w="3418" w:type="dxa"/>
            <w:gridSpan w:val="2"/>
          </w:tcPr>
          <w:p w14:paraId="6A8780B6" w14:textId="08981686" w:rsidR="00157CC8" w:rsidRPr="00AD306E" w:rsidRDefault="00157CC8" w:rsidP="002113B3">
            <w:pPr>
              <w:pStyle w:val="Tabletext"/>
              <w:ind w:left="-110"/>
              <w:rPr>
                <w:rFonts w:asciiTheme="minorHAnsi" w:hAnsiTheme="minorHAnsi" w:cstheme="minorHAnsi"/>
                <w:b/>
                <w:sz w:val="22"/>
                <w:szCs w:val="22"/>
              </w:rPr>
            </w:pPr>
            <w:r w:rsidRPr="00AD306E">
              <w:rPr>
                <w:rFonts w:asciiTheme="minorHAnsi" w:hAnsiTheme="minorHAnsi" w:cstheme="minorHAnsi"/>
                <w:sz w:val="22"/>
                <w:szCs w:val="22"/>
              </w:rPr>
              <w:t>+41 22 730 5780</w:t>
            </w:r>
          </w:p>
        </w:tc>
        <w:tc>
          <w:tcPr>
            <w:tcW w:w="5103" w:type="dxa"/>
            <w:gridSpan w:val="2"/>
            <w:vMerge/>
          </w:tcPr>
          <w:p w14:paraId="6B61AF17" w14:textId="7B7F4A2A" w:rsidR="00157CC8" w:rsidRPr="00AD306E" w:rsidRDefault="00157CC8" w:rsidP="002113B3">
            <w:pPr>
              <w:pStyle w:val="Tabletext"/>
              <w:ind w:left="283" w:hanging="283"/>
              <w:rPr>
                <w:rFonts w:asciiTheme="minorHAnsi" w:hAnsiTheme="minorHAnsi" w:cstheme="minorHAnsi"/>
                <w:sz w:val="22"/>
                <w:szCs w:val="22"/>
              </w:rPr>
            </w:pPr>
          </w:p>
        </w:tc>
      </w:tr>
      <w:tr w:rsidR="00157CC8" w:rsidRPr="00AD306E" w14:paraId="066BC1ED" w14:textId="77777777" w:rsidTr="002113B3">
        <w:trPr>
          <w:trHeight w:val="282"/>
        </w:trPr>
        <w:tc>
          <w:tcPr>
            <w:tcW w:w="1170" w:type="dxa"/>
          </w:tcPr>
          <w:p w14:paraId="5CED9326" w14:textId="77777777" w:rsidR="00157CC8" w:rsidRPr="00AD306E" w:rsidRDefault="00157CC8" w:rsidP="002113B3">
            <w:pPr>
              <w:pStyle w:val="Tabletext"/>
              <w:ind w:left="-110"/>
              <w:rPr>
                <w:rFonts w:asciiTheme="minorHAnsi" w:hAnsiTheme="minorHAnsi" w:cstheme="minorHAnsi"/>
                <w:bCs/>
                <w:sz w:val="22"/>
                <w:szCs w:val="22"/>
              </w:rPr>
            </w:pPr>
            <w:r w:rsidRPr="00AD306E">
              <w:rPr>
                <w:rFonts w:asciiTheme="minorHAnsi" w:hAnsiTheme="minorHAnsi" w:cstheme="minorHAnsi"/>
                <w:bCs/>
                <w:sz w:val="22"/>
                <w:szCs w:val="22"/>
              </w:rPr>
              <w:t>Fax:</w:t>
            </w:r>
          </w:p>
        </w:tc>
        <w:tc>
          <w:tcPr>
            <w:tcW w:w="3418" w:type="dxa"/>
            <w:gridSpan w:val="2"/>
          </w:tcPr>
          <w:p w14:paraId="21330C59" w14:textId="77777777" w:rsidR="00157CC8" w:rsidRPr="00AD306E" w:rsidRDefault="00157CC8" w:rsidP="002113B3">
            <w:pPr>
              <w:pStyle w:val="Tabletext"/>
              <w:ind w:left="-110"/>
              <w:rPr>
                <w:rFonts w:asciiTheme="minorHAnsi" w:hAnsiTheme="minorHAnsi" w:cstheme="minorHAnsi"/>
                <w:b/>
                <w:sz w:val="22"/>
                <w:szCs w:val="22"/>
              </w:rPr>
            </w:pPr>
            <w:r w:rsidRPr="00AD306E">
              <w:rPr>
                <w:rFonts w:asciiTheme="minorHAnsi" w:hAnsiTheme="minorHAnsi" w:cstheme="minorHAnsi"/>
                <w:sz w:val="22"/>
                <w:szCs w:val="22"/>
              </w:rPr>
              <w:t>+41 22 730 5853</w:t>
            </w:r>
          </w:p>
        </w:tc>
        <w:tc>
          <w:tcPr>
            <w:tcW w:w="5103" w:type="dxa"/>
            <w:gridSpan w:val="2"/>
            <w:vMerge/>
          </w:tcPr>
          <w:p w14:paraId="3E6D6941" w14:textId="27CDBB83" w:rsidR="00157CC8" w:rsidRPr="00AD306E" w:rsidRDefault="00157CC8" w:rsidP="002113B3">
            <w:pPr>
              <w:pStyle w:val="Tabletext"/>
              <w:ind w:left="283" w:hanging="283"/>
              <w:rPr>
                <w:rFonts w:asciiTheme="minorHAnsi" w:hAnsiTheme="minorHAnsi" w:cstheme="minorHAnsi"/>
                <w:sz w:val="22"/>
                <w:szCs w:val="22"/>
              </w:rPr>
            </w:pPr>
          </w:p>
        </w:tc>
      </w:tr>
      <w:tr w:rsidR="00157CC8" w:rsidRPr="00AD306E" w14:paraId="57596DC8" w14:textId="77777777" w:rsidTr="002113B3">
        <w:trPr>
          <w:trHeight w:val="2067"/>
        </w:trPr>
        <w:tc>
          <w:tcPr>
            <w:tcW w:w="1170" w:type="dxa"/>
          </w:tcPr>
          <w:p w14:paraId="6EFB565E" w14:textId="77777777" w:rsidR="00157CC8" w:rsidRPr="00AD306E" w:rsidRDefault="00157CC8" w:rsidP="002113B3">
            <w:pPr>
              <w:pStyle w:val="Tabletext"/>
              <w:ind w:left="-110"/>
              <w:rPr>
                <w:rFonts w:asciiTheme="minorHAnsi" w:hAnsiTheme="minorHAnsi" w:cstheme="minorHAnsi"/>
                <w:bCs/>
                <w:sz w:val="22"/>
                <w:szCs w:val="22"/>
              </w:rPr>
            </w:pPr>
            <w:r w:rsidRPr="00AD306E">
              <w:rPr>
                <w:rFonts w:asciiTheme="minorHAnsi" w:hAnsiTheme="minorHAnsi" w:cstheme="minorHAnsi"/>
                <w:bCs/>
                <w:sz w:val="22"/>
                <w:szCs w:val="22"/>
              </w:rPr>
              <w:t>E-mail:</w:t>
            </w:r>
          </w:p>
        </w:tc>
        <w:tc>
          <w:tcPr>
            <w:tcW w:w="3418" w:type="dxa"/>
            <w:gridSpan w:val="2"/>
          </w:tcPr>
          <w:p w14:paraId="3B2D59F9" w14:textId="23EEE94C" w:rsidR="00157CC8" w:rsidRPr="00AD306E" w:rsidRDefault="00157CC8" w:rsidP="002113B3">
            <w:pPr>
              <w:pStyle w:val="Tabletext"/>
              <w:ind w:left="-110"/>
              <w:rPr>
                <w:rFonts w:asciiTheme="minorHAnsi" w:hAnsiTheme="minorHAnsi" w:cstheme="minorHAnsi"/>
                <w:sz w:val="22"/>
                <w:szCs w:val="22"/>
              </w:rPr>
            </w:pPr>
            <w:hyperlink r:id="rId11" w:history="1">
              <w:r w:rsidRPr="00AD306E">
                <w:rPr>
                  <w:rStyle w:val="Hyperlink"/>
                  <w:rFonts w:asciiTheme="minorHAnsi" w:hAnsiTheme="minorHAnsi" w:cstheme="minorHAnsi"/>
                  <w:sz w:val="22"/>
                  <w:szCs w:val="22"/>
                </w:rPr>
                <w:t>tsbsg11@itu.int</w:t>
              </w:r>
            </w:hyperlink>
          </w:p>
        </w:tc>
        <w:tc>
          <w:tcPr>
            <w:tcW w:w="5103" w:type="dxa"/>
            <w:gridSpan w:val="2"/>
            <w:vMerge/>
          </w:tcPr>
          <w:p w14:paraId="3C710855" w14:textId="288C4767" w:rsidR="00157CC8" w:rsidRPr="00AD306E" w:rsidRDefault="00157CC8" w:rsidP="002113B3">
            <w:pPr>
              <w:pStyle w:val="Tabletext"/>
              <w:ind w:left="283" w:hanging="283"/>
              <w:rPr>
                <w:rFonts w:asciiTheme="minorHAnsi" w:hAnsiTheme="minorHAnsi" w:cstheme="minorHAnsi"/>
                <w:sz w:val="22"/>
                <w:szCs w:val="22"/>
              </w:rPr>
            </w:pPr>
          </w:p>
        </w:tc>
      </w:tr>
      <w:tr w:rsidR="00852B82" w:rsidRPr="00AD306E" w14:paraId="1E35A75F" w14:textId="77777777" w:rsidTr="002113B3">
        <w:trPr>
          <w:trHeight w:val="618"/>
        </w:trPr>
        <w:tc>
          <w:tcPr>
            <w:tcW w:w="1170" w:type="dxa"/>
          </w:tcPr>
          <w:p w14:paraId="1CD587BF" w14:textId="77777777" w:rsidR="00852B82" w:rsidRPr="00AD306E" w:rsidRDefault="00691DAA" w:rsidP="002113B3">
            <w:pPr>
              <w:pStyle w:val="Tabletext"/>
              <w:ind w:left="-110"/>
              <w:rPr>
                <w:rFonts w:asciiTheme="minorHAnsi" w:hAnsiTheme="minorHAnsi" w:cstheme="minorHAnsi"/>
                <w:sz w:val="22"/>
                <w:szCs w:val="22"/>
              </w:rPr>
            </w:pPr>
            <w:r w:rsidRPr="00AD306E">
              <w:rPr>
                <w:rFonts w:asciiTheme="minorHAnsi" w:hAnsiTheme="minorHAnsi" w:cstheme="minorHAnsi"/>
                <w:b/>
                <w:sz w:val="22"/>
                <w:szCs w:val="22"/>
              </w:rPr>
              <w:t>Subject:</w:t>
            </w:r>
          </w:p>
        </w:tc>
        <w:tc>
          <w:tcPr>
            <w:tcW w:w="8521" w:type="dxa"/>
            <w:gridSpan w:val="4"/>
          </w:tcPr>
          <w:p w14:paraId="46C5680D" w14:textId="4348B29E" w:rsidR="00852B82" w:rsidRPr="00AD306E" w:rsidRDefault="00146772" w:rsidP="002113B3">
            <w:pPr>
              <w:pStyle w:val="Tabletext"/>
              <w:ind w:left="-110"/>
              <w:rPr>
                <w:rFonts w:asciiTheme="minorHAnsi" w:hAnsiTheme="minorHAnsi" w:cstheme="minorHAnsi"/>
                <w:sz w:val="22"/>
                <w:szCs w:val="22"/>
              </w:rPr>
            </w:pPr>
            <w:r w:rsidRPr="00AD306E">
              <w:rPr>
                <w:rFonts w:asciiTheme="minorHAnsi" w:hAnsiTheme="minorHAnsi" w:cstheme="minorHAnsi"/>
                <w:b/>
                <w:sz w:val="22"/>
                <w:szCs w:val="22"/>
              </w:rPr>
              <w:t xml:space="preserve">Member State consultation on Determined draft </w:t>
            </w:r>
            <w:bookmarkStart w:id="0" w:name="_Hlk50107354"/>
            <w:r w:rsidRPr="00AD306E">
              <w:rPr>
                <w:rFonts w:asciiTheme="minorHAnsi" w:hAnsiTheme="minorHAnsi" w:cstheme="minorHAnsi"/>
                <w:b/>
                <w:sz w:val="22"/>
                <w:szCs w:val="22"/>
              </w:rPr>
              <w:t>Recommendation</w:t>
            </w:r>
            <w:bookmarkEnd w:id="0"/>
            <w:r w:rsidRPr="00AD306E">
              <w:rPr>
                <w:rFonts w:asciiTheme="minorHAnsi" w:hAnsiTheme="minorHAnsi" w:cstheme="minorHAnsi"/>
                <w:b/>
                <w:sz w:val="22"/>
                <w:szCs w:val="22"/>
              </w:rPr>
              <w:t xml:space="preserve"> ITU-T </w:t>
            </w:r>
            <w:r w:rsidR="009354E6" w:rsidRPr="00AD306E">
              <w:rPr>
                <w:rFonts w:asciiTheme="minorHAnsi" w:hAnsiTheme="minorHAnsi" w:cstheme="minorHAnsi"/>
                <w:b/>
                <w:sz w:val="22"/>
                <w:szCs w:val="22"/>
              </w:rPr>
              <w:t>Q.5057 (ex Q.GIR)</w:t>
            </w:r>
            <w:r w:rsidRPr="00AD306E">
              <w:rPr>
                <w:rFonts w:asciiTheme="minorHAnsi" w:hAnsiTheme="minorHAnsi" w:cstheme="minorHAnsi"/>
                <w:b/>
                <w:sz w:val="22"/>
                <w:szCs w:val="22"/>
              </w:rPr>
              <w:t>, proposed for approval at the meeting of</w:t>
            </w:r>
            <w:r w:rsidR="009354E6" w:rsidRPr="00AD306E">
              <w:rPr>
                <w:rFonts w:asciiTheme="minorHAnsi" w:hAnsiTheme="minorHAnsi" w:cstheme="minorHAnsi"/>
                <w:b/>
                <w:sz w:val="22"/>
                <w:szCs w:val="22"/>
              </w:rPr>
              <w:t xml:space="preserve"> </w:t>
            </w:r>
            <w:r w:rsidRPr="00AD306E">
              <w:rPr>
                <w:rFonts w:asciiTheme="minorHAnsi" w:hAnsiTheme="minorHAnsi" w:cstheme="minorHAnsi"/>
                <w:b/>
                <w:sz w:val="22"/>
                <w:szCs w:val="22"/>
              </w:rPr>
              <w:t>ITU-T Study Group 11 (planned in</w:t>
            </w:r>
            <w:r w:rsidR="0024515D" w:rsidRPr="00AD306E">
              <w:rPr>
                <w:rFonts w:asciiTheme="minorHAnsi" w:hAnsiTheme="minorHAnsi" w:cstheme="minorHAnsi"/>
                <w:b/>
                <w:sz w:val="22"/>
                <w:szCs w:val="22"/>
              </w:rPr>
              <w:t xml:space="preserve"> </w:t>
            </w:r>
            <w:r w:rsidRPr="00AD306E">
              <w:rPr>
                <w:rFonts w:asciiTheme="minorHAnsi" w:hAnsiTheme="minorHAnsi" w:cstheme="minorHAnsi"/>
                <w:b/>
                <w:sz w:val="22"/>
                <w:szCs w:val="22"/>
              </w:rPr>
              <w:t xml:space="preserve">Geneva, </w:t>
            </w:r>
            <w:r w:rsidR="009354E6" w:rsidRPr="00AD306E">
              <w:rPr>
                <w:rFonts w:asciiTheme="minorHAnsi" w:hAnsiTheme="minorHAnsi" w:cstheme="minorHAnsi"/>
                <w:b/>
                <w:sz w:val="22"/>
                <w:szCs w:val="22"/>
              </w:rPr>
              <w:t>14-22 July</w:t>
            </w:r>
            <w:r w:rsidRPr="00AD306E">
              <w:rPr>
                <w:rFonts w:asciiTheme="minorHAnsi" w:hAnsiTheme="minorHAnsi" w:cstheme="minorHAnsi"/>
                <w:b/>
                <w:sz w:val="22"/>
                <w:szCs w:val="22"/>
              </w:rPr>
              <w:t xml:space="preserve"> 202</w:t>
            </w:r>
            <w:r w:rsidR="0024515D" w:rsidRPr="00AD306E">
              <w:rPr>
                <w:rFonts w:asciiTheme="minorHAnsi" w:hAnsiTheme="minorHAnsi" w:cstheme="minorHAnsi"/>
                <w:b/>
                <w:sz w:val="22"/>
                <w:szCs w:val="22"/>
              </w:rPr>
              <w:t>6</w:t>
            </w:r>
            <w:r w:rsidRPr="00AD306E">
              <w:rPr>
                <w:rFonts w:asciiTheme="minorHAnsi" w:hAnsiTheme="minorHAnsi" w:cstheme="minorHAnsi"/>
                <w:b/>
                <w:sz w:val="22"/>
                <w:szCs w:val="22"/>
              </w:rPr>
              <w:t>)</w:t>
            </w:r>
          </w:p>
        </w:tc>
      </w:tr>
    </w:tbl>
    <w:p w14:paraId="14883EEC" w14:textId="744D75D7" w:rsidR="00146772" w:rsidRPr="001E399F" w:rsidRDefault="00146772" w:rsidP="003B5061">
      <w:pPr>
        <w:spacing w:before="240"/>
        <w:rPr>
          <w:rFonts w:asciiTheme="minorHAnsi" w:hAnsiTheme="minorHAnsi" w:cstheme="minorHAnsi"/>
          <w:sz w:val="22"/>
          <w:szCs w:val="22"/>
        </w:rPr>
      </w:pPr>
      <w:r w:rsidRPr="001E399F">
        <w:rPr>
          <w:rFonts w:asciiTheme="minorHAnsi" w:hAnsiTheme="minorHAnsi" w:cstheme="minorHAnsi"/>
          <w:sz w:val="22"/>
          <w:szCs w:val="22"/>
        </w:rPr>
        <w:t>Dear Sir/Madam,</w:t>
      </w:r>
    </w:p>
    <w:p w14:paraId="49E29C15" w14:textId="2688EE60" w:rsidR="00146772" w:rsidRDefault="00146772" w:rsidP="00146772">
      <w:pPr>
        <w:rPr>
          <w:rFonts w:asciiTheme="minorHAnsi" w:hAnsiTheme="minorHAnsi" w:cstheme="minorHAnsi"/>
          <w:sz w:val="22"/>
          <w:szCs w:val="22"/>
        </w:rPr>
      </w:pPr>
      <w:r w:rsidRPr="001E399F">
        <w:rPr>
          <w:rFonts w:asciiTheme="minorHAnsi" w:hAnsiTheme="minorHAnsi" w:cstheme="minorHAnsi"/>
          <w:bCs/>
          <w:sz w:val="22"/>
          <w:szCs w:val="22"/>
        </w:rPr>
        <w:t>1</w:t>
      </w:r>
      <w:r w:rsidRPr="001E399F">
        <w:rPr>
          <w:rFonts w:asciiTheme="minorHAnsi" w:hAnsiTheme="minorHAnsi" w:cstheme="minorHAnsi"/>
          <w:sz w:val="22"/>
          <w:szCs w:val="22"/>
        </w:rPr>
        <w:tab/>
        <w:t>ITU-T Study Gro</w:t>
      </w:r>
      <w:r w:rsidRPr="006A6A88">
        <w:rPr>
          <w:rFonts w:asciiTheme="minorHAnsi" w:hAnsiTheme="minorHAnsi" w:cstheme="minorHAnsi"/>
          <w:sz w:val="22"/>
          <w:szCs w:val="22"/>
        </w:rPr>
        <w:t xml:space="preserve">up </w:t>
      </w:r>
      <w:r w:rsidRPr="009A4D5B">
        <w:rPr>
          <w:rFonts w:asciiTheme="minorHAnsi" w:hAnsiTheme="minorHAnsi" w:cstheme="minorHAnsi"/>
          <w:sz w:val="22"/>
          <w:szCs w:val="22"/>
        </w:rPr>
        <w:t>11</w:t>
      </w:r>
      <w:r w:rsidRPr="001E399F">
        <w:rPr>
          <w:rFonts w:asciiTheme="minorHAnsi" w:hAnsiTheme="minorHAnsi" w:cstheme="minorHAnsi"/>
          <w:sz w:val="22"/>
          <w:szCs w:val="22"/>
        </w:rPr>
        <w:t xml:space="preserve"> (</w:t>
      </w:r>
      <w:r w:rsidRPr="00574567">
        <w:rPr>
          <w:rFonts w:asciiTheme="minorHAnsi" w:hAnsiTheme="minorHAnsi" w:cstheme="minorHAnsi"/>
          <w:sz w:val="22"/>
          <w:szCs w:val="22"/>
        </w:rPr>
        <w:t>Signalling requirements, protocols, test specifications and combating counterfeit telecommunication/ICT devices</w:t>
      </w:r>
      <w:r w:rsidRPr="001E399F">
        <w:rPr>
          <w:rFonts w:asciiTheme="minorHAnsi" w:hAnsiTheme="minorHAnsi" w:cstheme="minorHAnsi"/>
          <w:sz w:val="22"/>
          <w:szCs w:val="22"/>
        </w:rPr>
        <w:t xml:space="preserve">) intends to apply the Traditional Approval Procedure as described in Section 9 of WTSA Resolution 1 (Rev. </w:t>
      </w:r>
      <w:r>
        <w:rPr>
          <w:rFonts w:asciiTheme="minorHAnsi" w:hAnsiTheme="minorHAnsi" w:cstheme="minorHAnsi"/>
          <w:sz w:val="22"/>
          <w:szCs w:val="22"/>
        </w:rPr>
        <w:t>Geneva, 2022</w:t>
      </w:r>
      <w:r w:rsidRPr="001E399F">
        <w:rPr>
          <w:rFonts w:asciiTheme="minorHAnsi" w:hAnsiTheme="minorHAnsi" w:cstheme="minorHAnsi"/>
          <w:sz w:val="22"/>
          <w:szCs w:val="22"/>
        </w:rPr>
        <w:t xml:space="preserve">) for the approval of the above-mentioned draft </w:t>
      </w:r>
      <w:r w:rsidRPr="00574567">
        <w:rPr>
          <w:rFonts w:asciiTheme="minorHAnsi" w:hAnsiTheme="minorHAnsi" w:cstheme="minorHAnsi"/>
          <w:sz w:val="22"/>
          <w:szCs w:val="22"/>
        </w:rPr>
        <w:t>Recommendation</w:t>
      </w:r>
      <w:r w:rsidRPr="001E399F">
        <w:rPr>
          <w:rFonts w:asciiTheme="minorHAnsi" w:hAnsiTheme="minorHAnsi" w:cstheme="minorHAnsi"/>
          <w:sz w:val="22"/>
          <w:szCs w:val="22"/>
        </w:rPr>
        <w:t xml:space="preserve"> at its next meeting </w:t>
      </w:r>
      <w:r w:rsidRPr="002B348C">
        <w:rPr>
          <w:rFonts w:asciiTheme="minorHAnsi" w:hAnsiTheme="minorHAnsi" w:cstheme="minorHAnsi"/>
          <w:sz w:val="22"/>
          <w:szCs w:val="22"/>
        </w:rPr>
        <w:t xml:space="preserve">planned </w:t>
      </w:r>
      <w:r>
        <w:rPr>
          <w:rFonts w:asciiTheme="minorHAnsi" w:hAnsiTheme="minorHAnsi" w:cstheme="minorHAnsi"/>
          <w:sz w:val="22"/>
          <w:szCs w:val="22"/>
        </w:rPr>
        <w:t xml:space="preserve">to be held </w:t>
      </w:r>
      <w:r w:rsidRPr="002B348C">
        <w:rPr>
          <w:rFonts w:asciiTheme="minorHAnsi" w:hAnsiTheme="minorHAnsi" w:cstheme="minorHAnsi"/>
          <w:sz w:val="22"/>
          <w:szCs w:val="22"/>
        </w:rPr>
        <w:t>in Genev</w:t>
      </w:r>
      <w:r>
        <w:rPr>
          <w:rFonts w:asciiTheme="minorHAnsi" w:hAnsiTheme="minorHAnsi" w:cstheme="minorHAnsi"/>
          <w:sz w:val="22"/>
          <w:szCs w:val="22"/>
        </w:rPr>
        <w:t>a</w:t>
      </w:r>
      <w:r w:rsidRPr="002B348C">
        <w:rPr>
          <w:rFonts w:asciiTheme="minorHAnsi" w:hAnsiTheme="minorHAnsi" w:cstheme="minorHAnsi"/>
          <w:sz w:val="22"/>
          <w:szCs w:val="22"/>
        </w:rPr>
        <w:t xml:space="preserve">, </w:t>
      </w:r>
      <w:r w:rsidR="009354E6" w:rsidRPr="009354E6">
        <w:rPr>
          <w:rFonts w:asciiTheme="minorHAnsi" w:hAnsiTheme="minorHAnsi" w:cstheme="minorHAnsi"/>
          <w:sz w:val="22"/>
          <w:szCs w:val="22"/>
        </w:rPr>
        <w:t xml:space="preserve">14-22 July </w:t>
      </w:r>
      <w:r w:rsidRPr="002B348C">
        <w:rPr>
          <w:rFonts w:asciiTheme="minorHAnsi" w:hAnsiTheme="minorHAnsi" w:cstheme="minorHAnsi"/>
          <w:sz w:val="22"/>
          <w:szCs w:val="22"/>
        </w:rPr>
        <w:t>202</w:t>
      </w:r>
      <w:r w:rsidR="0024515D">
        <w:rPr>
          <w:rFonts w:asciiTheme="minorHAnsi" w:hAnsiTheme="minorHAnsi" w:cstheme="minorHAnsi"/>
          <w:sz w:val="22"/>
          <w:szCs w:val="22"/>
        </w:rPr>
        <w:t>6</w:t>
      </w:r>
      <w:r w:rsidRPr="001E399F">
        <w:rPr>
          <w:rFonts w:asciiTheme="minorHAnsi" w:hAnsiTheme="minorHAnsi" w:cstheme="minorHAnsi"/>
          <w:sz w:val="22"/>
          <w:szCs w:val="22"/>
        </w:rPr>
        <w:t xml:space="preserve">. The agenda and all relevant information concerning the ITU-T Study Group </w:t>
      </w:r>
      <w:r>
        <w:rPr>
          <w:rFonts w:asciiTheme="minorHAnsi" w:hAnsiTheme="minorHAnsi" w:cstheme="minorHAnsi"/>
          <w:sz w:val="22"/>
          <w:szCs w:val="22"/>
        </w:rPr>
        <w:t xml:space="preserve">11 </w:t>
      </w:r>
      <w:r w:rsidRPr="001E399F">
        <w:rPr>
          <w:rFonts w:asciiTheme="minorHAnsi" w:hAnsiTheme="minorHAnsi" w:cstheme="minorHAnsi"/>
          <w:sz w:val="22"/>
          <w:szCs w:val="22"/>
        </w:rPr>
        <w:t xml:space="preserve">meeting will </w:t>
      </w:r>
      <w:r w:rsidRPr="003322F8">
        <w:rPr>
          <w:rFonts w:asciiTheme="minorHAnsi" w:hAnsiTheme="minorHAnsi" w:cstheme="minorHAnsi"/>
          <w:sz w:val="22"/>
          <w:szCs w:val="22"/>
        </w:rPr>
        <w:t>be issued in due time</w:t>
      </w:r>
      <w:r w:rsidRPr="001E399F">
        <w:rPr>
          <w:rFonts w:asciiTheme="minorHAnsi" w:hAnsiTheme="minorHAnsi" w:cstheme="minorHAnsi"/>
          <w:sz w:val="22"/>
          <w:szCs w:val="22"/>
        </w:rPr>
        <w:t>.</w:t>
      </w:r>
    </w:p>
    <w:p w14:paraId="04FD7F77" w14:textId="0ABD5459" w:rsidR="00146772" w:rsidRDefault="00146772" w:rsidP="00146772">
      <w:pPr>
        <w:rPr>
          <w:rFonts w:asciiTheme="minorHAnsi" w:hAnsiTheme="minorHAnsi" w:cstheme="minorHAnsi"/>
          <w:sz w:val="22"/>
          <w:szCs w:val="22"/>
        </w:rPr>
      </w:pPr>
      <w:r>
        <w:rPr>
          <w:rFonts w:asciiTheme="minorHAnsi" w:hAnsiTheme="minorHAnsi" w:cstheme="minorHAnsi"/>
          <w:bCs/>
          <w:sz w:val="22"/>
          <w:szCs w:val="22"/>
        </w:rPr>
        <w:t>2</w:t>
      </w:r>
      <w:r w:rsidRPr="001E399F">
        <w:rPr>
          <w:rFonts w:asciiTheme="minorHAnsi" w:hAnsiTheme="minorHAnsi" w:cstheme="minorHAnsi"/>
          <w:sz w:val="22"/>
          <w:szCs w:val="22"/>
        </w:rPr>
        <w:tab/>
        <w:t>The title, summar</w:t>
      </w:r>
      <w:r w:rsidR="009354E6">
        <w:rPr>
          <w:rFonts w:asciiTheme="minorHAnsi" w:hAnsiTheme="minorHAnsi" w:cstheme="minorHAnsi"/>
          <w:sz w:val="22"/>
          <w:szCs w:val="22"/>
        </w:rPr>
        <w:t>y</w:t>
      </w:r>
      <w:r w:rsidRPr="001E399F">
        <w:rPr>
          <w:rFonts w:asciiTheme="minorHAnsi" w:hAnsiTheme="minorHAnsi" w:cstheme="minorHAnsi"/>
          <w:sz w:val="22"/>
          <w:szCs w:val="22"/>
        </w:rPr>
        <w:t xml:space="preserve"> and location of the draft ITU-T </w:t>
      </w:r>
      <w:r w:rsidRPr="00574567">
        <w:rPr>
          <w:rFonts w:asciiTheme="minorHAnsi" w:hAnsiTheme="minorHAnsi" w:cstheme="minorHAnsi"/>
          <w:sz w:val="22"/>
          <w:szCs w:val="22"/>
        </w:rPr>
        <w:t>Recommendation</w:t>
      </w:r>
      <w:r w:rsidRPr="001E399F">
        <w:rPr>
          <w:rFonts w:asciiTheme="minorHAnsi" w:hAnsiTheme="minorHAnsi" w:cstheme="minorHAnsi"/>
          <w:sz w:val="22"/>
          <w:szCs w:val="22"/>
        </w:rPr>
        <w:t xml:space="preserve"> proposed for approval can be found </w:t>
      </w:r>
      <w:r w:rsidRPr="004E3809">
        <w:rPr>
          <w:rFonts w:asciiTheme="minorHAnsi" w:hAnsiTheme="minorHAnsi" w:cstheme="minorHAnsi"/>
          <w:sz w:val="22"/>
          <w:szCs w:val="22"/>
        </w:rPr>
        <w:t xml:space="preserve">in </w:t>
      </w:r>
      <w:r w:rsidRPr="004E3809">
        <w:rPr>
          <w:rFonts w:asciiTheme="minorHAnsi" w:hAnsiTheme="minorHAnsi" w:cstheme="minorHAnsi"/>
          <w:b/>
          <w:bCs/>
          <w:sz w:val="22"/>
          <w:szCs w:val="22"/>
        </w:rPr>
        <w:t>Annex 1</w:t>
      </w:r>
      <w:r w:rsidRPr="001E399F">
        <w:rPr>
          <w:rFonts w:asciiTheme="minorHAnsi" w:hAnsiTheme="minorHAnsi" w:cstheme="minorHAnsi"/>
          <w:sz w:val="22"/>
          <w:szCs w:val="22"/>
        </w:rPr>
        <w:t>.</w:t>
      </w:r>
    </w:p>
    <w:p w14:paraId="0C0FB946" w14:textId="1EDD08E3" w:rsidR="00146772" w:rsidRDefault="00146772" w:rsidP="00146772">
      <w:pPr>
        <w:rPr>
          <w:rFonts w:asciiTheme="minorHAnsi" w:hAnsiTheme="minorHAnsi" w:cstheme="minorHAnsi"/>
          <w:sz w:val="22"/>
          <w:szCs w:val="22"/>
        </w:rPr>
      </w:pPr>
      <w:r>
        <w:rPr>
          <w:rFonts w:asciiTheme="minorHAnsi" w:hAnsiTheme="minorHAnsi" w:cstheme="minorHAnsi"/>
          <w:bCs/>
          <w:sz w:val="22"/>
          <w:szCs w:val="22"/>
        </w:rPr>
        <w:t>3</w:t>
      </w:r>
      <w:r w:rsidRPr="001E399F">
        <w:rPr>
          <w:rFonts w:asciiTheme="minorHAnsi" w:hAnsiTheme="minorHAnsi" w:cstheme="minorHAnsi"/>
          <w:sz w:val="22"/>
          <w:szCs w:val="22"/>
        </w:rPr>
        <w:tab/>
      </w:r>
      <w:proofErr w:type="gramStart"/>
      <w:r w:rsidRPr="001E399F">
        <w:rPr>
          <w:rFonts w:asciiTheme="minorHAnsi" w:hAnsiTheme="minorHAnsi" w:cstheme="minorHAnsi"/>
          <w:sz w:val="22"/>
          <w:szCs w:val="22"/>
        </w:rPr>
        <w:t>This Circular initiate</w:t>
      </w:r>
      <w:r>
        <w:rPr>
          <w:rFonts w:asciiTheme="minorHAnsi" w:hAnsiTheme="minorHAnsi" w:cstheme="minorHAnsi"/>
          <w:sz w:val="22"/>
          <w:szCs w:val="22"/>
        </w:rPr>
        <w:t>s</w:t>
      </w:r>
      <w:proofErr w:type="gramEnd"/>
      <w:r w:rsidRPr="001E399F">
        <w:rPr>
          <w:rFonts w:asciiTheme="minorHAnsi" w:hAnsiTheme="minorHAnsi" w:cstheme="minorHAnsi"/>
          <w:sz w:val="22"/>
          <w:szCs w:val="22"/>
        </w:rPr>
        <w:t xml:space="preserve"> the formal consultation with ITU Member States on </w:t>
      </w:r>
      <w:r w:rsidRPr="00AE36DD">
        <w:rPr>
          <w:rFonts w:asciiTheme="minorHAnsi" w:hAnsiTheme="minorHAnsi" w:cstheme="minorHAnsi"/>
          <w:sz w:val="22"/>
          <w:szCs w:val="22"/>
        </w:rPr>
        <w:t>whether th</w:t>
      </w:r>
      <w:r w:rsidR="009354E6">
        <w:rPr>
          <w:rFonts w:asciiTheme="minorHAnsi" w:hAnsiTheme="minorHAnsi" w:cstheme="minorHAnsi"/>
          <w:sz w:val="22"/>
          <w:szCs w:val="22"/>
        </w:rPr>
        <w:t>is</w:t>
      </w:r>
      <w:r w:rsidRPr="00AE36DD">
        <w:rPr>
          <w:rFonts w:asciiTheme="minorHAnsi" w:hAnsiTheme="minorHAnsi" w:cstheme="minorHAnsi"/>
          <w:sz w:val="22"/>
          <w:szCs w:val="22"/>
        </w:rPr>
        <w:t xml:space="preserve"> text</w:t>
      </w:r>
      <w:r>
        <w:rPr>
          <w:rFonts w:asciiTheme="minorHAnsi" w:hAnsiTheme="minorHAnsi" w:cstheme="minorHAnsi"/>
          <w:sz w:val="22"/>
          <w:szCs w:val="22"/>
        </w:rPr>
        <w:t xml:space="preserve"> </w:t>
      </w:r>
      <w:r w:rsidRPr="001E399F">
        <w:rPr>
          <w:rFonts w:asciiTheme="minorHAnsi" w:hAnsiTheme="minorHAnsi" w:cstheme="minorHAnsi"/>
          <w:sz w:val="22"/>
          <w:szCs w:val="22"/>
        </w:rPr>
        <w:t xml:space="preserve">may be considered for approval at the upcoming meeting, in accordance with clause 9.4 of Resolution 1. Member States are kindly requested to complete and return the form in </w:t>
      </w:r>
      <w:r w:rsidRPr="002B348C">
        <w:rPr>
          <w:rFonts w:asciiTheme="minorHAnsi" w:hAnsiTheme="minorHAnsi" w:cstheme="minorHAnsi"/>
          <w:b/>
          <w:bCs/>
          <w:sz w:val="22"/>
          <w:szCs w:val="22"/>
        </w:rPr>
        <w:t>Annex 2</w:t>
      </w:r>
      <w:r w:rsidRPr="001E399F">
        <w:rPr>
          <w:rFonts w:asciiTheme="minorHAnsi" w:hAnsiTheme="minorHAnsi" w:cstheme="minorHAnsi"/>
          <w:sz w:val="22"/>
          <w:szCs w:val="22"/>
        </w:rPr>
        <w:t xml:space="preserve"> by </w:t>
      </w:r>
      <w:r w:rsidR="00544276">
        <w:rPr>
          <w:rFonts w:asciiTheme="minorHAnsi" w:hAnsiTheme="minorHAnsi" w:cstheme="minorHAnsi"/>
          <w:b/>
          <w:bCs/>
          <w:sz w:val="22"/>
          <w:szCs w:val="22"/>
        </w:rPr>
        <w:t>2</w:t>
      </w:r>
      <w:r w:rsidRPr="003322F8">
        <w:rPr>
          <w:rFonts w:asciiTheme="minorHAnsi" w:hAnsiTheme="minorHAnsi" w:cstheme="minorHAnsi"/>
          <w:b/>
          <w:bCs/>
          <w:sz w:val="22"/>
          <w:szCs w:val="22"/>
        </w:rPr>
        <w:t xml:space="preserve"> </w:t>
      </w:r>
      <w:r w:rsidR="00544276">
        <w:rPr>
          <w:rFonts w:asciiTheme="minorHAnsi" w:hAnsiTheme="minorHAnsi" w:cstheme="minorHAnsi"/>
          <w:b/>
          <w:bCs/>
          <w:sz w:val="22"/>
          <w:szCs w:val="22"/>
        </w:rPr>
        <w:t>July</w:t>
      </w:r>
      <w:r w:rsidRPr="003322F8">
        <w:rPr>
          <w:rFonts w:asciiTheme="minorHAnsi" w:hAnsiTheme="minorHAnsi" w:cstheme="minorHAnsi"/>
          <w:b/>
          <w:bCs/>
          <w:sz w:val="22"/>
          <w:szCs w:val="22"/>
        </w:rPr>
        <w:t xml:space="preserve"> 202</w:t>
      </w:r>
      <w:r w:rsidR="00F26833">
        <w:rPr>
          <w:rFonts w:asciiTheme="minorHAnsi" w:hAnsiTheme="minorHAnsi" w:cstheme="minorHAnsi"/>
          <w:b/>
          <w:bCs/>
          <w:sz w:val="22"/>
          <w:szCs w:val="22"/>
        </w:rPr>
        <w:t>6</w:t>
      </w:r>
      <w:r w:rsidRPr="004E3809">
        <w:rPr>
          <w:rFonts w:asciiTheme="minorHAnsi" w:hAnsiTheme="minorHAnsi" w:cstheme="minorHAnsi"/>
          <w:sz w:val="22"/>
          <w:szCs w:val="22"/>
        </w:rPr>
        <w:t xml:space="preserve">, </w:t>
      </w:r>
      <w:proofErr w:type="gramStart"/>
      <w:r w:rsidRPr="003322F8">
        <w:rPr>
          <w:rFonts w:asciiTheme="minorHAnsi" w:hAnsiTheme="minorHAnsi" w:cstheme="minorHAnsi"/>
          <w:sz w:val="22"/>
          <w:szCs w:val="22"/>
        </w:rPr>
        <w:t>2359</w:t>
      </w:r>
      <w:proofErr w:type="gramEnd"/>
      <w:r w:rsidRPr="003322F8">
        <w:rPr>
          <w:rFonts w:asciiTheme="minorHAnsi" w:hAnsiTheme="minorHAnsi" w:cstheme="minorHAnsi"/>
          <w:sz w:val="22"/>
          <w:szCs w:val="22"/>
        </w:rPr>
        <w:t xml:space="preserve"> hours</w:t>
      </w:r>
      <w:r w:rsidRPr="001E399F">
        <w:rPr>
          <w:rFonts w:asciiTheme="minorHAnsi" w:hAnsiTheme="minorHAnsi" w:cstheme="minorHAnsi"/>
          <w:sz w:val="22"/>
          <w:szCs w:val="22"/>
        </w:rPr>
        <w:t xml:space="preserve"> </w:t>
      </w:r>
      <w:r w:rsidRPr="002B348C">
        <w:rPr>
          <w:rFonts w:asciiTheme="minorHAnsi" w:hAnsiTheme="minorHAnsi" w:cstheme="minorHAnsi"/>
          <w:sz w:val="22"/>
          <w:szCs w:val="22"/>
        </w:rPr>
        <w:t>UTC</w:t>
      </w:r>
      <w:r>
        <w:rPr>
          <w:rFonts w:asciiTheme="minorHAnsi" w:hAnsiTheme="minorHAnsi" w:cstheme="minorHAnsi"/>
          <w:sz w:val="22"/>
          <w:szCs w:val="22"/>
        </w:rPr>
        <w:t>.</w:t>
      </w:r>
    </w:p>
    <w:p w14:paraId="3433D7D6" w14:textId="6174E270" w:rsidR="00D92917" w:rsidRPr="004572F7" w:rsidRDefault="00146772" w:rsidP="003E07CD">
      <w:pPr>
        <w:rPr>
          <w:rFonts w:asciiTheme="minorHAnsi" w:hAnsiTheme="minorHAnsi" w:cstheme="minorHAnsi"/>
          <w:sz w:val="22"/>
          <w:szCs w:val="22"/>
        </w:rPr>
      </w:pPr>
      <w:bookmarkStart w:id="1" w:name="_Hlk172722338"/>
      <w:r>
        <w:rPr>
          <w:rFonts w:asciiTheme="minorHAnsi" w:hAnsiTheme="minorHAnsi" w:cstheme="minorHAnsi"/>
          <w:bCs/>
          <w:sz w:val="22"/>
          <w:szCs w:val="22"/>
        </w:rPr>
        <w:t>4</w:t>
      </w:r>
      <w:r w:rsidRPr="001E399F">
        <w:rPr>
          <w:rFonts w:asciiTheme="minorHAnsi" w:hAnsiTheme="minorHAnsi" w:cstheme="minorHAnsi"/>
          <w:sz w:val="22"/>
          <w:szCs w:val="22"/>
        </w:rPr>
        <w:tab/>
        <w:t xml:space="preserve">If 70% or more of the replies from Member States support consideration for approval, one Plenary session will be devoted to </w:t>
      </w:r>
      <w:proofErr w:type="gramStart"/>
      <w:r w:rsidRPr="001E399F">
        <w:rPr>
          <w:rFonts w:asciiTheme="minorHAnsi" w:hAnsiTheme="minorHAnsi" w:cstheme="minorHAnsi"/>
          <w:sz w:val="22"/>
          <w:szCs w:val="22"/>
        </w:rPr>
        <w:t>apply</w:t>
      </w:r>
      <w:proofErr w:type="gramEnd"/>
      <w:r w:rsidRPr="001E399F">
        <w:rPr>
          <w:rFonts w:asciiTheme="minorHAnsi" w:hAnsiTheme="minorHAnsi" w:cstheme="minorHAnsi"/>
          <w:sz w:val="22"/>
          <w:szCs w:val="22"/>
        </w:rPr>
        <w:t xml:space="preserve"> the approval procedure. </w:t>
      </w:r>
      <w:bookmarkEnd w:id="1"/>
      <w:r w:rsidRPr="001E399F">
        <w:rPr>
          <w:rFonts w:asciiTheme="minorHAnsi" w:hAnsiTheme="minorHAnsi" w:cstheme="minorHAnsi"/>
          <w:sz w:val="22"/>
          <w:szCs w:val="22"/>
        </w:rPr>
        <w:t>Member States that do not assign authority to proceed should inform the Director of TSB of the reasons for this opinion and indicate the possible changes that would enable the work to progress.</w:t>
      </w:r>
    </w:p>
    <w:p w14:paraId="4D8C58EB" w14:textId="2D9BC8B4" w:rsidR="00852B82" w:rsidRPr="004572F7" w:rsidRDefault="00691DAA" w:rsidP="003B5061">
      <w:pPr>
        <w:rPr>
          <w:rFonts w:asciiTheme="minorHAnsi" w:hAnsiTheme="minorHAnsi" w:cstheme="minorHAnsi"/>
          <w:sz w:val="22"/>
          <w:szCs w:val="22"/>
        </w:rPr>
      </w:pPr>
      <w:r w:rsidRPr="004572F7">
        <w:rPr>
          <w:rFonts w:asciiTheme="minorHAnsi" w:hAnsiTheme="minorHAnsi" w:cstheme="minorHAnsi"/>
          <w:sz w:val="22"/>
          <w:szCs w:val="22"/>
        </w:rPr>
        <w:t>Yours faithfully,</w:t>
      </w:r>
    </w:p>
    <w:p w14:paraId="1C3C023F" w14:textId="4C6F7130" w:rsidR="00852B82" w:rsidRPr="004572F7" w:rsidRDefault="00E01678" w:rsidP="003B5061">
      <w:pPr>
        <w:spacing w:before="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575F3FD4" wp14:editId="6A56296F">
            <wp:simplePos x="0" y="0"/>
            <wp:positionH relativeFrom="margin">
              <wp:align>left</wp:align>
            </wp:positionH>
            <wp:positionV relativeFrom="paragraph">
              <wp:posOffset>36830</wp:posOffset>
            </wp:positionV>
            <wp:extent cx="711237" cy="368319"/>
            <wp:effectExtent l="0" t="0" r="0" b="0"/>
            <wp:wrapNone/>
            <wp:docPr id="298171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71035" name="Picture 298171035"/>
                    <pic:cNvPicPr/>
                  </pic:nvPicPr>
                  <pic:blipFill>
                    <a:blip r:embed="rId12">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45092F" w:rsidRPr="004572F7">
        <w:rPr>
          <w:rFonts w:asciiTheme="minorHAnsi" w:hAnsiTheme="minorHAnsi" w:cstheme="minorHAnsi"/>
          <w:sz w:val="22"/>
          <w:szCs w:val="22"/>
        </w:rPr>
        <w:t>Seizo Onoe</w:t>
      </w:r>
      <w:r w:rsidR="00691DAA" w:rsidRPr="004572F7">
        <w:rPr>
          <w:rFonts w:asciiTheme="minorHAnsi" w:hAnsiTheme="minorHAnsi" w:cstheme="minorHAnsi"/>
          <w:sz w:val="22"/>
          <w:szCs w:val="22"/>
        </w:rPr>
        <w:br/>
        <w:t>Director of the Telecommunication</w:t>
      </w:r>
      <w:r w:rsidR="00691DAA" w:rsidRPr="004572F7">
        <w:rPr>
          <w:rFonts w:asciiTheme="minorHAnsi" w:hAnsiTheme="minorHAnsi" w:cstheme="minorHAnsi"/>
          <w:sz w:val="22"/>
          <w:szCs w:val="22"/>
        </w:rPr>
        <w:br/>
        <w:t>Standardization Bureau</w:t>
      </w:r>
    </w:p>
    <w:p w14:paraId="452EDA51" w14:textId="5DAD5E53" w:rsidR="00852B82" w:rsidRPr="004572F7" w:rsidRDefault="00691DAA" w:rsidP="003B5061">
      <w:pPr>
        <w:spacing w:before="240"/>
        <w:rPr>
          <w:rFonts w:asciiTheme="minorHAnsi" w:hAnsiTheme="minorHAnsi" w:cstheme="minorHAnsi"/>
          <w:sz w:val="22"/>
          <w:szCs w:val="22"/>
        </w:rPr>
      </w:pPr>
      <w:r w:rsidRPr="004572F7">
        <w:rPr>
          <w:rFonts w:asciiTheme="minorHAnsi" w:hAnsiTheme="minorHAnsi" w:cstheme="minorHAnsi"/>
          <w:b/>
          <w:sz w:val="22"/>
          <w:szCs w:val="22"/>
        </w:rPr>
        <w:t>Annex</w:t>
      </w:r>
      <w:r w:rsidR="00F96117" w:rsidRPr="004572F7">
        <w:rPr>
          <w:rFonts w:asciiTheme="minorHAnsi" w:hAnsiTheme="minorHAnsi" w:cstheme="minorHAnsi"/>
          <w:b/>
          <w:sz w:val="22"/>
          <w:szCs w:val="22"/>
        </w:rPr>
        <w:t>es</w:t>
      </w:r>
      <w:r w:rsidRPr="004572F7">
        <w:rPr>
          <w:rFonts w:asciiTheme="minorHAnsi" w:hAnsiTheme="minorHAnsi" w:cstheme="minorHAnsi"/>
          <w:b/>
          <w:sz w:val="22"/>
          <w:szCs w:val="22"/>
        </w:rPr>
        <w:t xml:space="preserve">: </w:t>
      </w:r>
      <w:r w:rsidR="00F96117" w:rsidRPr="00157CC8">
        <w:rPr>
          <w:rFonts w:asciiTheme="minorHAnsi" w:hAnsiTheme="minorHAnsi" w:cstheme="minorHAnsi"/>
          <w:bCs/>
          <w:sz w:val="22"/>
          <w:szCs w:val="22"/>
        </w:rPr>
        <w:t>2</w:t>
      </w:r>
      <w:r w:rsidRPr="004572F7">
        <w:rPr>
          <w:rFonts w:asciiTheme="minorHAnsi" w:hAnsiTheme="minorHAnsi" w:cstheme="minorHAnsi"/>
          <w:sz w:val="22"/>
          <w:szCs w:val="22"/>
        </w:rPr>
        <w:br w:type="page"/>
      </w:r>
    </w:p>
    <w:p w14:paraId="375476CC" w14:textId="403CEACA" w:rsidR="00852B82" w:rsidRPr="00AD306E" w:rsidRDefault="00C13D40" w:rsidP="00544276">
      <w:pPr>
        <w:pStyle w:val="Annextitle"/>
        <w:spacing w:before="0" w:after="0"/>
        <w:rPr>
          <w:rFonts w:asciiTheme="minorHAnsi" w:hAnsiTheme="minorHAnsi" w:cstheme="minorHAnsi"/>
          <w:szCs w:val="28"/>
        </w:rPr>
      </w:pPr>
      <w:r w:rsidRPr="00AD306E">
        <w:rPr>
          <w:rFonts w:asciiTheme="minorHAnsi" w:hAnsiTheme="minorHAnsi" w:cstheme="minorHAnsi"/>
          <w:szCs w:val="28"/>
        </w:rPr>
        <w:lastRenderedPageBreak/>
        <w:t>Annex 1</w:t>
      </w:r>
      <w:r w:rsidR="00157CC8" w:rsidRPr="00AD306E">
        <w:rPr>
          <w:rFonts w:asciiTheme="minorHAnsi" w:hAnsiTheme="minorHAnsi" w:cstheme="minorHAnsi"/>
          <w:szCs w:val="28"/>
        </w:rPr>
        <w:br/>
      </w:r>
      <w:r w:rsidR="00146772" w:rsidRPr="00AD306E">
        <w:rPr>
          <w:rFonts w:asciiTheme="minorHAnsi" w:hAnsiTheme="minorHAnsi" w:cstheme="minorHAnsi"/>
          <w:szCs w:val="28"/>
        </w:rPr>
        <w:t>Summary and location of Determined draft Recommendation</w:t>
      </w:r>
      <w:r w:rsidR="00AD306E">
        <w:rPr>
          <w:rFonts w:asciiTheme="minorHAnsi" w:hAnsiTheme="minorHAnsi" w:cstheme="minorHAnsi"/>
          <w:szCs w:val="28"/>
        </w:rPr>
        <w:br/>
      </w:r>
      <w:r w:rsidR="00146772" w:rsidRPr="00AD306E">
        <w:rPr>
          <w:rFonts w:asciiTheme="minorHAnsi" w:hAnsiTheme="minorHAnsi" w:cstheme="minorHAnsi"/>
          <w:szCs w:val="28"/>
        </w:rPr>
        <w:t xml:space="preserve">ITU-T </w:t>
      </w:r>
      <w:r w:rsidR="00544276" w:rsidRPr="00AD306E">
        <w:rPr>
          <w:rFonts w:asciiTheme="minorHAnsi" w:hAnsiTheme="minorHAnsi" w:cstheme="minorHAnsi"/>
          <w:szCs w:val="28"/>
        </w:rPr>
        <w:t>Q.5057 (ex Q.GIR)</w:t>
      </w:r>
    </w:p>
    <w:p w14:paraId="3E5E5078" w14:textId="6A4DADE3" w:rsidR="00852B82" w:rsidRPr="00AD306E" w:rsidRDefault="007C7DA8" w:rsidP="00AD306E">
      <w:pPr>
        <w:pStyle w:val="Heading1"/>
        <w:spacing w:before="360"/>
        <w:rPr>
          <w:rFonts w:asciiTheme="minorHAnsi" w:hAnsiTheme="minorHAnsi" w:cstheme="minorHAnsi"/>
          <w:sz w:val="22"/>
          <w:szCs w:val="22"/>
          <w:lang w:val="fr-CH"/>
        </w:rPr>
      </w:pPr>
      <w:r w:rsidRPr="00AD306E">
        <w:rPr>
          <w:rFonts w:asciiTheme="minorHAnsi" w:hAnsiTheme="minorHAnsi" w:cstheme="minorHAnsi"/>
          <w:sz w:val="22"/>
          <w:szCs w:val="22"/>
          <w:lang w:val="fr-CH"/>
        </w:rPr>
        <w:t>1</w:t>
      </w:r>
      <w:r w:rsidRPr="00AD306E">
        <w:rPr>
          <w:rFonts w:asciiTheme="minorHAnsi" w:hAnsiTheme="minorHAnsi" w:cstheme="minorHAnsi"/>
          <w:sz w:val="22"/>
          <w:szCs w:val="22"/>
          <w:lang w:val="fr-CH"/>
        </w:rPr>
        <w:tab/>
      </w:r>
      <w:r w:rsidR="00146772" w:rsidRPr="00AD306E">
        <w:rPr>
          <w:rFonts w:asciiTheme="minorHAnsi" w:hAnsiTheme="minorHAnsi" w:cstheme="minorHAnsi"/>
          <w:sz w:val="22"/>
          <w:szCs w:val="22"/>
          <w:lang w:val="fr-CH"/>
        </w:rPr>
        <w:t xml:space="preserve">Draft new </w:t>
      </w:r>
      <w:proofErr w:type="spellStart"/>
      <w:r w:rsidR="00146772" w:rsidRPr="00AD306E">
        <w:rPr>
          <w:rFonts w:asciiTheme="minorHAnsi" w:hAnsiTheme="minorHAnsi" w:cstheme="minorHAnsi"/>
          <w:sz w:val="22"/>
          <w:szCs w:val="22"/>
          <w:lang w:val="fr-CH"/>
        </w:rPr>
        <w:t>Recommendation</w:t>
      </w:r>
      <w:proofErr w:type="spellEnd"/>
      <w:r w:rsidR="00146772" w:rsidRPr="00AD306E">
        <w:rPr>
          <w:rFonts w:asciiTheme="minorHAnsi" w:hAnsiTheme="minorHAnsi" w:cstheme="minorHAnsi"/>
          <w:sz w:val="22"/>
          <w:szCs w:val="22"/>
          <w:lang w:val="fr-CH"/>
        </w:rPr>
        <w:t xml:space="preserve"> ITU-T </w:t>
      </w:r>
      <w:r w:rsidR="00544276" w:rsidRPr="00AD306E">
        <w:rPr>
          <w:rFonts w:asciiTheme="minorHAnsi" w:hAnsiTheme="minorHAnsi" w:cstheme="minorHAnsi"/>
          <w:sz w:val="22"/>
          <w:szCs w:val="22"/>
          <w:lang w:val="fr-CH"/>
        </w:rPr>
        <w:t>Q.5057 (ex Q.GIR)</w:t>
      </w:r>
      <w:r w:rsidR="00146772" w:rsidRPr="00AD306E">
        <w:rPr>
          <w:rFonts w:asciiTheme="minorHAnsi" w:hAnsiTheme="minorHAnsi" w:cstheme="minorHAnsi"/>
          <w:sz w:val="22"/>
          <w:szCs w:val="22"/>
          <w:lang w:val="fr-CH"/>
        </w:rPr>
        <w:t xml:space="preserve"> [</w:t>
      </w:r>
      <w:hyperlink r:id="rId13" w:history="1">
        <w:r w:rsidR="00146772" w:rsidRPr="00AD306E">
          <w:rPr>
            <w:rStyle w:val="Hyperlink"/>
            <w:rFonts w:asciiTheme="minorHAnsi" w:hAnsiTheme="minorHAnsi" w:cstheme="minorHAnsi"/>
            <w:sz w:val="22"/>
            <w:szCs w:val="22"/>
            <w:lang w:val="fr-CH"/>
          </w:rPr>
          <w:t>SG11-R</w:t>
        </w:r>
        <w:r w:rsidR="0074447C" w:rsidRPr="00AD306E">
          <w:rPr>
            <w:rStyle w:val="Hyperlink"/>
            <w:rFonts w:asciiTheme="minorHAnsi" w:hAnsiTheme="minorHAnsi" w:cstheme="minorHAnsi"/>
            <w:sz w:val="22"/>
            <w:szCs w:val="22"/>
            <w:lang w:val="fr-CH"/>
          </w:rPr>
          <w:t>1</w:t>
        </w:r>
        <w:r w:rsidR="00544276" w:rsidRPr="00AD306E">
          <w:rPr>
            <w:rStyle w:val="Hyperlink"/>
            <w:rFonts w:asciiTheme="minorHAnsi" w:hAnsiTheme="minorHAnsi" w:cstheme="minorHAnsi"/>
            <w:sz w:val="22"/>
            <w:szCs w:val="22"/>
            <w:lang w:val="fr-CH"/>
          </w:rPr>
          <w:t>7</w:t>
        </w:r>
      </w:hyperlink>
      <w:r w:rsidR="00146772" w:rsidRPr="00AD306E">
        <w:rPr>
          <w:rFonts w:asciiTheme="minorHAnsi" w:hAnsiTheme="minorHAnsi" w:cstheme="minorHAnsi"/>
          <w:sz w:val="22"/>
          <w:szCs w:val="22"/>
          <w:lang w:val="fr-CH"/>
        </w:rPr>
        <w:t>]</w:t>
      </w:r>
    </w:p>
    <w:p w14:paraId="4341D5B3" w14:textId="22BC8373" w:rsidR="007C7DA8" w:rsidRPr="00AD306E" w:rsidRDefault="00544276" w:rsidP="00AD306E">
      <w:pPr>
        <w:spacing w:before="240"/>
        <w:rPr>
          <w:rFonts w:asciiTheme="minorHAnsi" w:hAnsiTheme="minorHAnsi" w:cstheme="minorHAnsi"/>
          <w:sz w:val="22"/>
          <w:szCs w:val="22"/>
        </w:rPr>
      </w:pPr>
      <w:r w:rsidRPr="00AD306E">
        <w:rPr>
          <w:rFonts w:asciiTheme="minorHAnsi" w:hAnsiTheme="minorHAnsi" w:cstheme="minorHAnsi"/>
          <w:sz w:val="22"/>
          <w:szCs w:val="22"/>
        </w:rPr>
        <w:t>Technical requirement for a global international mobile equipment identity registry</w:t>
      </w:r>
    </w:p>
    <w:p w14:paraId="4FB00027" w14:textId="77777777" w:rsidR="00852B82" w:rsidRPr="00AD306E" w:rsidRDefault="00691DAA" w:rsidP="00AD306E">
      <w:pPr>
        <w:pStyle w:val="Heading2"/>
        <w:spacing w:before="240"/>
        <w:rPr>
          <w:rFonts w:asciiTheme="minorHAnsi" w:hAnsiTheme="minorHAnsi" w:cstheme="minorHAnsi"/>
          <w:sz w:val="22"/>
          <w:szCs w:val="22"/>
        </w:rPr>
      </w:pPr>
      <w:r w:rsidRPr="00AD306E">
        <w:rPr>
          <w:rFonts w:asciiTheme="minorHAnsi" w:hAnsiTheme="minorHAnsi" w:cstheme="minorHAnsi"/>
          <w:sz w:val="22"/>
          <w:szCs w:val="22"/>
        </w:rPr>
        <w:t>Summary</w:t>
      </w:r>
    </w:p>
    <w:p w14:paraId="6979A17C"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The growing usage of information and communications technology (ICT) equipment in people's daily lives has also brought several unwelcome side-effects related to the increase in the sale, circulation and use of counterfeit ICT devices in the market.</w:t>
      </w:r>
    </w:p>
    <w:p w14:paraId="7A34F5EC"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As described in Recommendation [ITU-T Q.5050] on a framework for solutions to combat counterfeit ICT devices), this has resulted in adverse consequences for multiple stakeholders such as users, network operators, genuine device manufacturers, traders and governments, which include decreased security protection and quality of service for users and revenue losses for a range of stakeholders.</w:t>
      </w:r>
    </w:p>
    <w:p w14:paraId="5CCB63CE"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Clause 10.1 of [ITU-T Q.5050] refers to the prohibition of “the use of invalid and non-genuine device identifiers”.</w:t>
      </w:r>
    </w:p>
    <w:p w14:paraId="01C0C675"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 xml:space="preserve">As the issue of international mobile equipment identity (IMEI) re-programming is still a major concern in combating counterfeiting ICT devices, clause 9.3 of [ITU-T Q.5050] on reliable unique identifiers indicates that genuine ICT devices are required to have unique and persistent identifiers that "are secure, in the sense that they cannot be changed by unauthorized entities, are unique to each equipment and have been assigned by the authorized assigner". This implies that </w:t>
      </w:r>
      <w:proofErr w:type="gramStart"/>
      <w:r w:rsidRPr="00AD306E">
        <w:rPr>
          <w:color w:val="000000"/>
          <w:sz w:val="22"/>
          <w:szCs w:val="22"/>
          <w:lang w:eastAsia="zh-CN" w:bidi="hi-IN"/>
        </w:rPr>
        <w:t>in order to</w:t>
      </w:r>
      <w:proofErr w:type="gramEnd"/>
      <w:r w:rsidRPr="00AD306E">
        <w:rPr>
          <w:color w:val="000000"/>
          <w:sz w:val="22"/>
          <w:szCs w:val="22"/>
          <w:lang w:eastAsia="zh-CN" w:bidi="hi-IN"/>
        </w:rPr>
        <w:t xml:space="preserve"> reduce IMEI reprogramming, it is required to identify that an IMEI has been reprogrammed.</w:t>
      </w:r>
    </w:p>
    <w:p w14:paraId="5B8A2A34"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When an IMEI has been reprogrammed, it will be either random, i.e., an invalid IMEI, a non-genuine IMEI, a duplicate/already used IMEI or an IMEI which is valid but not manufactured by the original equipment manufacturer (OEM). An invalid format or non-allocated TAC based IMEIs could be detected using the mobile network operator (MNO) equipment identity register (EIR) to compare with the standard IMEI format defined by 3GPP and matching with type allocation code (TAC) information allocated by the GSM Association (GSMA). Even IMEIs that have been used can be checked by means of the central equipment identity register (CEIR).</w:t>
      </w:r>
    </w:p>
    <w:p w14:paraId="5E81F378"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 xml:space="preserve">However, finding out if an IMEI has not been manufactured by the OEM can only be done through the IMEI registry. The IMEI registry may either contain the list of IMEIs that have been manufactured by the mobile manufacturers and issued for sale in the </w:t>
      </w:r>
      <w:proofErr w:type="gramStart"/>
      <w:r w:rsidRPr="00AD306E">
        <w:rPr>
          <w:color w:val="000000"/>
          <w:sz w:val="22"/>
          <w:szCs w:val="22"/>
          <w:lang w:eastAsia="zh-CN" w:bidi="hi-IN"/>
        </w:rPr>
        <w:t>market</w:t>
      </w:r>
      <w:proofErr w:type="gramEnd"/>
      <w:r w:rsidRPr="00AD306E">
        <w:rPr>
          <w:color w:val="000000"/>
          <w:sz w:val="22"/>
          <w:szCs w:val="22"/>
          <w:lang w:eastAsia="zh-CN" w:bidi="hi-IN"/>
        </w:rPr>
        <w:t xml:space="preserve"> or it will verify if the IMEI has </w:t>
      </w:r>
      <w:proofErr w:type="gramStart"/>
      <w:r w:rsidRPr="00AD306E">
        <w:rPr>
          <w:color w:val="000000"/>
          <w:sz w:val="22"/>
          <w:szCs w:val="22"/>
          <w:lang w:eastAsia="zh-CN" w:bidi="hi-IN"/>
        </w:rPr>
        <w:t>actually been</w:t>
      </w:r>
      <w:proofErr w:type="gramEnd"/>
      <w:r w:rsidRPr="00AD306E">
        <w:rPr>
          <w:color w:val="000000"/>
          <w:sz w:val="22"/>
          <w:szCs w:val="22"/>
          <w:lang w:eastAsia="zh-CN" w:bidi="hi-IN"/>
        </w:rPr>
        <w:t xml:space="preserve"> manufactured or not by the respective manufacturers through a real time query to the OEM/ODM concerned. Some countries may already have implemented a national IMEI registry, but the issue persists for mobile devices that are imported from other countries or that enter through unauthorized channels. Also, clause 10.2 of [ITU-T Q.5050] also refers to the certification of ICT devices to assist all stakeholders to enable the verification of the authenticity of the products.</w:t>
      </w:r>
    </w:p>
    <w:p w14:paraId="3A6626A0"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Clause 7.5 of Recommendation [ITU-T Q.5052] calls for duplicate IMEI detection across countries. However, this relates to IMEIs that are already in use by subscribers. It does not include IMEIs that have been manufactured but not used in the network.</w:t>
      </w:r>
    </w:p>
    <w:p w14:paraId="7BE48E68"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WTSA Resolution 96 [b-WTSA Res. 96] resolves that ITU-T should "consider solutions to be used to differentiate between authentic/genuine and counterfeit or tampered telecommunication/ICT devices, e.g. establishing a centralized national reference database of authorized equipment".</w:t>
      </w:r>
    </w:p>
    <w:p w14:paraId="0A381429" w14:textId="77777777" w:rsidR="00AD306E" w:rsidRPr="00AD306E" w:rsidRDefault="00AD306E" w:rsidP="00AD306E">
      <w:pPr>
        <w:rPr>
          <w:color w:val="000000"/>
          <w:sz w:val="22"/>
          <w:szCs w:val="22"/>
          <w:lang w:eastAsia="zh-CN" w:bidi="hi-IN"/>
        </w:rPr>
      </w:pPr>
      <w:r w:rsidRPr="00AD306E">
        <w:rPr>
          <w:color w:val="000000"/>
          <w:sz w:val="22"/>
          <w:szCs w:val="22"/>
          <w:lang w:eastAsia="zh-CN" w:bidi="hi-IN"/>
        </w:rPr>
        <w:t>WTSA Resolution 97 [b-WTSA-Res. 97] resolves that "ITU-T should, in collaboration with the relevant standards organizations, develop solutions to address the problem of duplication of unique identifiers".</w:t>
      </w:r>
    </w:p>
    <w:p w14:paraId="2E02C6FD" w14:textId="246A1D6C" w:rsidR="00852B82" w:rsidRPr="00AD306E" w:rsidRDefault="00AD306E" w:rsidP="00AD306E">
      <w:pPr>
        <w:rPr>
          <w:color w:val="000000"/>
          <w:sz w:val="22"/>
          <w:szCs w:val="22"/>
          <w:lang w:val="en-US"/>
        </w:rPr>
      </w:pPr>
      <w:r w:rsidRPr="00AD306E">
        <w:rPr>
          <w:color w:val="000000"/>
          <w:sz w:val="22"/>
          <w:szCs w:val="22"/>
          <w:lang w:eastAsia="zh-CN" w:bidi="hi-IN"/>
        </w:rPr>
        <w:lastRenderedPageBreak/>
        <w:t>In the above context, a global IMEI registry will assist in resolving the issues faced by Member States and consumers such as IMEI cloning and duplication due to IMEI re-programming including the use of IMEIs which have not been manufactured for the allocated TAC. Participating countries or device manufacturers themselves may share the IMEI range produced in their country to help all other countries identify counterfeit mobile devices.</w:t>
      </w:r>
    </w:p>
    <w:p w14:paraId="035CF6C6" w14:textId="4B9A21AB" w:rsidR="00E318FF" w:rsidRPr="00AD306E" w:rsidRDefault="00E318FF" w:rsidP="00AD306E">
      <w:pPr>
        <w:spacing w:before="240"/>
        <w:rPr>
          <w:rFonts w:asciiTheme="minorHAnsi" w:hAnsiTheme="minorHAnsi" w:cstheme="minorHAnsi"/>
          <w:sz w:val="22"/>
          <w:szCs w:val="22"/>
        </w:rPr>
      </w:pPr>
      <w:r w:rsidRPr="00AD306E">
        <w:rPr>
          <w:rFonts w:asciiTheme="minorHAnsi" w:hAnsiTheme="minorHAnsi" w:cstheme="minorHAnsi"/>
          <w:sz w:val="22"/>
          <w:szCs w:val="22"/>
        </w:rPr>
        <w:t>No ITU-T A.5 justification document has been prepared for this Determined draft text.</w:t>
      </w:r>
    </w:p>
    <w:p w14:paraId="220364A4" w14:textId="34C812FF" w:rsidR="00EF01F5" w:rsidRPr="00AD306E" w:rsidRDefault="00EF01F5" w:rsidP="00AD306E">
      <w:pPr>
        <w:spacing w:before="240"/>
        <w:rPr>
          <w:rFonts w:asciiTheme="minorHAnsi" w:hAnsiTheme="minorHAnsi" w:cstheme="minorHAnsi"/>
          <w:sz w:val="22"/>
          <w:szCs w:val="22"/>
        </w:rPr>
      </w:pPr>
      <w:r w:rsidRPr="00AD306E">
        <w:rPr>
          <w:rFonts w:asciiTheme="minorHAnsi" w:hAnsiTheme="minorHAnsi" w:cstheme="minorHAnsi"/>
          <w:sz w:val="22"/>
          <w:szCs w:val="22"/>
        </w:rPr>
        <w:t xml:space="preserve">TSB NOTE – </w:t>
      </w:r>
      <w:r w:rsidR="00544276" w:rsidRPr="00AD306E">
        <w:rPr>
          <w:rFonts w:asciiTheme="minorHAnsi" w:hAnsiTheme="minorHAnsi" w:cstheme="minorHAnsi"/>
          <w:sz w:val="22"/>
          <w:szCs w:val="22"/>
        </w:rPr>
        <w:t xml:space="preserve">As of the date of this Circular, no IPR statements had been received by TSB regarding this draft text. For up-to-date information, members are invited to consult the IPR database at </w:t>
      </w:r>
      <w:hyperlink r:id="rId14" w:history="1">
        <w:r w:rsidR="00544276" w:rsidRPr="00AD306E">
          <w:rPr>
            <w:rStyle w:val="Hyperlink"/>
            <w:rFonts w:asciiTheme="minorHAnsi" w:hAnsiTheme="minorHAnsi" w:cstheme="minorHAnsi"/>
            <w:sz w:val="22"/>
            <w:szCs w:val="22"/>
          </w:rPr>
          <w:t>www.itu.int/ipr/</w:t>
        </w:r>
      </w:hyperlink>
      <w:r w:rsidRPr="00AD306E">
        <w:rPr>
          <w:rFonts w:asciiTheme="minorHAnsi" w:hAnsiTheme="minorHAnsi" w:cstheme="minorHAnsi"/>
          <w:sz w:val="22"/>
          <w:szCs w:val="22"/>
        </w:rPr>
        <w:t>.</w:t>
      </w:r>
    </w:p>
    <w:p w14:paraId="1FC966A9" w14:textId="20B9A773" w:rsidR="008F14F3" w:rsidRPr="00AD306E" w:rsidRDefault="009A1A66" w:rsidP="00157CC8">
      <w:pPr>
        <w:pStyle w:val="Annextitle"/>
        <w:spacing w:before="120"/>
        <w:rPr>
          <w:rFonts w:asciiTheme="minorHAnsi" w:hAnsiTheme="minorHAnsi" w:cstheme="minorHAnsi"/>
          <w:szCs w:val="28"/>
        </w:rPr>
      </w:pPr>
      <w:r w:rsidRPr="00CC0C6F">
        <w:rPr>
          <w:rFonts w:asciiTheme="minorHAnsi" w:hAnsiTheme="minorHAnsi" w:cstheme="minorHAnsi"/>
          <w:sz w:val="22"/>
          <w:szCs w:val="22"/>
          <w:highlight w:val="cyan"/>
        </w:rPr>
        <w:br w:type="page"/>
      </w:r>
      <w:r w:rsidR="00C13D40" w:rsidRPr="00AD306E">
        <w:rPr>
          <w:rFonts w:asciiTheme="minorHAnsi" w:hAnsiTheme="minorHAnsi" w:cstheme="minorHAnsi"/>
          <w:szCs w:val="28"/>
        </w:rPr>
        <w:lastRenderedPageBreak/>
        <w:t>Annex 2</w:t>
      </w:r>
      <w:r w:rsidR="00157CC8" w:rsidRPr="00AD306E">
        <w:rPr>
          <w:rFonts w:asciiTheme="minorHAnsi" w:hAnsiTheme="minorHAnsi" w:cstheme="minorHAnsi"/>
          <w:szCs w:val="28"/>
        </w:rPr>
        <w:br/>
      </w:r>
      <w:r w:rsidR="008F14F3" w:rsidRPr="00AD306E">
        <w:rPr>
          <w:rFonts w:asciiTheme="minorHAnsi" w:hAnsiTheme="minorHAnsi" w:cstheme="minorHAnsi"/>
          <w:szCs w:val="28"/>
        </w:rPr>
        <w:t xml:space="preserve">Subject: </w:t>
      </w:r>
      <w:r w:rsidR="00692261" w:rsidRPr="00AD306E">
        <w:rPr>
          <w:rFonts w:asciiTheme="minorHAnsi" w:hAnsiTheme="minorHAnsi" w:cstheme="minorHAnsi"/>
          <w:szCs w:val="28"/>
        </w:rPr>
        <w:t>Member State response</w:t>
      </w:r>
      <w:r w:rsidR="008F14F3" w:rsidRPr="00AD306E">
        <w:rPr>
          <w:rFonts w:asciiTheme="minorHAnsi" w:hAnsiTheme="minorHAnsi" w:cstheme="minorHAnsi"/>
          <w:szCs w:val="28"/>
        </w:rPr>
        <w:t xml:space="preserve"> to TSB Circular</w:t>
      </w:r>
      <w:r w:rsidR="00B36877" w:rsidRPr="00AD306E">
        <w:rPr>
          <w:rFonts w:asciiTheme="minorHAnsi" w:hAnsiTheme="minorHAnsi" w:cstheme="minorHAnsi"/>
          <w:szCs w:val="28"/>
        </w:rPr>
        <w:t xml:space="preserve"> </w:t>
      </w:r>
      <w:r w:rsidR="002113B3" w:rsidRPr="00AD306E">
        <w:rPr>
          <w:rFonts w:asciiTheme="minorHAnsi" w:hAnsiTheme="minorHAnsi" w:cstheme="minorHAnsi"/>
          <w:szCs w:val="28"/>
        </w:rPr>
        <w:t>125</w:t>
      </w:r>
      <w:r w:rsidR="00692261" w:rsidRPr="00AD306E">
        <w:rPr>
          <w:rFonts w:asciiTheme="minorHAnsi" w:hAnsiTheme="minorHAnsi" w:cstheme="minorHAnsi"/>
          <w:szCs w:val="28"/>
        </w:rPr>
        <w:t>:</w:t>
      </w:r>
      <w:r w:rsidR="00692261" w:rsidRPr="00AD306E">
        <w:rPr>
          <w:rFonts w:asciiTheme="minorHAnsi" w:hAnsiTheme="minorHAnsi" w:cstheme="minorHAnsi"/>
          <w:szCs w:val="28"/>
        </w:rPr>
        <w:br/>
      </w:r>
      <w:r w:rsidR="0016049B" w:rsidRPr="00AD306E">
        <w:rPr>
          <w:rFonts w:asciiTheme="minorHAnsi" w:hAnsiTheme="minorHAnsi" w:cstheme="minorHAnsi"/>
          <w:szCs w:val="28"/>
        </w:rPr>
        <w:t xml:space="preserve">Consultation on </w:t>
      </w:r>
      <w:r w:rsidR="0006765F" w:rsidRPr="00AD306E">
        <w:rPr>
          <w:rFonts w:asciiTheme="minorHAnsi" w:hAnsiTheme="minorHAnsi" w:cstheme="minorHAnsi"/>
          <w:szCs w:val="28"/>
        </w:rPr>
        <w:t xml:space="preserve">Determined </w:t>
      </w:r>
      <w:r w:rsidR="0016049B" w:rsidRPr="00AD306E">
        <w:rPr>
          <w:rFonts w:asciiTheme="minorHAnsi" w:hAnsiTheme="minorHAnsi" w:cstheme="minorHAnsi"/>
          <w:szCs w:val="28"/>
        </w:rPr>
        <w:t>draft</w:t>
      </w:r>
      <w:r w:rsidR="008F14F3" w:rsidRPr="00AD306E">
        <w:rPr>
          <w:rFonts w:asciiTheme="minorHAnsi" w:hAnsiTheme="minorHAnsi" w:cstheme="minorHAnsi"/>
          <w:szCs w:val="28"/>
        </w:rPr>
        <w:t xml:space="preserve"> </w:t>
      </w:r>
      <w:r w:rsidR="002113B3" w:rsidRPr="00AD306E">
        <w:rPr>
          <w:rFonts w:asciiTheme="minorHAnsi" w:hAnsiTheme="minorHAnsi" w:cstheme="minorHAnsi"/>
          <w:szCs w:val="28"/>
        </w:rPr>
        <w:t>ITU-T Q.5057 (ex Q.GIR)</w:t>
      </w:r>
    </w:p>
    <w:tbl>
      <w:tblPr>
        <w:tblW w:w="5000" w:type="pct"/>
        <w:tblLook w:val="04A0" w:firstRow="1" w:lastRow="0" w:firstColumn="1" w:lastColumn="0" w:noHBand="0" w:noVBand="1"/>
      </w:tblPr>
      <w:tblGrid>
        <w:gridCol w:w="973"/>
        <w:gridCol w:w="4413"/>
        <w:gridCol w:w="960"/>
        <w:gridCol w:w="3293"/>
      </w:tblGrid>
      <w:tr w:rsidR="009A1A66" w:rsidRPr="00AD306E" w14:paraId="04CD5EBF" w14:textId="77777777" w:rsidTr="002113B3">
        <w:tc>
          <w:tcPr>
            <w:tcW w:w="505" w:type="pct"/>
          </w:tcPr>
          <w:p w14:paraId="0C7435D8" w14:textId="77777777" w:rsidR="009A1A66" w:rsidRPr="00AD306E" w:rsidRDefault="009A1A66" w:rsidP="001B1770">
            <w:pPr>
              <w:jc w:val="right"/>
              <w:rPr>
                <w:rFonts w:asciiTheme="minorHAnsi" w:hAnsiTheme="minorHAnsi" w:cstheme="minorHAnsi"/>
                <w:sz w:val="22"/>
                <w:szCs w:val="22"/>
              </w:rPr>
            </w:pPr>
            <w:r w:rsidRPr="00AD306E">
              <w:rPr>
                <w:rFonts w:asciiTheme="minorHAnsi" w:hAnsiTheme="minorHAnsi" w:cstheme="minorHAnsi"/>
                <w:b/>
                <w:bCs/>
                <w:sz w:val="22"/>
                <w:szCs w:val="22"/>
              </w:rPr>
              <w:t>To</w:t>
            </w:r>
            <w:r w:rsidRPr="00AD306E">
              <w:rPr>
                <w:rFonts w:asciiTheme="minorHAnsi" w:hAnsiTheme="minorHAnsi" w:cstheme="minorHAnsi"/>
                <w:sz w:val="22"/>
                <w:szCs w:val="22"/>
              </w:rPr>
              <w:t>:</w:t>
            </w:r>
          </w:p>
        </w:tc>
        <w:tc>
          <w:tcPr>
            <w:tcW w:w="2289" w:type="pct"/>
            <w:tcBorders>
              <w:right w:val="single" w:sz="8" w:space="0" w:color="auto"/>
            </w:tcBorders>
          </w:tcPr>
          <w:p w14:paraId="614247C7" w14:textId="77777777" w:rsidR="009A1A66" w:rsidRPr="00AD306E" w:rsidRDefault="009A1A66" w:rsidP="004B50B2">
            <w:pPr>
              <w:rPr>
                <w:rFonts w:asciiTheme="minorHAnsi" w:hAnsiTheme="minorHAnsi" w:cstheme="minorHAnsi"/>
                <w:sz w:val="22"/>
                <w:szCs w:val="22"/>
              </w:rPr>
            </w:pPr>
            <w:r w:rsidRPr="00AD306E">
              <w:rPr>
                <w:rFonts w:asciiTheme="minorHAnsi" w:hAnsiTheme="minorHAnsi" w:cstheme="minorHAnsi"/>
                <w:sz w:val="22"/>
                <w:szCs w:val="22"/>
              </w:rPr>
              <w:t>Director</w:t>
            </w:r>
            <w:r w:rsidR="002A4977" w:rsidRPr="00AD306E">
              <w:rPr>
                <w:rFonts w:asciiTheme="minorHAnsi" w:hAnsiTheme="minorHAnsi" w:cstheme="minorHAnsi"/>
                <w:sz w:val="22"/>
                <w:szCs w:val="22"/>
              </w:rPr>
              <w:t xml:space="preserve"> of the</w:t>
            </w:r>
            <w:r w:rsidRPr="00AD306E">
              <w:rPr>
                <w:rFonts w:asciiTheme="minorHAnsi" w:hAnsiTheme="minorHAnsi" w:cstheme="minorHAnsi"/>
                <w:sz w:val="22"/>
                <w:szCs w:val="22"/>
              </w:rPr>
              <w:t xml:space="preserve"> </w:t>
            </w:r>
            <w:r w:rsidR="002A4977" w:rsidRPr="00AD306E">
              <w:rPr>
                <w:rFonts w:asciiTheme="minorHAnsi" w:hAnsiTheme="minorHAnsi" w:cstheme="minorHAnsi"/>
                <w:sz w:val="22"/>
                <w:szCs w:val="22"/>
              </w:rPr>
              <w:br/>
            </w:r>
            <w:r w:rsidRPr="00AD306E">
              <w:rPr>
                <w:rFonts w:asciiTheme="minorHAnsi" w:hAnsiTheme="minorHAnsi" w:cstheme="minorHAnsi"/>
                <w:sz w:val="22"/>
                <w:szCs w:val="22"/>
              </w:rPr>
              <w:t>Telecommunication Standardization Bureau</w:t>
            </w:r>
            <w:r w:rsidR="00964A6B" w:rsidRPr="00AD306E">
              <w:rPr>
                <w:rFonts w:asciiTheme="minorHAnsi" w:hAnsiTheme="minorHAnsi" w:cstheme="minorHAnsi"/>
                <w:sz w:val="22"/>
                <w:szCs w:val="22"/>
              </w:rPr>
              <w:t>,</w:t>
            </w:r>
          </w:p>
          <w:p w14:paraId="46C892DB" w14:textId="77777777" w:rsidR="008A779C" w:rsidRPr="00AD306E" w:rsidRDefault="008A779C" w:rsidP="008F14F3">
            <w:pPr>
              <w:spacing w:before="0"/>
              <w:rPr>
                <w:rFonts w:asciiTheme="minorHAnsi" w:hAnsiTheme="minorHAnsi" w:cstheme="minorHAnsi"/>
                <w:sz w:val="22"/>
                <w:szCs w:val="22"/>
                <w:lang w:val="fr-CH"/>
              </w:rPr>
            </w:pPr>
            <w:r w:rsidRPr="00AD306E">
              <w:rPr>
                <w:rFonts w:asciiTheme="minorHAnsi" w:hAnsiTheme="minorHAnsi" w:cstheme="minorHAnsi"/>
                <w:sz w:val="22"/>
                <w:szCs w:val="22"/>
                <w:lang w:val="fr-CH"/>
              </w:rPr>
              <w:t xml:space="preserve">International </w:t>
            </w:r>
            <w:proofErr w:type="spellStart"/>
            <w:r w:rsidRPr="00AD306E">
              <w:rPr>
                <w:rFonts w:asciiTheme="minorHAnsi" w:hAnsiTheme="minorHAnsi" w:cstheme="minorHAnsi"/>
                <w:sz w:val="22"/>
                <w:szCs w:val="22"/>
                <w:lang w:val="fr-CH"/>
              </w:rPr>
              <w:t>Telecommunication</w:t>
            </w:r>
            <w:proofErr w:type="spellEnd"/>
            <w:r w:rsidRPr="00AD306E">
              <w:rPr>
                <w:rFonts w:asciiTheme="minorHAnsi" w:hAnsiTheme="minorHAnsi" w:cstheme="minorHAnsi"/>
                <w:sz w:val="22"/>
                <w:szCs w:val="22"/>
                <w:lang w:val="fr-CH"/>
              </w:rPr>
              <w:t xml:space="preserve"> Union</w:t>
            </w:r>
          </w:p>
          <w:p w14:paraId="17B6B52D" w14:textId="77777777" w:rsidR="008A779C" w:rsidRPr="00AD306E" w:rsidRDefault="008A779C" w:rsidP="008F14F3">
            <w:pPr>
              <w:spacing w:before="0"/>
              <w:rPr>
                <w:rFonts w:asciiTheme="minorHAnsi" w:hAnsiTheme="minorHAnsi" w:cstheme="minorHAnsi"/>
                <w:sz w:val="22"/>
                <w:szCs w:val="22"/>
                <w:lang w:val="fr-CH"/>
              </w:rPr>
            </w:pPr>
            <w:r w:rsidRPr="00AD306E">
              <w:rPr>
                <w:rFonts w:asciiTheme="minorHAnsi" w:hAnsiTheme="minorHAnsi" w:cstheme="minorHAnsi"/>
                <w:sz w:val="22"/>
                <w:szCs w:val="22"/>
                <w:lang w:val="fr-CH"/>
              </w:rPr>
              <w:t>Place des Nations</w:t>
            </w:r>
          </w:p>
          <w:p w14:paraId="57513C1D" w14:textId="77777777" w:rsidR="008A779C" w:rsidRPr="00AD306E" w:rsidRDefault="008A779C" w:rsidP="008F14F3">
            <w:pPr>
              <w:spacing w:before="0"/>
              <w:rPr>
                <w:rFonts w:asciiTheme="minorHAnsi" w:hAnsiTheme="minorHAnsi" w:cstheme="minorHAnsi"/>
                <w:sz w:val="22"/>
                <w:szCs w:val="22"/>
              </w:rPr>
            </w:pPr>
            <w:r w:rsidRPr="00AD306E">
              <w:rPr>
                <w:rFonts w:asciiTheme="minorHAnsi" w:hAnsiTheme="minorHAnsi" w:cstheme="minorHAnsi"/>
                <w:sz w:val="22"/>
                <w:szCs w:val="22"/>
              </w:rPr>
              <w:t>CH 1211 Geneva 20, Switzerland</w:t>
            </w:r>
          </w:p>
        </w:tc>
        <w:tc>
          <w:tcPr>
            <w:tcW w:w="498" w:type="pct"/>
            <w:tcBorders>
              <w:left w:val="single" w:sz="8" w:space="0" w:color="auto"/>
            </w:tcBorders>
          </w:tcPr>
          <w:p w14:paraId="627C0A49" w14:textId="77777777" w:rsidR="009A1A66" w:rsidRPr="00AD306E" w:rsidRDefault="009A1A66" w:rsidP="001B1770">
            <w:pPr>
              <w:jc w:val="right"/>
              <w:rPr>
                <w:rFonts w:asciiTheme="minorHAnsi" w:hAnsiTheme="minorHAnsi" w:cstheme="minorHAnsi"/>
                <w:sz w:val="22"/>
                <w:szCs w:val="22"/>
              </w:rPr>
            </w:pPr>
            <w:r w:rsidRPr="00AD306E">
              <w:rPr>
                <w:rFonts w:asciiTheme="minorHAnsi" w:hAnsiTheme="minorHAnsi" w:cstheme="minorHAnsi"/>
                <w:b/>
                <w:bCs/>
                <w:sz w:val="22"/>
                <w:szCs w:val="22"/>
              </w:rPr>
              <w:t>From</w:t>
            </w:r>
            <w:r w:rsidRPr="00AD306E">
              <w:rPr>
                <w:rFonts w:asciiTheme="minorHAnsi" w:hAnsiTheme="minorHAnsi" w:cstheme="minorHAnsi"/>
                <w:sz w:val="22"/>
                <w:szCs w:val="22"/>
              </w:rPr>
              <w:t>:</w:t>
            </w:r>
          </w:p>
        </w:tc>
        <w:tc>
          <w:tcPr>
            <w:tcW w:w="1708" w:type="pct"/>
          </w:tcPr>
          <w:p w14:paraId="4BA385FC" w14:textId="77777777" w:rsidR="009A1A66" w:rsidRPr="00AD306E" w:rsidRDefault="008A779C" w:rsidP="009A1A66">
            <w:pPr>
              <w:rPr>
                <w:rFonts w:asciiTheme="minorHAnsi" w:hAnsiTheme="minorHAnsi" w:cstheme="minorHAnsi"/>
                <w:sz w:val="22"/>
                <w:szCs w:val="22"/>
                <w:highlight w:val="green"/>
              </w:rPr>
            </w:pPr>
            <w:r w:rsidRPr="00AD306E">
              <w:rPr>
                <w:rFonts w:asciiTheme="minorHAnsi" w:hAnsiTheme="minorHAnsi" w:cstheme="minorHAnsi"/>
                <w:sz w:val="22"/>
                <w:szCs w:val="22"/>
                <w:highlight w:val="green"/>
              </w:rPr>
              <w:t>[Name]</w:t>
            </w:r>
          </w:p>
          <w:p w14:paraId="5B57EADD" w14:textId="77777777" w:rsidR="008A779C" w:rsidRPr="00AD306E" w:rsidRDefault="008A779C" w:rsidP="008F14F3">
            <w:pPr>
              <w:spacing w:before="0"/>
              <w:rPr>
                <w:rFonts w:asciiTheme="minorHAnsi" w:hAnsiTheme="minorHAnsi" w:cstheme="minorHAnsi"/>
                <w:sz w:val="22"/>
                <w:szCs w:val="22"/>
                <w:highlight w:val="green"/>
              </w:rPr>
            </w:pPr>
            <w:r w:rsidRPr="00AD306E">
              <w:rPr>
                <w:rFonts w:asciiTheme="minorHAnsi" w:hAnsiTheme="minorHAnsi" w:cstheme="minorHAnsi"/>
                <w:sz w:val="22"/>
                <w:szCs w:val="22"/>
                <w:highlight w:val="green"/>
              </w:rPr>
              <w:t>[Official role/title]</w:t>
            </w:r>
          </w:p>
          <w:p w14:paraId="56DA03B7" w14:textId="77777777" w:rsidR="008A779C" w:rsidRPr="00AD306E" w:rsidRDefault="008A779C" w:rsidP="009B72DB">
            <w:pPr>
              <w:spacing w:before="0"/>
              <w:rPr>
                <w:rFonts w:asciiTheme="minorHAnsi" w:hAnsiTheme="minorHAnsi" w:cstheme="minorHAnsi"/>
                <w:sz w:val="22"/>
                <w:szCs w:val="22"/>
              </w:rPr>
            </w:pPr>
            <w:r w:rsidRPr="00AD306E">
              <w:rPr>
                <w:rFonts w:asciiTheme="minorHAnsi" w:hAnsiTheme="minorHAnsi" w:cstheme="minorHAnsi"/>
                <w:sz w:val="22"/>
                <w:szCs w:val="22"/>
                <w:highlight w:val="green"/>
              </w:rPr>
              <w:t>[Address]</w:t>
            </w:r>
          </w:p>
        </w:tc>
      </w:tr>
      <w:tr w:rsidR="00FB2510" w:rsidRPr="00AD306E" w14:paraId="1749DDF4" w14:textId="77777777" w:rsidTr="002113B3">
        <w:tc>
          <w:tcPr>
            <w:tcW w:w="505" w:type="pct"/>
          </w:tcPr>
          <w:p w14:paraId="40C9289D" w14:textId="178CD240" w:rsidR="00FB2510" w:rsidRPr="00AD306E" w:rsidRDefault="00FB2510" w:rsidP="002113B3">
            <w:pPr>
              <w:jc w:val="right"/>
              <w:rPr>
                <w:rFonts w:asciiTheme="minorHAnsi" w:hAnsiTheme="minorHAnsi" w:cstheme="minorHAnsi"/>
                <w:sz w:val="22"/>
                <w:szCs w:val="22"/>
              </w:rPr>
            </w:pPr>
            <w:r w:rsidRPr="00AD306E">
              <w:rPr>
                <w:rFonts w:asciiTheme="minorHAnsi" w:hAnsiTheme="minorHAnsi" w:cstheme="minorHAnsi"/>
                <w:b/>
                <w:bCs/>
                <w:sz w:val="22"/>
                <w:szCs w:val="22"/>
              </w:rPr>
              <w:t>Fax</w:t>
            </w:r>
            <w:r w:rsidRPr="00AD306E">
              <w:rPr>
                <w:rFonts w:asciiTheme="minorHAnsi" w:hAnsiTheme="minorHAnsi" w:cstheme="minorHAnsi"/>
                <w:sz w:val="22"/>
                <w:szCs w:val="22"/>
              </w:rPr>
              <w:t>:</w:t>
            </w:r>
          </w:p>
        </w:tc>
        <w:tc>
          <w:tcPr>
            <w:tcW w:w="2289" w:type="pct"/>
            <w:tcBorders>
              <w:right w:val="single" w:sz="8" w:space="0" w:color="auto"/>
            </w:tcBorders>
          </w:tcPr>
          <w:p w14:paraId="14AADBBC" w14:textId="4A52653C" w:rsidR="00FB2510" w:rsidRPr="00AD306E" w:rsidRDefault="00FB2510" w:rsidP="002113B3">
            <w:pPr>
              <w:rPr>
                <w:rFonts w:asciiTheme="minorHAnsi" w:hAnsiTheme="minorHAnsi" w:cstheme="minorHAnsi"/>
                <w:sz w:val="22"/>
                <w:szCs w:val="22"/>
              </w:rPr>
            </w:pPr>
            <w:r w:rsidRPr="00AD306E">
              <w:rPr>
                <w:rFonts w:asciiTheme="minorHAnsi" w:hAnsiTheme="minorHAnsi" w:cstheme="minorHAnsi"/>
                <w:sz w:val="22"/>
                <w:szCs w:val="22"/>
              </w:rPr>
              <w:t>+41-22-730-5853</w:t>
            </w:r>
          </w:p>
        </w:tc>
        <w:tc>
          <w:tcPr>
            <w:tcW w:w="498" w:type="pct"/>
            <w:tcBorders>
              <w:left w:val="single" w:sz="8" w:space="0" w:color="auto"/>
            </w:tcBorders>
          </w:tcPr>
          <w:p w14:paraId="4C0F6C2F" w14:textId="6AF1E19A" w:rsidR="00FB2510" w:rsidRPr="00AD306E" w:rsidRDefault="00FB2510" w:rsidP="002113B3">
            <w:pPr>
              <w:jc w:val="right"/>
              <w:rPr>
                <w:rFonts w:asciiTheme="minorHAnsi" w:hAnsiTheme="minorHAnsi" w:cstheme="minorHAnsi"/>
                <w:sz w:val="22"/>
                <w:szCs w:val="22"/>
              </w:rPr>
            </w:pPr>
            <w:r w:rsidRPr="00AD306E">
              <w:rPr>
                <w:rFonts w:asciiTheme="minorHAnsi" w:hAnsiTheme="minorHAnsi" w:cstheme="minorHAnsi"/>
                <w:b/>
                <w:bCs/>
                <w:sz w:val="22"/>
                <w:szCs w:val="22"/>
              </w:rPr>
              <w:t>Fax</w:t>
            </w:r>
            <w:r w:rsidRPr="00AD306E">
              <w:rPr>
                <w:rFonts w:asciiTheme="minorHAnsi" w:hAnsiTheme="minorHAnsi" w:cstheme="minorHAnsi"/>
                <w:sz w:val="22"/>
                <w:szCs w:val="22"/>
              </w:rPr>
              <w:t>:</w:t>
            </w:r>
          </w:p>
        </w:tc>
        <w:tc>
          <w:tcPr>
            <w:tcW w:w="1708" w:type="pct"/>
          </w:tcPr>
          <w:p w14:paraId="06B63632" w14:textId="77777777" w:rsidR="00FB2510" w:rsidRPr="00AD306E" w:rsidRDefault="00FB2510" w:rsidP="002113B3">
            <w:pPr>
              <w:rPr>
                <w:rFonts w:asciiTheme="minorHAnsi" w:hAnsiTheme="minorHAnsi" w:cstheme="minorHAnsi"/>
                <w:sz w:val="22"/>
                <w:szCs w:val="22"/>
              </w:rPr>
            </w:pPr>
          </w:p>
        </w:tc>
      </w:tr>
      <w:tr w:rsidR="009A1A66" w:rsidRPr="00AD306E" w14:paraId="6856B33A" w14:textId="77777777" w:rsidTr="002113B3">
        <w:tc>
          <w:tcPr>
            <w:tcW w:w="505" w:type="pct"/>
          </w:tcPr>
          <w:p w14:paraId="2260382E" w14:textId="77777777" w:rsidR="008A779C" w:rsidRPr="00AD306E" w:rsidRDefault="008A779C" w:rsidP="002113B3">
            <w:pPr>
              <w:jc w:val="right"/>
              <w:rPr>
                <w:rFonts w:asciiTheme="minorHAnsi" w:hAnsiTheme="minorHAnsi" w:cstheme="minorHAnsi"/>
                <w:sz w:val="22"/>
                <w:szCs w:val="22"/>
              </w:rPr>
            </w:pPr>
            <w:r w:rsidRPr="00AD306E">
              <w:rPr>
                <w:rFonts w:asciiTheme="minorHAnsi" w:hAnsiTheme="minorHAnsi" w:cstheme="minorHAnsi"/>
                <w:b/>
                <w:bCs/>
                <w:sz w:val="22"/>
                <w:szCs w:val="22"/>
              </w:rPr>
              <w:t>E</w:t>
            </w:r>
            <w:r w:rsidR="008F14F3" w:rsidRPr="00AD306E">
              <w:rPr>
                <w:rFonts w:asciiTheme="minorHAnsi" w:hAnsiTheme="minorHAnsi" w:cstheme="minorHAnsi"/>
                <w:b/>
                <w:bCs/>
                <w:sz w:val="22"/>
                <w:szCs w:val="22"/>
              </w:rPr>
              <w:t>-</w:t>
            </w:r>
            <w:r w:rsidRPr="00AD306E">
              <w:rPr>
                <w:rFonts w:asciiTheme="minorHAnsi" w:hAnsiTheme="minorHAnsi" w:cstheme="minorHAnsi"/>
                <w:b/>
                <w:bCs/>
                <w:sz w:val="22"/>
                <w:szCs w:val="22"/>
              </w:rPr>
              <w:t>mail</w:t>
            </w:r>
            <w:r w:rsidRPr="00AD306E">
              <w:rPr>
                <w:rFonts w:asciiTheme="minorHAnsi" w:hAnsiTheme="minorHAnsi" w:cstheme="minorHAnsi"/>
                <w:sz w:val="22"/>
                <w:szCs w:val="22"/>
              </w:rPr>
              <w:t>:</w:t>
            </w:r>
          </w:p>
        </w:tc>
        <w:tc>
          <w:tcPr>
            <w:tcW w:w="2289" w:type="pct"/>
            <w:tcBorders>
              <w:right w:val="single" w:sz="8" w:space="0" w:color="auto"/>
            </w:tcBorders>
          </w:tcPr>
          <w:p w14:paraId="2DB978A8" w14:textId="77777777" w:rsidR="008A779C" w:rsidRPr="00AD306E" w:rsidRDefault="008A779C" w:rsidP="002113B3">
            <w:pPr>
              <w:rPr>
                <w:rFonts w:asciiTheme="minorHAnsi" w:hAnsiTheme="minorHAnsi" w:cstheme="minorHAnsi"/>
                <w:sz w:val="22"/>
                <w:szCs w:val="22"/>
              </w:rPr>
            </w:pPr>
            <w:hyperlink r:id="rId15" w:history="1">
              <w:r w:rsidRPr="00AD306E">
                <w:rPr>
                  <w:rStyle w:val="Hyperlink"/>
                  <w:rFonts w:asciiTheme="minorHAnsi" w:hAnsiTheme="minorHAnsi" w:cstheme="minorHAnsi"/>
                  <w:sz w:val="22"/>
                  <w:szCs w:val="22"/>
                </w:rPr>
                <w:t>tsbdir@itu.int</w:t>
              </w:r>
            </w:hyperlink>
            <w:r w:rsidRPr="00AD306E">
              <w:rPr>
                <w:rFonts w:asciiTheme="minorHAnsi" w:hAnsiTheme="minorHAnsi" w:cstheme="minorHAnsi"/>
                <w:sz w:val="22"/>
                <w:szCs w:val="22"/>
              </w:rPr>
              <w:t xml:space="preserve"> </w:t>
            </w:r>
          </w:p>
        </w:tc>
        <w:tc>
          <w:tcPr>
            <w:tcW w:w="498" w:type="pct"/>
            <w:tcBorders>
              <w:left w:val="single" w:sz="8" w:space="0" w:color="auto"/>
            </w:tcBorders>
          </w:tcPr>
          <w:p w14:paraId="75D8082F" w14:textId="77777777" w:rsidR="008A779C" w:rsidRPr="00AD306E" w:rsidRDefault="008A779C" w:rsidP="002113B3">
            <w:pPr>
              <w:jc w:val="right"/>
              <w:rPr>
                <w:rFonts w:asciiTheme="minorHAnsi" w:hAnsiTheme="minorHAnsi" w:cstheme="minorHAnsi"/>
                <w:sz w:val="22"/>
                <w:szCs w:val="22"/>
              </w:rPr>
            </w:pPr>
            <w:r w:rsidRPr="00AD306E">
              <w:rPr>
                <w:rFonts w:asciiTheme="minorHAnsi" w:hAnsiTheme="minorHAnsi" w:cstheme="minorHAnsi"/>
                <w:b/>
                <w:bCs/>
                <w:sz w:val="22"/>
                <w:szCs w:val="22"/>
              </w:rPr>
              <w:t>E</w:t>
            </w:r>
            <w:r w:rsidR="008F14F3" w:rsidRPr="00AD306E">
              <w:rPr>
                <w:rFonts w:asciiTheme="minorHAnsi" w:hAnsiTheme="minorHAnsi" w:cstheme="minorHAnsi"/>
                <w:b/>
                <w:bCs/>
                <w:sz w:val="22"/>
                <w:szCs w:val="22"/>
              </w:rPr>
              <w:t>-</w:t>
            </w:r>
            <w:r w:rsidRPr="00AD306E">
              <w:rPr>
                <w:rFonts w:asciiTheme="minorHAnsi" w:hAnsiTheme="minorHAnsi" w:cstheme="minorHAnsi"/>
                <w:b/>
                <w:bCs/>
                <w:sz w:val="22"/>
                <w:szCs w:val="22"/>
              </w:rPr>
              <w:t>mail</w:t>
            </w:r>
            <w:r w:rsidRPr="00AD306E">
              <w:rPr>
                <w:rFonts w:asciiTheme="minorHAnsi" w:hAnsiTheme="minorHAnsi" w:cstheme="minorHAnsi"/>
                <w:sz w:val="22"/>
                <w:szCs w:val="22"/>
              </w:rPr>
              <w:t>:</w:t>
            </w:r>
          </w:p>
        </w:tc>
        <w:tc>
          <w:tcPr>
            <w:tcW w:w="1708" w:type="pct"/>
          </w:tcPr>
          <w:p w14:paraId="7BBEF8AB" w14:textId="77777777" w:rsidR="009A1A66" w:rsidRPr="00AD306E" w:rsidRDefault="009A1A66" w:rsidP="002113B3">
            <w:pPr>
              <w:rPr>
                <w:rFonts w:asciiTheme="minorHAnsi" w:hAnsiTheme="minorHAnsi" w:cstheme="minorHAnsi"/>
                <w:sz w:val="22"/>
                <w:szCs w:val="22"/>
              </w:rPr>
            </w:pPr>
          </w:p>
        </w:tc>
      </w:tr>
      <w:tr w:rsidR="009A1A66" w:rsidRPr="00AD306E" w14:paraId="4BE29F93" w14:textId="77777777" w:rsidTr="002113B3">
        <w:tc>
          <w:tcPr>
            <w:tcW w:w="505" w:type="pct"/>
          </w:tcPr>
          <w:p w14:paraId="6126A2B1" w14:textId="77777777" w:rsidR="009A1A66" w:rsidRPr="00AD306E" w:rsidRDefault="009A1A66" w:rsidP="00692261">
            <w:pPr>
              <w:spacing w:before="0"/>
              <w:jc w:val="right"/>
              <w:rPr>
                <w:rFonts w:asciiTheme="minorHAnsi" w:hAnsiTheme="minorHAnsi" w:cstheme="minorHAnsi"/>
                <w:sz w:val="22"/>
                <w:szCs w:val="22"/>
              </w:rPr>
            </w:pPr>
          </w:p>
        </w:tc>
        <w:tc>
          <w:tcPr>
            <w:tcW w:w="2289" w:type="pct"/>
            <w:tcBorders>
              <w:right w:val="single" w:sz="8" w:space="0" w:color="auto"/>
            </w:tcBorders>
          </w:tcPr>
          <w:p w14:paraId="223C4C59" w14:textId="77777777" w:rsidR="009A1A66" w:rsidRPr="00AD306E" w:rsidRDefault="009A1A66" w:rsidP="00692261">
            <w:pPr>
              <w:spacing w:before="0"/>
              <w:rPr>
                <w:rFonts w:asciiTheme="minorHAnsi" w:hAnsiTheme="minorHAnsi" w:cstheme="minorHAnsi"/>
                <w:sz w:val="22"/>
                <w:szCs w:val="22"/>
              </w:rPr>
            </w:pPr>
          </w:p>
        </w:tc>
        <w:tc>
          <w:tcPr>
            <w:tcW w:w="498" w:type="pct"/>
            <w:tcBorders>
              <w:left w:val="single" w:sz="8" w:space="0" w:color="auto"/>
            </w:tcBorders>
          </w:tcPr>
          <w:p w14:paraId="7E49C952" w14:textId="77777777" w:rsidR="009A1A66" w:rsidRPr="00AD306E" w:rsidRDefault="008A779C" w:rsidP="002113B3">
            <w:pPr>
              <w:jc w:val="right"/>
              <w:rPr>
                <w:rFonts w:asciiTheme="minorHAnsi" w:hAnsiTheme="minorHAnsi" w:cstheme="minorHAnsi"/>
                <w:sz w:val="22"/>
                <w:szCs w:val="22"/>
              </w:rPr>
            </w:pPr>
            <w:r w:rsidRPr="00AD306E">
              <w:rPr>
                <w:rFonts w:asciiTheme="minorHAnsi" w:hAnsiTheme="minorHAnsi" w:cstheme="minorHAnsi"/>
                <w:b/>
                <w:bCs/>
                <w:sz w:val="22"/>
                <w:szCs w:val="22"/>
              </w:rPr>
              <w:t>Date</w:t>
            </w:r>
            <w:r w:rsidRPr="00AD306E">
              <w:rPr>
                <w:rFonts w:asciiTheme="minorHAnsi" w:hAnsiTheme="minorHAnsi" w:cstheme="minorHAnsi"/>
                <w:sz w:val="22"/>
                <w:szCs w:val="22"/>
              </w:rPr>
              <w:t>:</w:t>
            </w:r>
          </w:p>
        </w:tc>
        <w:tc>
          <w:tcPr>
            <w:tcW w:w="1708" w:type="pct"/>
          </w:tcPr>
          <w:p w14:paraId="6FBD4A91" w14:textId="77777777" w:rsidR="009A1A66" w:rsidRPr="00AD306E" w:rsidRDefault="0018632F" w:rsidP="002113B3">
            <w:pPr>
              <w:rPr>
                <w:rFonts w:asciiTheme="minorHAnsi" w:hAnsiTheme="minorHAnsi" w:cstheme="minorHAnsi"/>
                <w:sz w:val="22"/>
                <w:szCs w:val="22"/>
              </w:rPr>
            </w:pPr>
            <w:r w:rsidRPr="00AD306E">
              <w:rPr>
                <w:rFonts w:asciiTheme="minorHAnsi" w:hAnsiTheme="minorHAnsi" w:cstheme="minorHAnsi"/>
                <w:sz w:val="22"/>
                <w:szCs w:val="22"/>
                <w:highlight w:val="green"/>
              </w:rPr>
              <w:t xml:space="preserve">[Place,] </w:t>
            </w:r>
            <w:r w:rsidR="008A779C" w:rsidRPr="00AD306E">
              <w:rPr>
                <w:rFonts w:asciiTheme="minorHAnsi" w:hAnsiTheme="minorHAnsi" w:cstheme="minorHAnsi"/>
                <w:sz w:val="22"/>
                <w:szCs w:val="22"/>
                <w:highlight w:val="green"/>
              </w:rPr>
              <w:t>[Date]</w:t>
            </w:r>
          </w:p>
        </w:tc>
      </w:tr>
    </w:tbl>
    <w:p w14:paraId="5010B0D4" w14:textId="77777777" w:rsidR="00C51F4B" w:rsidRPr="004572F7" w:rsidRDefault="00C51F4B" w:rsidP="008F14F3">
      <w:pPr>
        <w:spacing w:before="360"/>
        <w:rPr>
          <w:rFonts w:asciiTheme="minorHAnsi" w:hAnsiTheme="minorHAnsi" w:cstheme="minorHAnsi"/>
          <w:sz w:val="22"/>
          <w:szCs w:val="22"/>
        </w:rPr>
      </w:pPr>
      <w:r w:rsidRPr="004572F7">
        <w:rPr>
          <w:rFonts w:asciiTheme="minorHAnsi" w:hAnsiTheme="minorHAnsi" w:cstheme="minorHAnsi"/>
          <w:sz w:val="22"/>
          <w:szCs w:val="22"/>
        </w:rPr>
        <w:t xml:space="preserve">Dear </w:t>
      </w:r>
      <w:r w:rsidR="00964A6B" w:rsidRPr="004572F7">
        <w:rPr>
          <w:rFonts w:asciiTheme="minorHAnsi" w:hAnsiTheme="minorHAnsi" w:cstheme="minorHAnsi"/>
          <w:sz w:val="22"/>
          <w:szCs w:val="22"/>
        </w:rPr>
        <w:t>Sir/Madam</w:t>
      </w:r>
      <w:r w:rsidR="00692261" w:rsidRPr="004572F7">
        <w:rPr>
          <w:rFonts w:asciiTheme="minorHAnsi" w:hAnsiTheme="minorHAnsi" w:cstheme="minorHAnsi"/>
          <w:sz w:val="22"/>
          <w:szCs w:val="22"/>
        </w:rPr>
        <w:t>,</w:t>
      </w:r>
    </w:p>
    <w:p w14:paraId="2B5C9A78" w14:textId="7AA98B92" w:rsidR="00C51F4B" w:rsidRPr="004572F7" w:rsidRDefault="006D7724" w:rsidP="002113B3">
      <w:pPr>
        <w:spacing w:after="360"/>
        <w:rPr>
          <w:rFonts w:asciiTheme="minorHAnsi" w:hAnsiTheme="minorHAnsi" w:cstheme="minorHAnsi"/>
          <w:sz w:val="22"/>
          <w:szCs w:val="22"/>
        </w:rPr>
      </w:pPr>
      <w:r w:rsidRPr="004572F7">
        <w:rPr>
          <w:rFonts w:asciiTheme="minorHAnsi" w:hAnsiTheme="minorHAnsi" w:cstheme="minorHAnsi"/>
          <w:sz w:val="22"/>
          <w:szCs w:val="22"/>
        </w:rPr>
        <w:t>With respect to the</w:t>
      </w:r>
      <w:r w:rsidR="0016049B" w:rsidRPr="004572F7">
        <w:rPr>
          <w:rFonts w:asciiTheme="minorHAnsi" w:hAnsiTheme="minorHAnsi" w:cstheme="minorHAnsi"/>
          <w:sz w:val="22"/>
          <w:szCs w:val="22"/>
        </w:rPr>
        <w:t xml:space="preserve"> Member State consultation on the</w:t>
      </w:r>
      <w:r w:rsidRPr="004572F7">
        <w:rPr>
          <w:rFonts w:asciiTheme="minorHAnsi" w:hAnsiTheme="minorHAnsi" w:cstheme="minorHAnsi"/>
          <w:sz w:val="22"/>
          <w:szCs w:val="22"/>
        </w:rPr>
        <w:t xml:space="preserve"> </w:t>
      </w:r>
      <w:r w:rsidR="0006765F" w:rsidRPr="004572F7">
        <w:rPr>
          <w:rFonts w:asciiTheme="minorHAnsi" w:hAnsiTheme="minorHAnsi" w:cstheme="minorHAnsi"/>
          <w:sz w:val="22"/>
          <w:szCs w:val="22"/>
        </w:rPr>
        <w:t xml:space="preserve">Determined </w:t>
      </w:r>
      <w:r w:rsidRPr="00CC0C6F">
        <w:rPr>
          <w:rFonts w:asciiTheme="minorHAnsi" w:hAnsiTheme="minorHAnsi" w:cstheme="minorHAnsi"/>
          <w:sz w:val="22"/>
          <w:szCs w:val="22"/>
        </w:rPr>
        <w:t>draft</w:t>
      </w:r>
      <w:r w:rsidR="0016049B" w:rsidRPr="00CC0C6F">
        <w:rPr>
          <w:rFonts w:asciiTheme="minorHAnsi" w:hAnsiTheme="minorHAnsi" w:cstheme="minorHAnsi"/>
          <w:sz w:val="22"/>
          <w:szCs w:val="22"/>
        </w:rPr>
        <w:t xml:space="preserve"> </w:t>
      </w:r>
      <w:r w:rsidRPr="00CC0C6F">
        <w:rPr>
          <w:rFonts w:asciiTheme="minorHAnsi" w:hAnsiTheme="minorHAnsi" w:cstheme="minorHAnsi"/>
          <w:sz w:val="22"/>
          <w:szCs w:val="22"/>
        </w:rPr>
        <w:t>text listed</w:t>
      </w:r>
      <w:r w:rsidRPr="004572F7">
        <w:rPr>
          <w:rFonts w:asciiTheme="minorHAnsi" w:hAnsiTheme="minorHAnsi" w:cstheme="minorHAnsi"/>
          <w:sz w:val="22"/>
          <w:szCs w:val="22"/>
        </w:rPr>
        <w:t xml:space="preserve"> in </w:t>
      </w:r>
      <w:r w:rsidR="00C51F4B" w:rsidRPr="004572F7">
        <w:rPr>
          <w:rFonts w:asciiTheme="minorHAnsi" w:hAnsiTheme="minorHAnsi" w:cstheme="minorHAnsi"/>
          <w:sz w:val="22"/>
          <w:szCs w:val="22"/>
        </w:rPr>
        <w:t>TSB Circular</w:t>
      </w:r>
      <w:r w:rsidR="00CC0C6F">
        <w:rPr>
          <w:rFonts w:asciiTheme="minorHAnsi" w:hAnsiTheme="minorHAnsi" w:cstheme="minorHAnsi"/>
          <w:sz w:val="22"/>
          <w:szCs w:val="22"/>
        </w:rPr>
        <w:t xml:space="preserve"> </w:t>
      </w:r>
      <w:r w:rsidR="002113B3">
        <w:rPr>
          <w:rFonts w:asciiTheme="minorHAnsi" w:hAnsiTheme="minorHAnsi" w:cstheme="minorHAnsi"/>
          <w:sz w:val="22"/>
          <w:szCs w:val="22"/>
        </w:rPr>
        <w:t>125</w:t>
      </w:r>
      <w:r w:rsidR="00964A6B" w:rsidRPr="004572F7">
        <w:rPr>
          <w:rFonts w:asciiTheme="minorHAnsi" w:hAnsiTheme="minorHAnsi" w:cstheme="minorHAnsi"/>
          <w:sz w:val="22"/>
          <w:szCs w:val="22"/>
        </w:rPr>
        <w:t xml:space="preserve">, </w:t>
      </w:r>
      <w:r w:rsidR="008F14F3" w:rsidRPr="004572F7">
        <w:rPr>
          <w:rFonts w:asciiTheme="minorHAnsi" w:hAnsiTheme="minorHAnsi" w:cstheme="minorHAnsi"/>
          <w:sz w:val="22"/>
          <w:szCs w:val="22"/>
        </w:rPr>
        <w:t>I would like to advise you of the opinion of</w:t>
      </w:r>
      <w:r w:rsidR="00C51F4B" w:rsidRPr="004572F7">
        <w:rPr>
          <w:rFonts w:asciiTheme="minorHAnsi" w:hAnsiTheme="minorHAnsi" w:cstheme="minorHAnsi"/>
          <w:sz w:val="22"/>
          <w:szCs w:val="22"/>
        </w:rPr>
        <w:t xml:space="preserve"> th</w:t>
      </w:r>
      <w:r w:rsidR="009B72DB" w:rsidRPr="004572F7">
        <w:rPr>
          <w:rFonts w:asciiTheme="minorHAnsi" w:hAnsiTheme="minorHAnsi" w:cstheme="minorHAnsi"/>
          <w:sz w:val="22"/>
          <w:szCs w:val="22"/>
        </w:rPr>
        <w:t>is</w:t>
      </w:r>
      <w:r w:rsidR="00C51F4B" w:rsidRPr="004572F7">
        <w:rPr>
          <w:rFonts w:asciiTheme="minorHAnsi" w:hAnsiTheme="minorHAnsi" w:cstheme="minorHAnsi"/>
          <w:sz w:val="22"/>
          <w:szCs w:val="22"/>
        </w:rPr>
        <w:t xml:space="preserve"> Administration</w:t>
      </w:r>
      <w:r w:rsidR="008F14F3" w:rsidRPr="004572F7">
        <w:rPr>
          <w:rFonts w:asciiTheme="minorHAnsi" w:hAnsiTheme="minorHAnsi" w:cstheme="minorHAnsi"/>
          <w:sz w:val="22"/>
          <w:szCs w:val="22"/>
        </w:rPr>
        <w:t>, which is set out in the table below</w:t>
      </w:r>
      <w:r w:rsidRPr="004572F7">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567"/>
      </w:tblGrid>
      <w:tr w:rsidR="00CC0C6F" w:rsidRPr="006A6A88" w14:paraId="14AA6CEB" w14:textId="77777777" w:rsidTr="002113B3">
        <w:trPr>
          <w:tblHeader/>
        </w:trPr>
        <w:tc>
          <w:tcPr>
            <w:tcW w:w="2062" w:type="dxa"/>
            <w:vAlign w:val="center"/>
          </w:tcPr>
          <w:p w14:paraId="06BF3243" w14:textId="77777777" w:rsidR="00CC0C6F" w:rsidRPr="006A6A88" w:rsidRDefault="00CC0C6F" w:rsidP="00A4483D">
            <w:pPr>
              <w:spacing w:after="120"/>
              <w:jc w:val="center"/>
              <w:rPr>
                <w:rFonts w:asciiTheme="minorHAnsi" w:hAnsiTheme="minorHAnsi" w:cstheme="minorHAnsi"/>
                <w:b/>
                <w:bCs/>
                <w:sz w:val="21"/>
                <w:szCs w:val="21"/>
                <w:lang w:val="en-US"/>
              </w:rPr>
            </w:pPr>
          </w:p>
        </w:tc>
        <w:tc>
          <w:tcPr>
            <w:tcW w:w="7567" w:type="dxa"/>
            <w:vAlign w:val="center"/>
          </w:tcPr>
          <w:p w14:paraId="6FF7E8C9" w14:textId="77777777" w:rsidR="00CC0C6F" w:rsidRPr="006A6A88" w:rsidRDefault="00CC0C6F" w:rsidP="00A4483D">
            <w:pPr>
              <w:tabs>
                <w:tab w:val="clear" w:pos="794"/>
                <w:tab w:val="clear" w:pos="1191"/>
                <w:tab w:val="clear" w:pos="1588"/>
                <w:tab w:val="clear" w:pos="1985"/>
              </w:tabs>
              <w:spacing w:after="120"/>
              <w:ind w:left="939" w:hanging="459"/>
              <w:jc w:val="center"/>
              <w:rPr>
                <w:rFonts w:asciiTheme="minorHAnsi" w:hAnsiTheme="minorHAnsi" w:cstheme="minorHAnsi"/>
                <w:b/>
                <w:bCs/>
                <w:sz w:val="21"/>
                <w:szCs w:val="21"/>
              </w:rPr>
            </w:pPr>
            <w:r w:rsidRPr="006A6A88">
              <w:rPr>
                <w:rFonts w:asciiTheme="minorHAnsi" w:hAnsiTheme="minorHAnsi" w:cstheme="minorHAnsi"/>
                <w:b/>
                <w:bCs/>
                <w:sz w:val="21"/>
                <w:szCs w:val="21"/>
              </w:rPr>
              <w:t>Select one of the two boxes</w:t>
            </w:r>
          </w:p>
        </w:tc>
      </w:tr>
      <w:tr w:rsidR="00CC0C6F" w:rsidRPr="006A6A88" w14:paraId="49A61508" w14:textId="77777777" w:rsidTr="002113B3">
        <w:trPr>
          <w:trHeight w:val="1484"/>
        </w:trPr>
        <w:tc>
          <w:tcPr>
            <w:tcW w:w="2062" w:type="dxa"/>
            <w:vMerge w:val="restart"/>
            <w:vAlign w:val="center"/>
          </w:tcPr>
          <w:p w14:paraId="69213D9F" w14:textId="664F12D3" w:rsidR="00CC0C6F" w:rsidRPr="001E6EB7" w:rsidRDefault="00CC0C6F" w:rsidP="00A4483D">
            <w:pPr>
              <w:spacing w:before="60" w:after="60"/>
              <w:jc w:val="center"/>
              <w:rPr>
                <w:rFonts w:asciiTheme="minorHAnsi" w:hAnsiTheme="minorHAnsi" w:cstheme="minorHAnsi"/>
                <w:b/>
                <w:bCs/>
                <w:sz w:val="21"/>
                <w:szCs w:val="21"/>
                <w:lang w:val="fr-CH"/>
              </w:rPr>
            </w:pPr>
            <w:r w:rsidRPr="00E67233">
              <w:rPr>
                <w:rFonts w:asciiTheme="minorHAnsi" w:hAnsiTheme="minorHAnsi" w:cstheme="minorHAnsi"/>
                <w:b/>
                <w:bCs/>
                <w:sz w:val="21"/>
                <w:szCs w:val="21"/>
                <w:lang w:val="fr-CH"/>
              </w:rPr>
              <w:t>Draft new</w:t>
            </w:r>
            <w:r w:rsidRPr="00E67233">
              <w:rPr>
                <w:rFonts w:asciiTheme="minorHAnsi" w:hAnsiTheme="minorHAnsi" w:cstheme="minorHAnsi"/>
                <w:b/>
                <w:bCs/>
                <w:sz w:val="21"/>
                <w:szCs w:val="21"/>
                <w:lang w:val="fr-CH"/>
              </w:rPr>
              <w:br/>
            </w:r>
            <w:proofErr w:type="spellStart"/>
            <w:r w:rsidRPr="00E67233">
              <w:rPr>
                <w:rFonts w:asciiTheme="minorHAnsi" w:hAnsiTheme="minorHAnsi" w:cstheme="minorHAnsi"/>
                <w:b/>
                <w:bCs/>
                <w:sz w:val="21"/>
                <w:szCs w:val="21"/>
                <w:lang w:val="fr-CH"/>
              </w:rPr>
              <w:t>Recommendation</w:t>
            </w:r>
            <w:proofErr w:type="spellEnd"/>
            <w:r w:rsidRPr="00E67233">
              <w:rPr>
                <w:rFonts w:asciiTheme="minorHAnsi" w:hAnsiTheme="minorHAnsi" w:cstheme="minorHAnsi"/>
                <w:b/>
                <w:bCs/>
                <w:sz w:val="21"/>
                <w:szCs w:val="21"/>
                <w:lang w:val="fr-CH"/>
              </w:rPr>
              <w:br/>
            </w:r>
            <w:r w:rsidR="002113B3" w:rsidRPr="002113B3">
              <w:rPr>
                <w:rFonts w:asciiTheme="minorHAnsi" w:hAnsiTheme="minorHAnsi" w:cstheme="minorHAnsi"/>
                <w:b/>
                <w:bCs/>
                <w:sz w:val="21"/>
                <w:szCs w:val="21"/>
                <w:lang w:val="fr-CH"/>
              </w:rPr>
              <w:t>ITU-T Q.5057</w:t>
            </w:r>
            <w:r w:rsidR="002113B3">
              <w:rPr>
                <w:rFonts w:asciiTheme="minorHAnsi" w:hAnsiTheme="minorHAnsi" w:cstheme="minorHAnsi"/>
                <w:b/>
                <w:bCs/>
                <w:sz w:val="21"/>
                <w:szCs w:val="21"/>
                <w:lang w:val="fr-CH"/>
              </w:rPr>
              <w:br/>
            </w:r>
            <w:r w:rsidR="002113B3" w:rsidRPr="002113B3">
              <w:rPr>
                <w:rFonts w:asciiTheme="minorHAnsi" w:hAnsiTheme="minorHAnsi" w:cstheme="minorHAnsi"/>
                <w:b/>
                <w:bCs/>
                <w:sz w:val="21"/>
                <w:szCs w:val="21"/>
                <w:lang w:val="fr-CH"/>
              </w:rPr>
              <w:t>(ex Q.GIR)</w:t>
            </w:r>
          </w:p>
        </w:tc>
        <w:tc>
          <w:tcPr>
            <w:tcW w:w="7567" w:type="dxa"/>
            <w:vAlign w:val="center"/>
          </w:tcPr>
          <w:p w14:paraId="3B45FD30" w14:textId="77777777" w:rsidR="00CC0C6F" w:rsidRPr="006A6A88" w:rsidRDefault="00CC0C6F" w:rsidP="00A4483D">
            <w:pPr>
              <w:tabs>
                <w:tab w:val="clear" w:pos="794"/>
                <w:tab w:val="clear" w:pos="1191"/>
                <w:tab w:val="clear" w:pos="1588"/>
                <w:tab w:val="clear" w:pos="1985"/>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assigns authority</w:t>
            </w:r>
            <w:r w:rsidRPr="006A6A88">
              <w:rPr>
                <w:rFonts w:asciiTheme="minorHAnsi" w:hAnsiTheme="minorHAnsi" w:cstheme="minorHAnsi"/>
                <w:sz w:val="21"/>
                <w:szCs w:val="21"/>
              </w:rPr>
              <w:t xml:space="preserve"> to Study Group 1</w:t>
            </w:r>
            <w:r>
              <w:rPr>
                <w:rFonts w:asciiTheme="minorHAnsi" w:hAnsiTheme="minorHAnsi" w:cstheme="minorHAnsi"/>
                <w:sz w:val="21"/>
                <w:szCs w:val="21"/>
              </w:rPr>
              <w:t>1</w:t>
            </w:r>
            <w:r w:rsidRPr="006A6A88">
              <w:rPr>
                <w:rFonts w:asciiTheme="minorHAnsi" w:hAnsiTheme="minorHAnsi" w:cstheme="minorHAnsi"/>
                <w:sz w:val="21"/>
                <w:szCs w:val="21"/>
              </w:rPr>
              <w:t xml:space="preserve"> to consider this text for approval</w:t>
            </w:r>
            <w:r>
              <w:rPr>
                <w:rFonts w:asciiTheme="minorHAnsi" w:hAnsiTheme="minorHAnsi" w:cstheme="minorHAnsi"/>
                <w:sz w:val="21"/>
                <w:szCs w:val="21"/>
              </w:rPr>
              <w:br/>
            </w:r>
            <w:r w:rsidRPr="006A6A88">
              <w:rPr>
                <w:rFonts w:asciiTheme="minorHAnsi" w:hAnsiTheme="minorHAnsi" w:cstheme="minorHAnsi"/>
                <w:sz w:val="21"/>
                <w:szCs w:val="21"/>
              </w:rPr>
              <w:t>(in which case, select one of the two options):</w:t>
            </w:r>
          </w:p>
          <w:p w14:paraId="070F0105"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No comments or suggested changes</w:t>
            </w:r>
          </w:p>
          <w:p w14:paraId="65A6C37A"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Comments and suggested changes are attached</w:t>
            </w:r>
          </w:p>
        </w:tc>
      </w:tr>
      <w:tr w:rsidR="00CC0C6F" w:rsidRPr="006A6A88" w14:paraId="04C2ACD5" w14:textId="77777777" w:rsidTr="002113B3">
        <w:trPr>
          <w:trHeight w:val="1106"/>
        </w:trPr>
        <w:tc>
          <w:tcPr>
            <w:tcW w:w="2062" w:type="dxa"/>
            <w:vMerge/>
            <w:vAlign w:val="center"/>
          </w:tcPr>
          <w:p w14:paraId="0381BB76" w14:textId="77777777" w:rsidR="00CC0C6F" w:rsidRPr="006A6A88" w:rsidRDefault="00CC0C6F" w:rsidP="00A4483D">
            <w:pPr>
              <w:spacing w:before="60" w:after="60"/>
              <w:jc w:val="center"/>
              <w:rPr>
                <w:rFonts w:asciiTheme="minorHAnsi" w:hAnsiTheme="minorHAnsi" w:cstheme="minorHAnsi"/>
                <w:b/>
                <w:bCs/>
                <w:sz w:val="21"/>
                <w:szCs w:val="21"/>
              </w:rPr>
            </w:pPr>
          </w:p>
        </w:tc>
        <w:tc>
          <w:tcPr>
            <w:tcW w:w="7567" w:type="dxa"/>
            <w:vAlign w:val="center"/>
          </w:tcPr>
          <w:p w14:paraId="23015265" w14:textId="77777777" w:rsidR="00CC0C6F" w:rsidRPr="006A6A88" w:rsidRDefault="00CC0C6F" w:rsidP="00A4483D">
            <w:pPr>
              <w:tabs>
                <w:tab w:val="clear" w:pos="794"/>
                <w:tab w:val="clear" w:pos="1191"/>
                <w:tab w:val="clear" w:pos="1588"/>
                <w:tab w:val="clear" w:pos="1985"/>
                <w:tab w:val="left" w:pos="250"/>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does not assign authority</w:t>
            </w:r>
            <w:r w:rsidRPr="006A6A88">
              <w:rPr>
                <w:rFonts w:asciiTheme="minorHAnsi" w:hAnsiTheme="minorHAnsi" w:cstheme="minorHAnsi"/>
                <w:sz w:val="21"/>
                <w:szCs w:val="21"/>
              </w:rPr>
              <w:t xml:space="preserve"> to Study Group 11 to consider this text for approval (reasons for this opinion and an outline of possible changes that would enable the work to progress are attached)</w:t>
            </w:r>
          </w:p>
        </w:tc>
      </w:tr>
    </w:tbl>
    <w:p w14:paraId="2A6E0F69" w14:textId="77777777" w:rsidR="00C51F4B" w:rsidRPr="004572F7" w:rsidRDefault="00C51F4B" w:rsidP="009A1A66">
      <w:pPr>
        <w:rPr>
          <w:rFonts w:asciiTheme="minorHAnsi" w:hAnsiTheme="minorHAnsi" w:cstheme="minorHAnsi"/>
          <w:sz w:val="22"/>
          <w:szCs w:val="22"/>
        </w:rPr>
      </w:pPr>
    </w:p>
    <w:p w14:paraId="5B5206A9" w14:textId="77777777" w:rsidR="008F14F3" w:rsidRPr="004572F7" w:rsidRDefault="008F14F3" w:rsidP="00692261">
      <w:pPr>
        <w:spacing w:before="0"/>
        <w:rPr>
          <w:rFonts w:asciiTheme="minorHAnsi" w:hAnsiTheme="minorHAnsi" w:cstheme="minorHAnsi"/>
          <w:sz w:val="22"/>
          <w:szCs w:val="22"/>
        </w:rPr>
      </w:pPr>
      <w:r w:rsidRPr="004572F7">
        <w:rPr>
          <w:rFonts w:asciiTheme="minorHAnsi" w:hAnsiTheme="minorHAnsi" w:cstheme="minorHAnsi"/>
          <w:sz w:val="22"/>
          <w:szCs w:val="22"/>
        </w:rPr>
        <w:t>Yours faithfully,</w:t>
      </w:r>
    </w:p>
    <w:p w14:paraId="74D6613A" w14:textId="77777777" w:rsidR="008F14F3" w:rsidRPr="004572F7" w:rsidRDefault="008F14F3" w:rsidP="008F14F3">
      <w:pPr>
        <w:rPr>
          <w:rFonts w:asciiTheme="minorHAnsi" w:hAnsiTheme="minorHAnsi" w:cstheme="minorHAnsi"/>
          <w:sz w:val="22"/>
          <w:szCs w:val="22"/>
        </w:rPr>
      </w:pPr>
    </w:p>
    <w:p w14:paraId="5F5CD41F" w14:textId="77777777" w:rsidR="00692261" w:rsidRPr="004572F7" w:rsidRDefault="00692261" w:rsidP="00692261">
      <w:pPr>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[Name]</w:t>
      </w:r>
    </w:p>
    <w:p w14:paraId="07429264" w14:textId="77777777" w:rsidR="00692261" w:rsidRPr="004572F7" w:rsidRDefault="00692261" w:rsidP="00692261">
      <w:pPr>
        <w:rPr>
          <w:rFonts w:asciiTheme="minorHAnsi" w:hAnsiTheme="minorHAnsi" w:cstheme="minorHAnsi"/>
          <w:sz w:val="22"/>
          <w:szCs w:val="22"/>
        </w:rPr>
      </w:pPr>
      <w:r w:rsidRPr="004572F7">
        <w:rPr>
          <w:rFonts w:asciiTheme="minorHAnsi" w:hAnsiTheme="minorHAnsi" w:cstheme="minorHAnsi"/>
          <w:sz w:val="22"/>
          <w:szCs w:val="22"/>
          <w:highlight w:val="green"/>
        </w:rPr>
        <w:t>[Official role/title]</w:t>
      </w:r>
    </w:p>
    <w:p w14:paraId="1FF6B3BD" w14:textId="77777777" w:rsidR="009B72DB" w:rsidRPr="004572F7" w:rsidRDefault="009B72DB" w:rsidP="00692261">
      <w:pPr>
        <w:rPr>
          <w:rFonts w:asciiTheme="minorHAnsi" w:hAnsiTheme="minorHAnsi" w:cstheme="minorHAnsi"/>
          <w:sz w:val="22"/>
          <w:szCs w:val="22"/>
        </w:rPr>
      </w:pPr>
      <w:r w:rsidRPr="004572F7">
        <w:rPr>
          <w:rFonts w:asciiTheme="minorHAnsi" w:hAnsiTheme="minorHAnsi" w:cstheme="minorHAnsi"/>
          <w:sz w:val="22"/>
          <w:szCs w:val="22"/>
        </w:rPr>
        <w:t xml:space="preserve">Administration of </w:t>
      </w:r>
      <w:r w:rsidRPr="004572F7">
        <w:rPr>
          <w:rFonts w:asciiTheme="minorHAnsi" w:hAnsiTheme="minorHAnsi" w:cstheme="minorHAnsi"/>
          <w:sz w:val="22"/>
          <w:szCs w:val="22"/>
          <w:highlight w:val="green"/>
        </w:rPr>
        <w:t>[Member State]</w:t>
      </w:r>
    </w:p>
    <w:p w14:paraId="565A0FFB" w14:textId="43F8E647" w:rsidR="00852B82" w:rsidRPr="004572F7" w:rsidRDefault="00691DAA" w:rsidP="002113B3">
      <w:pPr>
        <w:spacing w:after="120"/>
        <w:jc w:val="center"/>
        <w:rPr>
          <w:rFonts w:asciiTheme="minorHAnsi" w:hAnsiTheme="minorHAnsi" w:cstheme="minorHAnsi"/>
          <w:sz w:val="22"/>
          <w:szCs w:val="22"/>
        </w:rPr>
      </w:pPr>
      <w:r w:rsidRPr="004572F7">
        <w:rPr>
          <w:rFonts w:asciiTheme="minorHAnsi" w:hAnsiTheme="minorHAnsi" w:cstheme="minorHAnsi"/>
          <w:sz w:val="22"/>
          <w:szCs w:val="22"/>
        </w:rPr>
        <w:t>_____</w:t>
      </w:r>
      <w:r w:rsidR="002113B3">
        <w:rPr>
          <w:rFonts w:asciiTheme="minorHAnsi" w:hAnsiTheme="minorHAnsi" w:cstheme="minorHAnsi"/>
          <w:sz w:val="22"/>
          <w:szCs w:val="22"/>
        </w:rPr>
        <w:t>____</w:t>
      </w:r>
      <w:r w:rsidR="00CC0C6F">
        <w:rPr>
          <w:rFonts w:asciiTheme="minorHAnsi" w:hAnsiTheme="minorHAnsi" w:cstheme="minorHAnsi"/>
          <w:sz w:val="22"/>
          <w:szCs w:val="22"/>
        </w:rPr>
        <w:t>__</w:t>
      </w:r>
      <w:r w:rsidRPr="004572F7">
        <w:rPr>
          <w:rFonts w:asciiTheme="minorHAnsi" w:hAnsiTheme="minorHAnsi" w:cstheme="minorHAnsi"/>
          <w:sz w:val="22"/>
          <w:szCs w:val="22"/>
        </w:rPr>
        <w:t>______</w:t>
      </w:r>
    </w:p>
    <w:sectPr w:rsidR="00852B82" w:rsidRPr="004572F7" w:rsidSect="002A1035">
      <w:headerReference w:type="default" r:id="rId16"/>
      <w:footerReference w:type="first" r:id="rId17"/>
      <w:type w:val="oddPage"/>
      <w:pgSz w:w="11907" w:h="16834" w:code="9"/>
      <w:pgMar w:top="1134" w:right="1134" w:bottom="1134" w:left="1134" w:header="425" w:footer="7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9690" w14:textId="77777777" w:rsidR="00172B12" w:rsidRDefault="00172B12">
      <w:r>
        <w:separator/>
      </w:r>
    </w:p>
  </w:endnote>
  <w:endnote w:type="continuationSeparator" w:id="0">
    <w:p w14:paraId="1EA12BAE" w14:textId="77777777" w:rsidR="00172B12" w:rsidRDefault="0017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E182" w14:textId="77777777" w:rsidR="00172B12" w:rsidRDefault="00172B12">
      <w:r>
        <w:t>____________________</w:t>
      </w:r>
    </w:p>
  </w:footnote>
  <w:footnote w:type="continuationSeparator" w:id="0">
    <w:p w14:paraId="1F6C155F" w14:textId="77777777" w:rsidR="00172B12" w:rsidRDefault="0017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5641559D" w:rsidR="008F14F3" w:rsidRDefault="008F14F3" w:rsidP="00B36877">
    <w:pPr>
      <w:pStyle w:val="Header"/>
      <w:spacing w:after="24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D46C18">
      <w:fldChar w:fldCharType="begin"/>
    </w:r>
    <w:r w:rsidR="00D46C18">
      <w:instrText xml:space="preserve"> styleref Docnumber </w:instrText>
    </w:r>
    <w:r w:rsidR="00D46C18">
      <w:fldChar w:fldCharType="separate"/>
    </w:r>
    <w:r w:rsidR="00E01678">
      <w:rPr>
        <w:noProof/>
      </w:rPr>
      <w:t>TSB Circular 125</w:t>
    </w:r>
    <w:r w:rsidR="00D46C1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1652F"/>
    <w:rsid w:val="000353BD"/>
    <w:rsid w:val="00041231"/>
    <w:rsid w:val="000528FF"/>
    <w:rsid w:val="000629CB"/>
    <w:rsid w:val="00065FD5"/>
    <w:rsid w:val="0006765F"/>
    <w:rsid w:val="00067FDC"/>
    <w:rsid w:val="00070BA3"/>
    <w:rsid w:val="00076B60"/>
    <w:rsid w:val="00087690"/>
    <w:rsid w:val="000E7066"/>
    <w:rsid w:val="0011091B"/>
    <w:rsid w:val="00146772"/>
    <w:rsid w:val="00157077"/>
    <w:rsid w:val="00157CC8"/>
    <w:rsid w:val="0016049B"/>
    <w:rsid w:val="00164419"/>
    <w:rsid w:val="00172B12"/>
    <w:rsid w:val="0018039E"/>
    <w:rsid w:val="0018632F"/>
    <w:rsid w:val="001B00A8"/>
    <w:rsid w:val="001B0B99"/>
    <w:rsid w:val="001B1770"/>
    <w:rsid w:val="001E17EA"/>
    <w:rsid w:val="001E2F39"/>
    <w:rsid w:val="001E32E7"/>
    <w:rsid w:val="001E399F"/>
    <w:rsid w:val="001E6EB7"/>
    <w:rsid w:val="001F3BDD"/>
    <w:rsid w:val="001F4FBE"/>
    <w:rsid w:val="002011A7"/>
    <w:rsid w:val="00207DD3"/>
    <w:rsid w:val="002113B3"/>
    <w:rsid w:val="00220FA5"/>
    <w:rsid w:val="002414F2"/>
    <w:rsid w:val="0024515D"/>
    <w:rsid w:val="002665D3"/>
    <w:rsid w:val="00290976"/>
    <w:rsid w:val="002A1035"/>
    <w:rsid w:val="002A4977"/>
    <w:rsid w:val="002B3E1F"/>
    <w:rsid w:val="002D5F23"/>
    <w:rsid w:val="002E0E8B"/>
    <w:rsid w:val="002F70EE"/>
    <w:rsid w:val="00334A43"/>
    <w:rsid w:val="003B09B0"/>
    <w:rsid w:val="003B5061"/>
    <w:rsid w:val="003C7BEF"/>
    <w:rsid w:val="003D4331"/>
    <w:rsid w:val="003D4CB0"/>
    <w:rsid w:val="003E07CD"/>
    <w:rsid w:val="003F1773"/>
    <w:rsid w:val="00425273"/>
    <w:rsid w:val="00440CB5"/>
    <w:rsid w:val="0045007E"/>
    <w:rsid w:val="00450779"/>
    <w:rsid w:val="0045092F"/>
    <w:rsid w:val="004572F7"/>
    <w:rsid w:val="004B1587"/>
    <w:rsid w:val="004B4AE2"/>
    <w:rsid w:val="004B50B2"/>
    <w:rsid w:val="004C65E5"/>
    <w:rsid w:val="004E1841"/>
    <w:rsid w:val="00520612"/>
    <w:rsid w:val="00524224"/>
    <w:rsid w:val="00532922"/>
    <w:rsid w:val="00544276"/>
    <w:rsid w:val="005461BD"/>
    <w:rsid w:val="00566CE2"/>
    <w:rsid w:val="005A6B26"/>
    <w:rsid w:val="005B65BB"/>
    <w:rsid w:val="005D124E"/>
    <w:rsid w:val="005D25CB"/>
    <w:rsid w:val="005D297E"/>
    <w:rsid w:val="005D60EE"/>
    <w:rsid w:val="00606959"/>
    <w:rsid w:val="00607E07"/>
    <w:rsid w:val="00612D12"/>
    <w:rsid w:val="00626967"/>
    <w:rsid w:val="00630BA3"/>
    <w:rsid w:val="006611A2"/>
    <w:rsid w:val="006812CD"/>
    <w:rsid w:val="00691DAA"/>
    <w:rsid w:val="00692261"/>
    <w:rsid w:val="006A2FAB"/>
    <w:rsid w:val="006A369A"/>
    <w:rsid w:val="006D7724"/>
    <w:rsid w:val="006E7431"/>
    <w:rsid w:val="006F4CC6"/>
    <w:rsid w:val="0072062B"/>
    <w:rsid w:val="00720A5D"/>
    <w:rsid w:val="007278BB"/>
    <w:rsid w:val="007311BA"/>
    <w:rsid w:val="00733B5C"/>
    <w:rsid w:val="0074447C"/>
    <w:rsid w:val="00754B8F"/>
    <w:rsid w:val="00763B08"/>
    <w:rsid w:val="00764744"/>
    <w:rsid w:val="00765253"/>
    <w:rsid w:val="00770EF1"/>
    <w:rsid w:val="00780D16"/>
    <w:rsid w:val="007A0105"/>
    <w:rsid w:val="007C7DA8"/>
    <w:rsid w:val="007F76BF"/>
    <w:rsid w:val="00813C8F"/>
    <w:rsid w:val="00831BAA"/>
    <w:rsid w:val="00833FD6"/>
    <w:rsid w:val="00834C56"/>
    <w:rsid w:val="00842381"/>
    <w:rsid w:val="00850C20"/>
    <w:rsid w:val="00852B82"/>
    <w:rsid w:val="00860AE1"/>
    <w:rsid w:val="00886781"/>
    <w:rsid w:val="008A540B"/>
    <w:rsid w:val="008A779C"/>
    <w:rsid w:val="008E5C2F"/>
    <w:rsid w:val="008F14F3"/>
    <w:rsid w:val="00901734"/>
    <w:rsid w:val="009354E6"/>
    <w:rsid w:val="00944A88"/>
    <w:rsid w:val="0094539E"/>
    <w:rsid w:val="00960C3F"/>
    <w:rsid w:val="00964A6B"/>
    <w:rsid w:val="00985B35"/>
    <w:rsid w:val="009A1A66"/>
    <w:rsid w:val="009B63C8"/>
    <w:rsid w:val="009B72DB"/>
    <w:rsid w:val="009F7B79"/>
    <w:rsid w:val="00A432F0"/>
    <w:rsid w:val="00A4376F"/>
    <w:rsid w:val="00A43CA0"/>
    <w:rsid w:val="00AB1A97"/>
    <w:rsid w:val="00AD306E"/>
    <w:rsid w:val="00AE525B"/>
    <w:rsid w:val="00B01793"/>
    <w:rsid w:val="00B25F8E"/>
    <w:rsid w:val="00B33034"/>
    <w:rsid w:val="00B36877"/>
    <w:rsid w:val="00B45C37"/>
    <w:rsid w:val="00B6629C"/>
    <w:rsid w:val="00B84AE5"/>
    <w:rsid w:val="00B86BF0"/>
    <w:rsid w:val="00B94A59"/>
    <w:rsid w:val="00BA28E3"/>
    <w:rsid w:val="00BC4AC3"/>
    <w:rsid w:val="00BE47ED"/>
    <w:rsid w:val="00C007D7"/>
    <w:rsid w:val="00C06325"/>
    <w:rsid w:val="00C13D40"/>
    <w:rsid w:val="00C23D2B"/>
    <w:rsid w:val="00C50517"/>
    <w:rsid w:val="00C51F4B"/>
    <w:rsid w:val="00C65B9E"/>
    <w:rsid w:val="00C93B26"/>
    <w:rsid w:val="00CB1BE8"/>
    <w:rsid w:val="00CC0C6F"/>
    <w:rsid w:val="00CF3418"/>
    <w:rsid w:val="00D02492"/>
    <w:rsid w:val="00D22D78"/>
    <w:rsid w:val="00D46C18"/>
    <w:rsid w:val="00D62CEF"/>
    <w:rsid w:val="00D7384A"/>
    <w:rsid w:val="00D92917"/>
    <w:rsid w:val="00DA1EC4"/>
    <w:rsid w:val="00DB770A"/>
    <w:rsid w:val="00DF1780"/>
    <w:rsid w:val="00DF5BA0"/>
    <w:rsid w:val="00DF664C"/>
    <w:rsid w:val="00E01678"/>
    <w:rsid w:val="00E318FF"/>
    <w:rsid w:val="00E32F10"/>
    <w:rsid w:val="00E36B12"/>
    <w:rsid w:val="00E53AF0"/>
    <w:rsid w:val="00E54801"/>
    <w:rsid w:val="00E55E1F"/>
    <w:rsid w:val="00E5707D"/>
    <w:rsid w:val="00E72D24"/>
    <w:rsid w:val="00EA3D68"/>
    <w:rsid w:val="00EB226A"/>
    <w:rsid w:val="00EB4837"/>
    <w:rsid w:val="00ED76A0"/>
    <w:rsid w:val="00EF01F5"/>
    <w:rsid w:val="00F11BC5"/>
    <w:rsid w:val="00F21467"/>
    <w:rsid w:val="00F21679"/>
    <w:rsid w:val="00F26833"/>
    <w:rsid w:val="00F44371"/>
    <w:rsid w:val="00F45C30"/>
    <w:rsid w:val="00F751B3"/>
    <w:rsid w:val="00F763C8"/>
    <w:rsid w:val="00F8358A"/>
    <w:rsid w:val="00F96117"/>
    <w:rsid w:val="00FA3F70"/>
    <w:rsid w:val="00FB2510"/>
    <w:rsid w:val="00FC123C"/>
    <w:rsid w:val="00FC56DF"/>
    <w:rsid w:val="00FE4360"/>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304D7161-FD39-4AC8-8578-39E2771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4B4AE2"/>
    <w:rPr>
      <w:color w:val="605E5C"/>
      <w:shd w:val="clear" w:color="auto" w:fill="E1DFDD"/>
    </w:rPr>
  </w:style>
  <w:style w:type="character" w:customStyle="1" w:styleId="TabletextChar">
    <w:name w:val="Table_text Char"/>
    <w:link w:val="Tabletext"/>
    <w:qFormat/>
    <w:locked/>
    <w:rsid w:val="009354E6"/>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SG11-R-0017/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1@itu.int" TargetMode="External"/><Relationship Id="rId5" Type="http://schemas.openxmlformats.org/officeDocument/2006/relationships/styles" Target="styles.xml"/><Relationship Id="rId15" Type="http://schemas.openxmlformats.org/officeDocument/2006/relationships/hyperlink" Target="mailto:tsbdir@itu.in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i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5" ma:contentTypeDescription="Create a new document." ma:contentTypeScope="" ma:versionID="dda1debccf8a5053ba7a2c17ed37b3ff">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660e23b465620b1074cc0dcf41098a34"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7C683-0817-4C7B-90C0-137F3EC9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8A239EEA-4AD8-494C-A4FB-33360C53E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TAP_Circular_1-E.dotx</Template>
  <TotalTime>56</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8036</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Cir_125-E.docx  For: _x000d_Document date: _x000d_Saved by ITU51018020 at 09:53:03 on 01.04.26</dc:description>
  <cp:lastModifiedBy>Braud, Olivia</cp:lastModifiedBy>
  <cp:revision>9</cp:revision>
  <cp:lastPrinted>2026-04-01T08:27:00Z</cp:lastPrinted>
  <dcterms:created xsi:type="dcterms:W3CDTF">2026-03-30T09:46:00Z</dcterms:created>
  <dcterms:modified xsi:type="dcterms:W3CDTF">2026-04-01T08:28:00Z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Cir_125-E.docx</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