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DBE1AF2" w14:textId="77777777" w:rsidTr="0059327B">
        <w:trPr>
          <w:cantSplit/>
          <w:trHeight w:val="1080"/>
        </w:trPr>
        <w:tc>
          <w:tcPr>
            <w:tcW w:w="798" w:type="pct"/>
          </w:tcPr>
          <w:p w14:paraId="357F7A56" w14:textId="77777777" w:rsidR="00D517B2" w:rsidRPr="00D517B2" w:rsidRDefault="00D517B2" w:rsidP="00D517B2">
            <w:pPr>
              <w:spacing w:before="0" w:line="240" w:lineRule="auto"/>
              <w:rPr>
                <w:b/>
                <w:bCs/>
                <w:rtl/>
                <w:lang w:bidi="ar-EG"/>
              </w:rPr>
            </w:pPr>
            <w:r w:rsidRPr="00D517B2">
              <w:rPr>
                <w:noProof/>
              </w:rPr>
              <w:drawing>
                <wp:inline distT="0" distB="0" distL="0" distR="0" wp14:anchorId="6B927BE3" wp14:editId="6DA7AE33">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684FD8C"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66FFC890"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584"/>
        <w:gridCol w:w="4494"/>
      </w:tblGrid>
      <w:tr w:rsidR="00D517B2" w:rsidRPr="00D517B2" w14:paraId="555A45C7" w14:textId="77777777" w:rsidTr="0059327B">
        <w:trPr>
          <w:cantSplit/>
          <w:jc w:val="center"/>
        </w:trPr>
        <w:tc>
          <w:tcPr>
            <w:tcW w:w="810" w:type="pct"/>
          </w:tcPr>
          <w:p w14:paraId="75FE41BD" w14:textId="77777777" w:rsidR="00D517B2" w:rsidRPr="00D517B2" w:rsidRDefault="00D517B2" w:rsidP="0059327B">
            <w:pPr>
              <w:spacing w:before="0" w:line="300" w:lineRule="exact"/>
              <w:jc w:val="left"/>
              <w:rPr>
                <w:position w:val="2"/>
              </w:rPr>
            </w:pPr>
          </w:p>
        </w:tc>
        <w:tc>
          <w:tcPr>
            <w:tcW w:w="1859" w:type="pct"/>
          </w:tcPr>
          <w:p w14:paraId="362CE3F3" w14:textId="77777777" w:rsidR="00D517B2" w:rsidRPr="00D517B2" w:rsidRDefault="00D517B2" w:rsidP="0059327B">
            <w:pPr>
              <w:spacing w:before="0" w:line="300" w:lineRule="exact"/>
              <w:jc w:val="left"/>
              <w:rPr>
                <w:position w:val="2"/>
                <w:lang w:bidi="ar-EG"/>
              </w:rPr>
            </w:pPr>
          </w:p>
        </w:tc>
        <w:tc>
          <w:tcPr>
            <w:tcW w:w="2331" w:type="pct"/>
          </w:tcPr>
          <w:p w14:paraId="7331B784" w14:textId="562D0164" w:rsidR="00D517B2" w:rsidRPr="00D517B2" w:rsidRDefault="00873469" w:rsidP="0059327B">
            <w:pPr>
              <w:spacing w:before="0" w:line="300" w:lineRule="exact"/>
              <w:jc w:val="left"/>
              <w:rPr>
                <w:position w:val="2"/>
                <w:rtl/>
                <w:lang w:bidi="ar-EG"/>
              </w:rPr>
            </w:pPr>
            <w:r w:rsidRPr="00D517B2">
              <w:rPr>
                <w:rFonts w:hint="cs"/>
                <w:position w:val="2"/>
                <w:rtl/>
              </w:rPr>
              <w:t xml:space="preserve">جنيف، </w:t>
            </w:r>
            <w:r w:rsidR="002D40DB">
              <w:rPr>
                <w:position w:val="2"/>
              </w:rPr>
              <w:t>1</w:t>
            </w:r>
            <w:r w:rsidR="002D40DB">
              <w:rPr>
                <w:rFonts w:hint="cs"/>
                <w:position w:val="2"/>
                <w:rtl/>
              </w:rPr>
              <w:t xml:space="preserve"> أبريل</w:t>
            </w:r>
            <w:r w:rsidR="007139D8">
              <w:rPr>
                <w:rFonts w:hint="cs"/>
                <w:position w:val="2"/>
                <w:rtl/>
              </w:rPr>
              <w:t xml:space="preserve"> </w:t>
            </w:r>
            <w:r w:rsidR="007139D8">
              <w:rPr>
                <w:position w:val="2"/>
              </w:rPr>
              <w:t>202</w:t>
            </w:r>
            <w:r w:rsidR="0099778F">
              <w:rPr>
                <w:position w:val="2"/>
              </w:rPr>
              <w:t>6</w:t>
            </w:r>
            <w:r w:rsidR="00112616">
              <w:rPr>
                <w:rFonts w:hint="cs"/>
                <w:position w:val="2"/>
                <w:rtl/>
              </w:rPr>
              <w:t xml:space="preserve"> </w:t>
            </w:r>
          </w:p>
        </w:tc>
      </w:tr>
      <w:tr w:rsidR="00372F67" w:rsidRPr="00D517B2" w14:paraId="306B49F6" w14:textId="77777777" w:rsidTr="0059327B">
        <w:trPr>
          <w:cantSplit/>
          <w:jc w:val="center"/>
        </w:trPr>
        <w:tc>
          <w:tcPr>
            <w:tcW w:w="810" w:type="pct"/>
          </w:tcPr>
          <w:p w14:paraId="0333C2D5"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859" w:type="pct"/>
          </w:tcPr>
          <w:p w14:paraId="73C60931" w14:textId="79902EED" w:rsidR="00372F67" w:rsidRPr="002D40DB" w:rsidRDefault="002D40DB" w:rsidP="00D517B2">
            <w:pPr>
              <w:spacing w:before="80" w:after="60" w:line="300" w:lineRule="exact"/>
              <w:jc w:val="left"/>
              <w:rPr>
                <w:b/>
                <w:position w:val="2"/>
              </w:rPr>
            </w:pPr>
            <w:r w:rsidRPr="002D40DB">
              <w:rPr>
                <w:b/>
                <w:position w:val="2"/>
              </w:rPr>
              <w:t xml:space="preserve">TSB Circular </w:t>
            </w:r>
            <w:r w:rsidRPr="002D40DB">
              <w:rPr>
                <w:b/>
                <w:position w:val="2"/>
                <w:lang w:val="fr-CH"/>
              </w:rPr>
              <w:t>125</w:t>
            </w:r>
            <w:r w:rsidRPr="002D40DB">
              <w:rPr>
                <w:b/>
                <w:position w:val="2"/>
              </w:rPr>
              <w:br/>
            </w:r>
            <w:r w:rsidRPr="002D40DB">
              <w:rPr>
                <w:color w:val="000000"/>
                <w:position w:val="2"/>
                <w:rtl/>
              </w:rPr>
              <w:t>SG11/DA</w:t>
            </w:r>
          </w:p>
        </w:tc>
        <w:tc>
          <w:tcPr>
            <w:tcW w:w="2331" w:type="pct"/>
            <w:vMerge w:val="restart"/>
          </w:tcPr>
          <w:p w14:paraId="0F5B9644" w14:textId="77777777" w:rsidR="00372F67" w:rsidRPr="002D40DB" w:rsidRDefault="00372F67" w:rsidP="00322BD3">
            <w:pPr>
              <w:tabs>
                <w:tab w:val="clear" w:pos="794"/>
                <w:tab w:val="left" w:pos="284"/>
              </w:tabs>
              <w:spacing w:before="0" w:after="20" w:line="300" w:lineRule="exact"/>
              <w:jc w:val="left"/>
              <w:rPr>
                <w:b/>
                <w:bCs/>
                <w:position w:val="2"/>
                <w:rtl/>
                <w:lang w:bidi="ar-EG"/>
              </w:rPr>
            </w:pPr>
            <w:r w:rsidRPr="002D40DB">
              <w:rPr>
                <w:rFonts w:hint="cs"/>
                <w:b/>
                <w:bCs/>
                <w:position w:val="2"/>
                <w:rtl/>
              </w:rPr>
              <w:t>إلى:</w:t>
            </w:r>
          </w:p>
          <w:p w14:paraId="47A063AD" w14:textId="77777777" w:rsidR="00372F67" w:rsidRPr="002D40DB" w:rsidRDefault="00372F67" w:rsidP="00322BD3">
            <w:pPr>
              <w:tabs>
                <w:tab w:val="clear" w:pos="794"/>
                <w:tab w:val="left" w:pos="284"/>
              </w:tabs>
              <w:spacing w:before="0" w:after="20" w:line="300" w:lineRule="exact"/>
              <w:ind w:left="284" w:hanging="284"/>
              <w:jc w:val="left"/>
              <w:rPr>
                <w:position w:val="2"/>
                <w:rtl/>
              </w:rPr>
            </w:pPr>
            <w:r w:rsidRPr="002D40DB">
              <w:rPr>
                <w:rFonts w:hint="cs"/>
                <w:position w:val="2"/>
                <w:rtl/>
              </w:rPr>
              <w:t>-</w:t>
            </w:r>
            <w:r w:rsidRPr="002D40DB">
              <w:rPr>
                <w:position w:val="2"/>
                <w:rtl/>
              </w:rPr>
              <w:tab/>
            </w:r>
            <w:r w:rsidRPr="002D40DB">
              <w:rPr>
                <w:rFonts w:hint="cs"/>
                <w:position w:val="2"/>
                <w:rtl/>
              </w:rPr>
              <w:t>إدارات الدول الأعضاء في الاتحاد؛</w:t>
            </w:r>
          </w:p>
          <w:p w14:paraId="466E8A5B" w14:textId="5F6005F5" w:rsidR="002D40DB" w:rsidRPr="002D40DB" w:rsidRDefault="002D40DB" w:rsidP="00322BD3">
            <w:pPr>
              <w:pStyle w:val="Tabletext"/>
              <w:bidi/>
              <w:spacing w:before="0" w:after="20" w:line="300" w:lineRule="exact"/>
              <w:ind w:left="283" w:hanging="283"/>
              <w:rPr>
                <w:rFonts w:ascii="Dubai" w:hAnsi="Dubai" w:cs="Dubai" w:hint="default"/>
                <w:color w:val="000000"/>
                <w:position w:val="2"/>
                <w:sz w:val="22"/>
                <w:szCs w:val="22"/>
                <w:rtl/>
                <w:lang w:val="en-US"/>
              </w:rPr>
            </w:pPr>
            <w:r w:rsidRPr="000D03FF">
              <w:rPr>
                <w:rFonts w:ascii="Dubai" w:hAnsi="Dubai" w:cs="Dubai" w:hint="default"/>
                <w:color w:val="000000"/>
                <w:position w:val="2"/>
              </w:rPr>
              <w:t>-</w:t>
            </w:r>
            <w:r w:rsidR="000D03FF" w:rsidRPr="002D40DB">
              <w:rPr>
                <w:rFonts w:ascii="Dubai" w:hAnsi="Dubai" w:cs="Dubai" w:hint="default"/>
                <w:color w:val="000000"/>
                <w:position w:val="2"/>
                <w:sz w:val="22"/>
                <w:szCs w:val="22"/>
                <w:rtl/>
              </w:rPr>
              <w:tab/>
            </w:r>
            <w:r w:rsidRPr="002D40DB">
              <w:rPr>
                <w:rFonts w:ascii="Dubai" w:hAnsi="Dubai" w:cs="Dubai" w:hint="default"/>
                <w:color w:val="000000"/>
                <w:position w:val="2"/>
                <w:sz w:val="22"/>
                <w:szCs w:val="22"/>
                <w:rtl/>
              </w:rPr>
              <w:t>دولة فلسطين (القرار 99 (المراجَع في دبي، 2018</w:t>
            </w:r>
            <w:proofErr w:type="gramStart"/>
            <w:r w:rsidRPr="002D40DB">
              <w:rPr>
                <w:rFonts w:ascii="Dubai" w:hAnsi="Dubai" w:cs="Dubai" w:hint="default"/>
                <w:color w:val="000000"/>
                <w:position w:val="2"/>
                <w:sz w:val="22"/>
                <w:szCs w:val="22"/>
                <w:rtl/>
              </w:rPr>
              <w:t>)</w:t>
            </w:r>
            <w:r w:rsidRPr="002D40DB">
              <w:rPr>
                <w:rFonts w:ascii="Dubai" w:hAnsi="Dubai" w:cs="Dubai"/>
                <w:color w:val="000000"/>
                <w:position w:val="2"/>
                <w:sz w:val="22"/>
                <w:szCs w:val="22"/>
                <w:rtl/>
                <w:lang w:bidi="ar-EG"/>
              </w:rPr>
              <w:t>)</w:t>
            </w:r>
            <w:r>
              <w:rPr>
                <w:rFonts w:ascii="Dubai" w:hAnsi="Dubai" w:cs="Dubai"/>
                <w:color w:val="000000"/>
                <w:position w:val="2"/>
                <w:sz w:val="22"/>
                <w:szCs w:val="22"/>
                <w:rtl/>
                <w:lang w:val="en-US"/>
              </w:rPr>
              <w:t>؛</w:t>
            </w:r>
            <w:proofErr w:type="gramEnd"/>
          </w:p>
          <w:p w14:paraId="0C8A4D10" w14:textId="77777777" w:rsidR="002D40DB" w:rsidRPr="002D40DB" w:rsidRDefault="002D40DB" w:rsidP="00322BD3">
            <w:pPr>
              <w:pStyle w:val="Tabletext"/>
              <w:bidi/>
              <w:spacing w:before="0" w:after="20" w:line="300" w:lineRule="exact"/>
              <w:ind w:left="283" w:hanging="283"/>
              <w:rPr>
                <w:rFonts w:ascii="Dubai" w:hAnsi="Dubai" w:cs="Dubai" w:hint="default"/>
                <w:position w:val="2"/>
                <w:sz w:val="22"/>
                <w:szCs w:val="22"/>
                <w:lang w:val="ar-SA" w:eastAsia="zh-TW" w:bidi="en-GB"/>
              </w:rPr>
            </w:pPr>
            <w:r w:rsidRPr="002D40DB">
              <w:rPr>
                <w:rFonts w:ascii="Dubai" w:hAnsi="Dubai" w:cs="Dubai" w:hint="default"/>
                <w:color w:val="000000"/>
                <w:position w:val="2"/>
                <w:sz w:val="22"/>
                <w:szCs w:val="22"/>
              </w:rPr>
              <w:t>-</w:t>
            </w:r>
            <w:r w:rsidRPr="002D40DB">
              <w:rPr>
                <w:rFonts w:ascii="Dubai" w:hAnsi="Dubai" w:cs="Dubai" w:hint="default"/>
                <w:color w:val="000000"/>
                <w:position w:val="2"/>
                <w:sz w:val="22"/>
                <w:szCs w:val="22"/>
                <w:rtl/>
              </w:rPr>
              <w:tab/>
              <w:t xml:space="preserve">أعضاء قطاع تقييس الاتصالات </w:t>
            </w:r>
            <w:proofErr w:type="gramStart"/>
            <w:r w:rsidRPr="002D40DB">
              <w:rPr>
                <w:rFonts w:ascii="Dubai" w:hAnsi="Dubai" w:cs="Dubai" w:hint="default"/>
                <w:color w:val="000000"/>
                <w:position w:val="2"/>
                <w:sz w:val="22"/>
                <w:szCs w:val="22"/>
                <w:rtl/>
              </w:rPr>
              <w:t>بالاتحاد؛</w:t>
            </w:r>
            <w:proofErr w:type="gramEnd"/>
          </w:p>
          <w:p w14:paraId="30BB0673" w14:textId="77777777" w:rsidR="002D40DB" w:rsidRPr="002D40DB" w:rsidRDefault="002D40DB" w:rsidP="00322BD3">
            <w:pPr>
              <w:pStyle w:val="Tabletext"/>
              <w:bidi/>
              <w:spacing w:before="0" w:after="20" w:line="300" w:lineRule="exact"/>
              <w:ind w:left="283" w:hanging="283"/>
              <w:rPr>
                <w:rFonts w:ascii="Dubai" w:hAnsi="Dubai" w:cs="Dubai" w:hint="default"/>
                <w:color w:val="000000"/>
                <w:position w:val="2"/>
                <w:sz w:val="22"/>
                <w:szCs w:val="22"/>
              </w:rPr>
            </w:pPr>
            <w:r w:rsidRPr="002D40DB">
              <w:rPr>
                <w:rFonts w:ascii="Dubai" w:hAnsi="Dubai" w:cs="Dubai" w:hint="default"/>
                <w:color w:val="000000"/>
                <w:position w:val="2"/>
                <w:sz w:val="22"/>
                <w:szCs w:val="22"/>
              </w:rPr>
              <w:t>-</w:t>
            </w:r>
            <w:r w:rsidRPr="002D40DB">
              <w:rPr>
                <w:rFonts w:ascii="Dubai" w:hAnsi="Dubai" w:cs="Dubai" w:hint="default"/>
                <w:color w:val="000000"/>
                <w:position w:val="2"/>
                <w:sz w:val="22"/>
                <w:szCs w:val="22"/>
                <w:rtl/>
              </w:rPr>
              <w:tab/>
              <w:t>المنتسبين إلى قطاع تقييس الاتصالات المشاركين في</w:t>
            </w:r>
            <w:r w:rsidRPr="002D40DB">
              <w:rPr>
                <w:rFonts w:ascii="Dubai" w:hAnsi="Dubai" w:cs="Dubai"/>
                <w:color w:val="000000"/>
                <w:position w:val="2"/>
                <w:sz w:val="22"/>
                <w:szCs w:val="22"/>
                <w:rtl/>
              </w:rPr>
              <w:t> </w:t>
            </w:r>
            <w:r w:rsidRPr="002D40DB">
              <w:rPr>
                <w:rFonts w:ascii="Dubai" w:hAnsi="Dubai" w:cs="Dubai" w:hint="default"/>
                <w:color w:val="000000"/>
                <w:position w:val="2"/>
                <w:sz w:val="22"/>
                <w:szCs w:val="22"/>
                <w:rtl/>
              </w:rPr>
              <w:t xml:space="preserve">أعمال لجنة الدراسات </w:t>
            </w:r>
            <w:proofErr w:type="gramStart"/>
            <w:r w:rsidRPr="002D40DB">
              <w:rPr>
                <w:rFonts w:ascii="Dubai" w:hAnsi="Dubai" w:cs="Dubai" w:hint="default"/>
                <w:color w:val="000000"/>
                <w:position w:val="2"/>
                <w:sz w:val="22"/>
                <w:szCs w:val="22"/>
                <w:rtl/>
              </w:rPr>
              <w:t>11؛</w:t>
            </w:r>
            <w:proofErr w:type="gramEnd"/>
          </w:p>
          <w:p w14:paraId="5EE35AA1" w14:textId="6405C8B0" w:rsidR="00372F67" w:rsidRPr="002D40DB" w:rsidRDefault="002D40DB" w:rsidP="00322BD3">
            <w:pPr>
              <w:pStyle w:val="Tabletext"/>
              <w:bidi/>
              <w:spacing w:before="0" w:after="20" w:line="300" w:lineRule="exact"/>
              <w:ind w:left="283" w:hanging="283"/>
              <w:rPr>
                <w:rFonts w:ascii="Dubai" w:hAnsi="Dubai" w:cs="Dubai" w:hint="default"/>
                <w:color w:val="000000"/>
                <w:position w:val="2"/>
                <w:sz w:val="22"/>
                <w:szCs w:val="22"/>
              </w:rPr>
            </w:pPr>
            <w:r w:rsidRPr="002D40DB">
              <w:rPr>
                <w:rFonts w:ascii="Dubai" w:hAnsi="Dubai" w:cs="Dubai" w:hint="default"/>
                <w:color w:val="000000"/>
                <w:position w:val="2"/>
                <w:sz w:val="22"/>
                <w:szCs w:val="22"/>
              </w:rPr>
              <w:t>-</w:t>
            </w:r>
            <w:r w:rsidRPr="002D40DB">
              <w:rPr>
                <w:rFonts w:ascii="Dubai" w:hAnsi="Dubai" w:cs="Dubai" w:hint="default"/>
                <w:color w:val="000000"/>
                <w:position w:val="2"/>
                <w:sz w:val="22"/>
                <w:szCs w:val="22"/>
                <w:rtl/>
              </w:rPr>
              <w:tab/>
              <w:t>الهيئات الأكاديمية المنضمة إلى الاتحاد</w:t>
            </w:r>
          </w:p>
          <w:p w14:paraId="5318AB81" w14:textId="77777777" w:rsidR="00372F67" w:rsidRPr="002D40DB" w:rsidRDefault="00372F67" w:rsidP="00322BD3">
            <w:pPr>
              <w:tabs>
                <w:tab w:val="clear" w:pos="794"/>
                <w:tab w:val="left" w:pos="284"/>
              </w:tabs>
              <w:spacing w:before="0" w:after="20" w:line="300" w:lineRule="exact"/>
              <w:ind w:left="284" w:hanging="284"/>
              <w:jc w:val="left"/>
              <w:rPr>
                <w:b/>
                <w:bCs/>
                <w:position w:val="2"/>
                <w:rtl/>
              </w:rPr>
            </w:pPr>
            <w:r w:rsidRPr="002D40DB">
              <w:rPr>
                <w:rFonts w:hint="cs"/>
                <w:b/>
                <w:bCs/>
                <w:position w:val="2"/>
                <w:rtl/>
              </w:rPr>
              <w:t>نسخة إلى:</w:t>
            </w:r>
          </w:p>
          <w:p w14:paraId="7478459B" w14:textId="77C2FE5A" w:rsidR="00372F67" w:rsidRPr="002D40DB" w:rsidRDefault="00372F67" w:rsidP="00322BD3">
            <w:pPr>
              <w:tabs>
                <w:tab w:val="left" w:pos="284"/>
                <w:tab w:val="left" w:pos="4111"/>
              </w:tabs>
              <w:spacing w:before="0" w:after="20" w:line="300" w:lineRule="exact"/>
              <w:ind w:left="284" w:hanging="284"/>
              <w:rPr>
                <w:rFonts w:eastAsia="Times New Roman"/>
                <w:position w:val="2"/>
                <w:rtl/>
                <w:lang w:eastAsia="en-US"/>
              </w:rPr>
            </w:pPr>
            <w:r w:rsidRPr="002D40DB">
              <w:rPr>
                <w:rFonts w:hint="cs"/>
                <w:position w:val="2"/>
                <w:rtl/>
              </w:rPr>
              <w:t>-</w:t>
            </w:r>
            <w:r w:rsidRPr="002D40DB">
              <w:rPr>
                <w:position w:val="2"/>
                <w:rtl/>
              </w:rPr>
              <w:tab/>
            </w:r>
            <w:r w:rsidR="002D40DB" w:rsidRPr="002D40DB">
              <w:rPr>
                <w:color w:val="000000"/>
                <w:spacing w:val="-4"/>
                <w:position w:val="2"/>
                <w:rtl/>
              </w:rPr>
              <w:t>رئيس لجنة الدراسات 11 بقطاع تقييس الاتصالات ونوابه؛</w:t>
            </w:r>
          </w:p>
          <w:p w14:paraId="45135208" w14:textId="77777777" w:rsidR="00372F67" w:rsidRPr="002D40DB" w:rsidRDefault="00372F67" w:rsidP="00322BD3">
            <w:pPr>
              <w:tabs>
                <w:tab w:val="left" w:pos="284"/>
                <w:tab w:val="left" w:pos="4111"/>
              </w:tabs>
              <w:spacing w:before="0" w:after="20" w:line="300" w:lineRule="exact"/>
              <w:ind w:left="284" w:hanging="284"/>
              <w:rPr>
                <w:rFonts w:eastAsia="Times New Roman"/>
                <w:position w:val="2"/>
                <w:rtl/>
                <w:lang w:eastAsia="en-US"/>
              </w:rPr>
            </w:pPr>
            <w:r w:rsidRPr="002D40DB">
              <w:rPr>
                <w:rFonts w:eastAsia="Times New Roman" w:hint="cs"/>
                <w:position w:val="2"/>
                <w:rtl/>
                <w:lang w:eastAsia="en-US"/>
              </w:rPr>
              <w:t>-</w:t>
            </w:r>
            <w:r w:rsidRPr="002D40DB">
              <w:rPr>
                <w:rFonts w:eastAsia="Times New Roman"/>
                <w:position w:val="2"/>
                <w:rtl/>
                <w:lang w:eastAsia="en-US"/>
              </w:rPr>
              <w:tab/>
              <w:t>مدير مكتب تنمية الاتصالات</w:t>
            </w:r>
            <w:r w:rsidRPr="002D40DB">
              <w:rPr>
                <w:rFonts w:eastAsia="Times New Roman" w:hint="cs"/>
                <w:position w:val="2"/>
                <w:rtl/>
                <w:lang w:eastAsia="en-US"/>
              </w:rPr>
              <w:t>؛</w:t>
            </w:r>
          </w:p>
          <w:p w14:paraId="113EC72A" w14:textId="77777777" w:rsidR="00372F67" w:rsidRPr="002D40DB" w:rsidRDefault="00372F67" w:rsidP="00322BD3">
            <w:pPr>
              <w:tabs>
                <w:tab w:val="left" w:pos="284"/>
                <w:tab w:val="left" w:pos="4111"/>
              </w:tabs>
              <w:spacing w:before="0" w:after="20" w:line="300" w:lineRule="exact"/>
              <w:ind w:left="284" w:hanging="284"/>
              <w:rPr>
                <w:position w:val="2"/>
                <w:rtl/>
              </w:rPr>
            </w:pPr>
            <w:r w:rsidRPr="002D40DB">
              <w:rPr>
                <w:rFonts w:eastAsia="Times New Roman" w:hint="cs"/>
                <w:position w:val="2"/>
                <w:rtl/>
                <w:lang w:eastAsia="en-US"/>
              </w:rPr>
              <w:t>-</w:t>
            </w:r>
            <w:r w:rsidRPr="002D40DB">
              <w:rPr>
                <w:rFonts w:eastAsia="Times New Roman"/>
                <w:position w:val="2"/>
                <w:rtl/>
                <w:lang w:eastAsia="en-US"/>
              </w:rPr>
              <w:tab/>
              <w:t>مدير مكتب الاتصالات الراديوية</w:t>
            </w:r>
          </w:p>
        </w:tc>
      </w:tr>
      <w:tr w:rsidR="00372F67" w:rsidRPr="00D517B2" w14:paraId="1BF8AB4B" w14:textId="77777777" w:rsidTr="0059327B">
        <w:trPr>
          <w:cantSplit/>
          <w:jc w:val="center"/>
        </w:trPr>
        <w:tc>
          <w:tcPr>
            <w:tcW w:w="810" w:type="pct"/>
          </w:tcPr>
          <w:p w14:paraId="1F012295" w14:textId="508A74EB" w:rsidR="00372F67" w:rsidRPr="00322BD3" w:rsidRDefault="002D40DB" w:rsidP="001E2788">
            <w:pPr>
              <w:spacing w:before="80" w:after="60" w:line="300" w:lineRule="exact"/>
              <w:jc w:val="left"/>
              <w:rPr>
                <w:position w:val="2"/>
                <w:lang w:bidi="ar-EG"/>
              </w:rPr>
            </w:pPr>
            <w:r w:rsidRPr="00322BD3">
              <w:rPr>
                <w:rFonts w:hint="cs"/>
                <w:position w:val="2"/>
                <w:rtl/>
                <w:lang w:bidi="ar-EG"/>
              </w:rPr>
              <w:t>ال</w:t>
            </w:r>
            <w:r w:rsidRPr="00322BD3">
              <w:rPr>
                <w:rFonts w:hint="cs"/>
                <w:position w:val="2"/>
                <w:rtl/>
                <w:lang w:bidi="ar-SY"/>
              </w:rPr>
              <w:t>هاتف</w:t>
            </w:r>
            <w:r w:rsidRPr="00322BD3">
              <w:rPr>
                <w:rFonts w:hint="cs"/>
                <w:position w:val="2"/>
                <w:rtl/>
                <w:lang w:bidi="ar-EG"/>
              </w:rPr>
              <w:t xml:space="preserve"> </w:t>
            </w:r>
            <w:r w:rsidR="00372F67" w:rsidRPr="00322BD3">
              <w:rPr>
                <w:rFonts w:hint="cs"/>
                <w:position w:val="2"/>
                <w:rtl/>
                <w:lang w:bidi="ar-EG"/>
              </w:rPr>
              <w:t>:</w:t>
            </w:r>
          </w:p>
        </w:tc>
        <w:tc>
          <w:tcPr>
            <w:tcW w:w="1859" w:type="pct"/>
          </w:tcPr>
          <w:p w14:paraId="09987B29" w14:textId="32411A52" w:rsidR="00372F67" w:rsidRPr="00D517B2" w:rsidRDefault="002D40DB" w:rsidP="001E2788">
            <w:pPr>
              <w:spacing w:before="80" w:after="60" w:line="300" w:lineRule="exact"/>
              <w:jc w:val="left"/>
              <w:rPr>
                <w:b/>
                <w:position w:val="2"/>
              </w:rPr>
            </w:pPr>
            <w:r w:rsidRPr="00AD306E">
              <w:rPr>
                <w:rFonts w:asciiTheme="minorHAnsi" w:hAnsiTheme="minorHAnsi" w:cstheme="minorHAnsi"/>
              </w:rPr>
              <w:t>+41 22 730 5780</w:t>
            </w:r>
          </w:p>
        </w:tc>
        <w:tc>
          <w:tcPr>
            <w:tcW w:w="2331" w:type="pct"/>
            <w:vMerge/>
          </w:tcPr>
          <w:p w14:paraId="39B97CE2"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172D750E" w14:textId="77777777" w:rsidTr="0059327B">
        <w:trPr>
          <w:cantSplit/>
          <w:jc w:val="center"/>
        </w:trPr>
        <w:tc>
          <w:tcPr>
            <w:tcW w:w="810" w:type="pct"/>
          </w:tcPr>
          <w:p w14:paraId="2DD010C6" w14:textId="5518DC7B" w:rsidR="00372F67" w:rsidRPr="00322BD3" w:rsidRDefault="002D40DB" w:rsidP="001E2788">
            <w:pPr>
              <w:spacing w:before="80" w:after="60" w:line="300" w:lineRule="exact"/>
              <w:jc w:val="left"/>
              <w:rPr>
                <w:position w:val="2"/>
                <w:rtl/>
                <w:lang w:bidi="ar-EG"/>
              </w:rPr>
            </w:pPr>
            <w:r w:rsidRPr="00322BD3">
              <w:rPr>
                <w:rFonts w:hint="cs"/>
                <w:position w:val="2"/>
                <w:rtl/>
              </w:rPr>
              <w:t xml:space="preserve">الفاكس </w:t>
            </w:r>
            <w:r w:rsidR="00372F67" w:rsidRPr="00322BD3">
              <w:rPr>
                <w:rFonts w:hint="cs"/>
                <w:position w:val="2"/>
                <w:rtl/>
              </w:rPr>
              <w:t>:</w:t>
            </w:r>
          </w:p>
        </w:tc>
        <w:tc>
          <w:tcPr>
            <w:tcW w:w="1859" w:type="pct"/>
          </w:tcPr>
          <w:p w14:paraId="22203C12" w14:textId="77B40423" w:rsidR="00372F67" w:rsidRDefault="002D40DB" w:rsidP="001E2788">
            <w:pPr>
              <w:spacing w:before="80" w:after="60" w:line="300" w:lineRule="exact"/>
              <w:jc w:val="left"/>
              <w:rPr>
                <w:b/>
                <w:bCs/>
                <w:position w:val="2"/>
                <w:rtl/>
                <w:lang w:bidi="ar-EG"/>
              </w:rPr>
            </w:pPr>
            <w:r w:rsidRPr="00AD306E">
              <w:rPr>
                <w:rFonts w:asciiTheme="minorHAnsi" w:hAnsiTheme="minorHAnsi" w:cstheme="minorHAnsi"/>
              </w:rPr>
              <w:t>+41 22 730 5853</w:t>
            </w:r>
          </w:p>
        </w:tc>
        <w:tc>
          <w:tcPr>
            <w:tcW w:w="2331" w:type="pct"/>
            <w:vMerge/>
          </w:tcPr>
          <w:p w14:paraId="49AD4499"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69370381" w14:textId="77777777" w:rsidTr="0059327B">
        <w:trPr>
          <w:cantSplit/>
          <w:jc w:val="center"/>
        </w:trPr>
        <w:tc>
          <w:tcPr>
            <w:tcW w:w="810" w:type="pct"/>
          </w:tcPr>
          <w:p w14:paraId="45F05AE6" w14:textId="0BBDB5E9" w:rsidR="00372F67" w:rsidRPr="00322BD3" w:rsidRDefault="002D40DB" w:rsidP="001E2788">
            <w:pPr>
              <w:spacing w:before="80" w:after="60" w:line="300" w:lineRule="exact"/>
              <w:jc w:val="left"/>
              <w:rPr>
                <w:position w:val="2"/>
                <w:rtl/>
              </w:rPr>
            </w:pPr>
            <w:r w:rsidRPr="00322BD3">
              <w:rPr>
                <w:rFonts w:hint="cs"/>
                <w:position w:val="2"/>
                <w:rtl/>
              </w:rPr>
              <w:t xml:space="preserve">البريد الإلكتروني </w:t>
            </w:r>
            <w:r w:rsidR="00372F67" w:rsidRPr="00322BD3">
              <w:rPr>
                <w:rFonts w:hint="cs"/>
                <w:position w:val="2"/>
                <w:rtl/>
              </w:rPr>
              <w:t>:</w:t>
            </w:r>
          </w:p>
        </w:tc>
        <w:tc>
          <w:tcPr>
            <w:tcW w:w="1859" w:type="pct"/>
          </w:tcPr>
          <w:p w14:paraId="30DC07F7" w14:textId="6F73E75E" w:rsidR="00372F67" w:rsidRPr="00D517B2" w:rsidRDefault="002D40DB" w:rsidP="00D517B2">
            <w:pPr>
              <w:spacing w:before="80" w:after="60" w:line="300" w:lineRule="exact"/>
              <w:jc w:val="left"/>
              <w:rPr>
                <w:position w:val="2"/>
              </w:rPr>
            </w:pPr>
            <w:hyperlink r:id="rId9" w:history="1">
              <w:r w:rsidRPr="00AD306E">
                <w:rPr>
                  <w:rStyle w:val="Hyperlink"/>
                  <w:rFonts w:asciiTheme="minorHAnsi" w:hAnsiTheme="minorHAnsi" w:cstheme="minorHAnsi"/>
                </w:rPr>
                <w:t>tsbsg11@itu.int</w:t>
              </w:r>
            </w:hyperlink>
          </w:p>
        </w:tc>
        <w:tc>
          <w:tcPr>
            <w:tcW w:w="2331" w:type="pct"/>
            <w:vMerge/>
          </w:tcPr>
          <w:p w14:paraId="042A637A"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477C3688" w14:textId="77777777" w:rsidTr="0059327B">
        <w:trPr>
          <w:cantSplit/>
          <w:jc w:val="center"/>
        </w:trPr>
        <w:tc>
          <w:tcPr>
            <w:tcW w:w="810" w:type="pct"/>
          </w:tcPr>
          <w:p w14:paraId="7E8E50F0" w14:textId="07F85AA1" w:rsidR="00372F67" w:rsidRPr="00A9156F" w:rsidRDefault="00372F67" w:rsidP="00CE1C08">
            <w:pPr>
              <w:spacing w:before="80" w:after="60" w:line="300" w:lineRule="exact"/>
              <w:jc w:val="left"/>
              <w:rPr>
                <w:b/>
                <w:bCs/>
                <w:position w:val="2"/>
                <w:rtl/>
              </w:rPr>
            </w:pPr>
          </w:p>
        </w:tc>
        <w:tc>
          <w:tcPr>
            <w:tcW w:w="1859" w:type="pct"/>
          </w:tcPr>
          <w:p w14:paraId="34C408AA" w14:textId="5DB981B1" w:rsidR="00372F67" w:rsidRPr="006E1BAD" w:rsidRDefault="00372F67" w:rsidP="00CE1C08">
            <w:pPr>
              <w:spacing w:before="80" w:after="60" w:line="300" w:lineRule="exact"/>
              <w:jc w:val="left"/>
              <w:rPr>
                <w:position w:val="2"/>
                <w:highlight w:val="magenta"/>
                <w:rtl/>
                <w:lang w:bidi="ar-EG"/>
              </w:rPr>
            </w:pPr>
          </w:p>
        </w:tc>
        <w:tc>
          <w:tcPr>
            <w:tcW w:w="2331" w:type="pct"/>
            <w:vMerge/>
          </w:tcPr>
          <w:p w14:paraId="5F8D36CD"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4FC019F8" w14:textId="77777777" w:rsidTr="001E2788">
        <w:trPr>
          <w:cantSplit/>
          <w:jc w:val="center"/>
        </w:trPr>
        <w:tc>
          <w:tcPr>
            <w:tcW w:w="810" w:type="pct"/>
          </w:tcPr>
          <w:p w14:paraId="61C96A97"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070B18B9" w14:textId="7378FF7C" w:rsidR="00CE1C08" w:rsidRPr="00D517B2" w:rsidRDefault="002D40DB" w:rsidP="00CE1C08">
            <w:pPr>
              <w:spacing w:before="80" w:after="60" w:line="300" w:lineRule="exact"/>
              <w:jc w:val="left"/>
              <w:rPr>
                <w:position w:val="2"/>
                <w:rtl/>
              </w:rPr>
            </w:pPr>
            <w:r w:rsidRPr="00537905">
              <w:rPr>
                <w:b/>
                <w:bCs/>
                <w:color w:val="000000"/>
                <w:position w:val="2"/>
                <w:rtl/>
              </w:rPr>
              <w:t>مشاورة الدول الأعضاء بشأن مشروع التوصي</w:t>
            </w:r>
            <w:r>
              <w:rPr>
                <w:rFonts w:hint="cs"/>
                <w:b/>
                <w:bCs/>
                <w:color w:val="000000"/>
                <w:position w:val="2"/>
                <w:rtl/>
              </w:rPr>
              <w:t>ة</w:t>
            </w:r>
            <w:r w:rsidRPr="00537905">
              <w:rPr>
                <w:b/>
                <w:bCs/>
                <w:color w:val="000000"/>
                <w:position w:val="2"/>
                <w:rtl/>
              </w:rPr>
              <w:t xml:space="preserve"> المحدد</w:t>
            </w:r>
            <w:r>
              <w:rPr>
                <w:rFonts w:hint="cs"/>
                <w:b/>
                <w:bCs/>
                <w:color w:val="000000"/>
                <w:position w:val="2"/>
                <w:rtl/>
              </w:rPr>
              <w:t>ة</w:t>
            </w:r>
            <w:r w:rsidRPr="00537905">
              <w:rPr>
                <w:b/>
                <w:bCs/>
                <w:color w:val="000000"/>
                <w:position w:val="2"/>
                <w:rtl/>
              </w:rPr>
              <w:t xml:space="preserve"> </w:t>
            </w:r>
            <w:r w:rsidRPr="00537905">
              <w:rPr>
                <w:b/>
                <w:bCs/>
                <w:color w:val="000000"/>
                <w:position w:val="2"/>
              </w:rPr>
              <w:t>ITU-T Q.50</w:t>
            </w:r>
            <w:r>
              <w:rPr>
                <w:b/>
                <w:bCs/>
                <w:color w:val="000000"/>
                <w:position w:val="2"/>
              </w:rPr>
              <w:t>57</w:t>
            </w:r>
            <w:r w:rsidRPr="00537905">
              <w:rPr>
                <w:b/>
                <w:bCs/>
                <w:color w:val="000000"/>
                <w:position w:val="2"/>
                <w:rtl/>
              </w:rPr>
              <w:t xml:space="preserve"> </w:t>
            </w:r>
            <w:r w:rsidRPr="00537905">
              <w:rPr>
                <w:rFonts w:hint="cs"/>
                <w:b/>
                <w:bCs/>
                <w:color w:val="000000"/>
                <w:position w:val="2"/>
                <w:rtl/>
                <w:lang w:bidi="ar-EG"/>
              </w:rPr>
              <w:t>(</w:t>
            </w:r>
            <w:r w:rsidRPr="00537905">
              <w:rPr>
                <w:b/>
                <w:bCs/>
                <w:color w:val="000000"/>
                <w:position w:val="2"/>
              </w:rPr>
              <w:t>Q.</w:t>
            </w:r>
            <w:r>
              <w:rPr>
                <w:b/>
                <w:bCs/>
                <w:color w:val="000000"/>
                <w:position w:val="2"/>
              </w:rPr>
              <w:t>GIR</w:t>
            </w:r>
            <w:r w:rsidR="004C74E0">
              <w:rPr>
                <w:rFonts w:hint="cs"/>
                <w:b/>
                <w:bCs/>
                <w:color w:val="000000"/>
                <w:position w:val="2"/>
                <w:rtl/>
              </w:rPr>
              <w:t xml:space="preserve"> </w:t>
            </w:r>
            <w:r w:rsidRPr="00537905">
              <w:rPr>
                <w:b/>
                <w:bCs/>
                <w:color w:val="000000"/>
                <w:position w:val="2"/>
                <w:rtl/>
              </w:rPr>
              <w:t xml:space="preserve">سابقاً) </w:t>
            </w:r>
            <w:r>
              <w:rPr>
                <w:rFonts w:hint="cs"/>
                <w:b/>
                <w:bCs/>
                <w:color w:val="000000"/>
                <w:position w:val="2"/>
                <w:rtl/>
                <w:lang w:bidi="ar-SY"/>
              </w:rPr>
              <w:t>التي</w:t>
            </w:r>
            <w:r w:rsidRPr="00537905">
              <w:rPr>
                <w:b/>
                <w:bCs/>
                <w:color w:val="000000"/>
                <w:position w:val="2"/>
                <w:rtl/>
              </w:rPr>
              <w:t xml:space="preserve"> تُقترح الموافقة عليها في اجتماع لجنة الدراسات </w:t>
            </w:r>
            <w:r>
              <w:rPr>
                <w:b/>
                <w:bCs/>
                <w:color w:val="000000"/>
                <w:position w:val="2"/>
                <w:rtl/>
              </w:rPr>
              <w:t>11 بقطاع</w:t>
            </w:r>
            <w:r w:rsidRPr="00537905">
              <w:rPr>
                <w:b/>
                <w:bCs/>
                <w:color w:val="000000"/>
                <w:position w:val="2"/>
                <w:rtl/>
              </w:rPr>
              <w:t xml:space="preserve"> تقييس الاتصالات (المزمع عقده في جنيف، في الفترة </w:t>
            </w:r>
            <w:r>
              <w:rPr>
                <w:rFonts w:hint="cs"/>
                <w:b/>
                <w:bCs/>
                <w:color w:val="000000"/>
                <w:position w:val="2"/>
                <w:rtl/>
              </w:rPr>
              <w:t>14-22 يوليو</w:t>
            </w:r>
            <w:r w:rsidRPr="00537905">
              <w:rPr>
                <w:b/>
                <w:bCs/>
                <w:color w:val="000000"/>
                <w:position w:val="2"/>
                <w:rtl/>
              </w:rPr>
              <w:t xml:space="preserve"> 2026)</w:t>
            </w:r>
          </w:p>
        </w:tc>
      </w:tr>
    </w:tbl>
    <w:p w14:paraId="17B111BE" w14:textId="0886E737" w:rsidR="00D517B2" w:rsidRPr="00D517B2" w:rsidRDefault="00D517B2" w:rsidP="00322BD3">
      <w:pPr>
        <w:rPr>
          <w:lang w:bidi="ar-SY"/>
        </w:rPr>
      </w:pPr>
      <w:r w:rsidRPr="00D517B2">
        <w:rPr>
          <w:rFonts w:hint="cs"/>
          <w:rtl/>
          <w:lang w:bidi="ar-SY"/>
        </w:rPr>
        <w:t>حضرات السادة والسيدات،</w:t>
      </w:r>
    </w:p>
    <w:p w14:paraId="7F0266E8" w14:textId="77777777" w:rsidR="00D517B2" w:rsidRPr="00D517B2" w:rsidRDefault="00D517B2" w:rsidP="00D517B2">
      <w:pPr>
        <w:rPr>
          <w:rtl/>
          <w:lang w:bidi="ar-EG"/>
        </w:rPr>
      </w:pPr>
      <w:r w:rsidRPr="00D517B2">
        <w:rPr>
          <w:rFonts w:hint="cs"/>
          <w:rtl/>
        </w:rPr>
        <w:t>تحية طيبة وبعد،</w:t>
      </w:r>
    </w:p>
    <w:p w14:paraId="6072E723" w14:textId="77777777" w:rsidR="002D40DB" w:rsidRPr="00224088" w:rsidRDefault="002D40DB" w:rsidP="002D40DB">
      <w:pPr>
        <w:textDirection w:val="tbRlV"/>
        <w:rPr>
          <w:spacing w:val="-2"/>
          <w:lang w:val="ar-SA" w:eastAsia="zh-TW" w:bidi="en-GB"/>
        </w:rPr>
      </w:pPr>
      <w:r w:rsidRPr="00224088">
        <w:rPr>
          <w:spacing w:val="-2"/>
          <w:rtl/>
        </w:rPr>
        <w:t>1</w:t>
      </w:r>
      <w:r w:rsidRPr="00224088">
        <w:rPr>
          <w:spacing w:val="-2"/>
          <w:rtl/>
        </w:rPr>
        <w:tab/>
        <w:t xml:space="preserve">تعتزم لجنة الدراسات </w:t>
      </w:r>
      <w:r>
        <w:rPr>
          <w:spacing w:val="-2"/>
          <w:rtl/>
        </w:rPr>
        <w:t>11 بقطاع</w:t>
      </w:r>
      <w:r w:rsidRPr="00224088">
        <w:rPr>
          <w:spacing w:val="-2"/>
          <w:rtl/>
        </w:rPr>
        <w:t xml:space="preserve"> تقييس الاتصالات (متطلبات وبروتوكولات التشوير ومواصفات الاختبار ومكافحة أجهزة الاتصالات/تكنولوجيا المعلومات والاتصالات المزيَّفة) تطبيق إجراء الموافقة التقليدية الوارد وصفه في القسم 9 من القرار</w:t>
      </w:r>
      <w:r>
        <w:rPr>
          <w:rFonts w:hint="cs"/>
          <w:spacing w:val="-2"/>
          <w:rtl/>
        </w:rPr>
        <w:t> </w:t>
      </w:r>
      <w:r w:rsidRPr="00224088">
        <w:rPr>
          <w:spacing w:val="-2"/>
          <w:rtl/>
        </w:rPr>
        <w:t>1</w:t>
      </w:r>
      <w:r>
        <w:rPr>
          <w:rFonts w:hint="cs"/>
          <w:spacing w:val="-2"/>
          <w:rtl/>
        </w:rPr>
        <w:t> </w:t>
      </w:r>
      <w:r w:rsidRPr="00224088">
        <w:rPr>
          <w:spacing w:val="-2"/>
          <w:rtl/>
        </w:rPr>
        <w:t xml:space="preserve">(المراجَع في جنيف، 2022) للجمعية العالمية لتقييس الاتصالات من أجل الموافقة على </w:t>
      </w:r>
      <w:r>
        <w:rPr>
          <w:rFonts w:hint="cs"/>
          <w:spacing w:val="-2"/>
          <w:rtl/>
        </w:rPr>
        <w:t>مشروع التوصية المذكورة</w:t>
      </w:r>
      <w:r w:rsidRPr="00224088">
        <w:rPr>
          <w:spacing w:val="-2"/>
          <w:rtl/>
        </w:rPr>
        <w:t xml:space="preserve"> أعلاه في</w:t>
      </w:r>
      <w:r>
        <w:rPr>
          <w:rFonts w:hint="eastAsia"/>
          <w:spacing w:val="-2"/>
          <w:rtl/>
        </w:rPr>
        <w:t> </w:t>
      </w:r>
      <w:r w:rsidRPr="00224088">
        <w:rPr>
          <w:spacing w:val="-2"/>
          <w:rtl/>
        </w:rPr>
        <w:t xml:space="preserve">اجتماعها المقبل المزمع عقده في جنيف في الفترة </w:t>
      </w:r>
      <w:r>
        <w:rPr>
          <w:rFonts w:hint="cs"/>
          <w:spacing w:val="-2"/>
          <w:rtl/>
        </w:rPr>
        <w:t>14-22 يوليو</w:t>
      </w:r>
      <w:r w:rsidRPr="00224088">
        <w:rPr>
          <w:spacing w:val="-2"/>
          <w:rtl/>
        </w:rPr>
        <w:t xml:space="preserve"> 2026. وسيصدر جدول أعمال اجتماع لجنة الدراسات</w:t>
      </w:r>
      <w:r w:rsidRPr="00224088">
        <w:rPr>
          <w:rFonts w:hint="cs"/>
          <w:spacing w:val="-2"/>
          <w:rtl/>
        </w:rPr>
        <w:t> </w:t>
      </w:r>
      <w:r>
        <w:rPr>
          <w:spacing w:val="-2"/>
          <w:rtl/>
        </w:rPr>
        <w:t>11 بقطاع</w:t>
      </w:r>
      <w:r w:rsidRPr="00224088">
        <w:rPr>
          <w:spacing w:val="-2"/>
          <w:rtl/>
        </w:rPr>
        <w:t xml:space="preserve"> تقييس الاتصالات وجميع المعلومات ذات الصلة في الوقت المناسب.</w:t>
      </w:r>
    </w:p>
    <w:p w14:paraId="331A1829" w14:textId="77777777" w:rsidR="002D40DB" w:rsidRPr="008A2276" w:rsidRDefault="002D40DB" w:rsidP="002D40DB">
      <w:pPr>
        <w:textDirection w:val="tbRlV"/>
        <w:rPr>
          <w:lang w:val="ar-SA" w:eastAsia="zh-TW" w:bidi="en-GB"/>
        </w:rPr>
      </w:pPr>
      <w:r w:rsidRPr="008A2276">
        <w:rPr>
          <w:rtl/>
        </w:rPr>
        <w:t>2</w:t>
      </w:r>
      <w:r w:rsidRPr="008A2276">
        <w:rPr>
          <w:rtl/>
        </w:rPr>
        <w:tab/>
      </w:r>
      <w:r>
        <w:rPr>
          <w:rFonts w:hint="cs"/>
          <w:rtl/>
        </w:rPr>
        <w:t>و</w:t>
      </w:r>
      <w:r w:rsidRPr="008A2276">
        <w:rPr>
          <w:rtl/>
        </w:rPr>
        <w:t xml:space="preserve">يمكن الاطلاع في </w:t>
      </w:r>
      <w:r w:rsidRPr="008A2276">
        <w:rPr>
          <w:b/>
          <w:bCs/>
          <w:rtl/>
        </w:rPr>
        <w:t>الملحق 1</w:t>
      </w:r>
      <w:r w:rsidRPr="008A2276">
        <w:rPr>
          <w:rtl/>
        </w:rPr>
        <w:t xml:space="preserve"> على عنوان وملخص مشروع توصي</w:t>
      </w:r>
      <w:r>
        <w:rPr>
          <w:rFonts w:hint="cs"/>
          <w:rtl/>
        </w:rPr>
        <w:t>ة</w:t>
      </w:r>
      <w:r w:rsidRPr="008A2276">
        <w:rPr>
          <w:rtl/>
        </w:rPr>
        <w:t xml:space="preserve"> قطاع تقييس الاتصالات </w:t>
      </w:r>
      <w:r>
        <w:rPr>
          <w:rFonts w:hint="cs"/>
          <w:rtl/>
        </w:rPr>
        <w:t>الذي</w:t>
      </w:r>
      <w:r w:rsidRPr="008A2276">
        <w:rPr>
          <w:rtl/>
        </w:rPr>
        <w:t xml:space="preserve"> تُقترح الموافقة عليه والوثيق</w:t>
      </w:r>
      <w:r>
        <w:rPr>
          <w:rFonts w:hint="cs"/>
          <w:rtl/>
        </w:rPr>
        <w:t>ة</w:t>
      </w:r>
      <w:r w:rsidRPr="008A2276">
        <w:rPr>
          <w:rtl/>
        </w:rPr>
        <w:t xml:space="preserve"> </w:t>
      </w:r>
      <w:r>
        <w:rPr>
          <w:rFonts w:hint="cs"/>
          <w:rtl/>
        </w:rPr>
        <w:t>التي يرد</w:t>
      </w:r>
      <w:r w:rsidRPr="008A2276">
        <w:rPr>
          <w:rtl/>
        </w:rPr>
        <w:t xml:space="preserve"> </w:t>
      </w:r>
      <w:r>
        <w:rPr>
          <w:rFonts w:hint="cs"/>
          <w:rtl/>
        </w:rPr>
        <w:t>فيها</w:t>
      </w:r>
      <w:r w:rsidRPr="008A2276">
        <w:rPr>
          <w:rtl/>
        </w:rPr>
        <w:t>.</w:t>
      </w:r>
    </w:p>
    <w:p w14:paraId="0B1DACB2" w14:textId="77777777" w:rsidR="002D40DB" w:rsidRPr="008A2276" w:rsidRDefault="002D40DB" w:rsidP="002D40DB">
      <w:pPr>
        <w:textDirection w:val="tbRlV"/>
        <w:rPr>
          <w:lang w:val="ar-SA" w:eastAsia="zh-TW" w:bidi="en-GB"/>
        </w:rPr>
      </w:pPr>
      <w:r w:rsidRPr="008A2276">
        <w:rPr>
          <w:rtl/>
        </w:rPr>
        <w:t>3</w:t>
      </w:r>
      <w:r w:rsidRPr="008A2276">
        <w:rPr>
          <w:rtl/>
        </w:rPr>
        <w:tab/>
      </w:r>
      <w:r>
        <w:rPr>
          <w:rFonts w:hint="cs"/>
          <w:rtl/>
        </w:rPr>
        <w:t>و</w:t>
      </w:r>
      <w:r w:rsidRPr="008A2276">
        <w:rPr>
          <w:rtl/>
        </w:rPr>
        <w:t xml:space="preserve">تستهل هذه الرسالة المعممة المشاورة الرسمية مع الدول الأعضاء في الاتحاد بشأن ما إذا كان يمكن النظر في </w:t>
      </w:r>
      <w:r>
        <w:rPr>
          <w:rFonts w:hint="cs"/>
          <w:rtl/>
        </w:rPr>
        <w:t>هذا</w:t>
      </w:r>
      <w:r w:rsidRPr="008A2276">
        <w:rPr>
          <w:rtl/>
        </w:rPr>
        <w:t xml:space="preserve"> </w:t>
      </w:r>
      <w:r>
        <w:rPr>
          <w:rFonts w:hint="cs"/>
          <w:rtl/>
        </w:rPr>
        <w:t>النص</w:t>
      </w:r>
      <w:r w:rsidRPr="008A2276">
        <w:rPr>
          <w:rtl/>
        </w:rPr>
        <w:t xml:space="preserve"> للموافقة عليه في الاجتماع المقبل، وفقاً للفقرة 4.9 من القرار 1. وي</w:t>
      </w:r>
      <w:r>
        <w:rPr>
          <w:rFonts w:hint="cs"/>
          <w:rtl/>
        </w:rPr>
        <w:t>ُ</w:t>
      </w:r>
      <w:r w:rsidRPr="008A2276">
        <w:rPr>
          <w:rtl/>
        </w:rPr>
        <w:t>رجى من الدول الأعضاء ملء الاستمارة الواردة في</w:t>
      </w:r>
      <w:r>
        <w:rPr>
          <w:rFonts w:hint="cs"/>
          <w:rtl/>
        </w:rPr>
        <w:t> </w:t>
      </w:r>
      <w:r w:rsidRPr="008A2276">
        <w:rPr>
          <w:b/>
          <w:bCs/>
          <w:rtl/>
        </w:rPr>
        <w:t>الملحق 2</w:t>
      </w:r>
      <w:r w:rsidRPr="008A2276">
        <w:rPr>
          <w:rtl/>
        </w:rPr>
        <w:t xml:space="preserve"> وإعادتها في موعد أقصاه </w:t>
      </w:r>
      <w:r>
        <w:rPr>
          <w:rFonts w:hint="cs"/>
          <w:b/>
          <w:bCs/>
          <w:rtl/>
        </w:rPr>
        <w:t>2 يوليو</w:t>
      </w:r>
      <w:r w:rsidRPr="008A2276">
        <w:rPr>
          <w:b/>
          <w:bCs/>
          <w:rtl/>
        </w:rPr>
        <w:t xml:space="preserve"> 2026</w:t>
      </w:r>
      <w:r w:rsidRPr="008A2276">
        <w:rPr>
          <w:rtl/>
        </w:rPr>
        <w:t>، الساعة 23:59 بالتوقيت العالمي المنسق.</w:t>
      </w:r>
    </w:p>
    <w:p w14:paraId="0C76ED4D" w14:textId="77777777" w:rsidR="002D40DB" w:rsidRPr="008A2276" w:rsidRDefault="002D40DB" w:rsidP="002D40DB">
      <w:pPr>
        <w:keepNext/>
        <w:keepLines/>
        <w:textDirection w:val="tbRlV"/>
        <w:rPr>
          <w:lang w:val="ar-SA" w:eastAsia="zh-TW" w:bidi="en-GB"/>
        </w:rPr>
      </w:pPr>
      <w:bookmarkStart w:id="0" w:name="_Hlk172722338"/>
      <w:r w:rsidRPr="008A2276">
        <w:rPr>
          <w:rtl/>
        </w:rPr>
        <w:t>4</w:t>
      </w:r>
      <w:r w:rsidRPr="008A2276">
        <w:rPr>
          <w:rtl/>
        </w:rPr>
        <w:tab/>
      </w:r>
      <w:r>
        <w:rPr>
          <w:rFonts w:hint="cs"/>
          <w:rtl/>
        </w:rPr>
        <w:t>و</w:t>
      </w:r>
      <w:r w:rsidRPr="008A2276">
        <w:rPr>
          <w:rtl/>
        </w:rPr>
        <w:t>إذا كانت نسبة 70 في المائة أو أكثر من الردود الواردة من الدول الأعضاء تؤيد النظر في مشرو</w:t>
      </w:r>
      <w:r>
        <w:rPr>
          <w:rFonts w:hint="cs"/>
          <w:rtl/>
        </w:rPr>
        <w:t>ع</w:t>
      </w:r>
      <w:r w:rsidRPr="008A2276">
        <w:rPr>
          <w:rtl/>
        </w:rPr>
        <w:t xml:space="preserve"> التوصي</w:t>
      </w:r>
      <w:r>
        <w:rPr>
          <w:rFonts w:hint="cs"/>
          <w:rtl/>
        </w:rPr>
        <w:t>ة</w:t>
      </w:r>
      <w:r w:rsidRPr="008A2276">
        <w:rPr>
          <w:rtl/>
        </w:rPr>
        <w:t xml:space="preserve"> بغرض الموافقة عليهما، فستُكرَّس جلسة عامة لتطبيق إجراء الموافقة. وينبغي للدول الأعضاء التي لا تفوض سلطة المضي قدماً أن تبلغ مدير مكتب تقييس الاتصالات بأسباب هذا الرأي وأن ت</w:t>
      </w:r>
      <w:r>
        <w:rPr>
          <w:rFonts w:hint="cs"/>
          <w:rtl/>
        </w:rPr>
        <w:t>ُ</w:t>
      </w:r>
      <w:r w:rsidRPr="008A2276">
        <w:rPr>
          <w:rtl/>
        </w:rPr>
        <w:t>شير إلى التغييرات الممكنة التي من شأنها أن تمك</w:t>
      </w:r>
      <w:r>
        <w:rPr>
          <w:rFonts w:hint="cs"/>
          <w:rtl/>
        </w:rPr>
        <w:t>ّ</w:t>
      </w:r>
      <w:r w:rsidRPr="008A2276">
        <w:rPr>
          <w:rtl/>
        </w:rPr>
        <w:t>ن من إحراز تقدم في العمل.</w:t>
      </w:r>
      <w:bookmarkEnd w:id="0"/>
    </w:p>
    <w:p w14:paraId="2C7C5CE1" w14:textId="355CA0FB" w:rsidR="00E84438" w:rsidRPr="00D517B2" w:rsidRDefault="0010107D"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6FA0020C" wp14:editId="0DCD16D0">
            <wp:simplePos x="0" y="0"/>
            <wp:positionH relativeFrom="margin">
              <wp:align>right</wp:align>
            </wp:positionH>
            <wp:positionV relativeFrom="paragraph">
              <wp:posOffset>303530</wp:posOffset>
            </wp:positionV>
            <wp:extent cx="768389" cy="368319"/>
            <wp:effectExtent l="0" t="0" r="0" b="0"/>
            <wp:wrapNone/>
            <wp:docPr id="1833286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86698" name="Picture 1833286698"/>
                    <pic:cNvPicPr/>
                  </pic:nvPicPr>
                  <pic:blipFill>
                    <a:blip r:embed="rId10">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43FEE124" w14:textId="597D4212" w:rsidR="00E84438" w:rsidRDefault="00807031" w:rsidP="00322BD3">
      <w:pPr>
        <w:spacing w:before="720"/>
        <w:jc w:val="left"/>
        <w:rPr>
          <w:lang w:bidi="ar-SY"/>
        </w:rPr>
      </w:pPr>
      <w:r>
        <w:rPr>
          <w:rFonts w:hint="cs"/>
          <w:rtl/>
          <w:lang w:bidi="ar-SY"/>
        </w:rPr>
        <w:t>سيزو أون</w:t>
      </w:r>
      <w:r w:rsidR="0059327B" w:rsidRPr="0059327B">
        <w:rPr>
          <w:rFonts w:hint="cs"/>
          <w:noProof/>
          <w:rtl/>
          <w:lang w:val="ar-SY" w:bidi="ar-SY"/>
        </w:rPr>
        <w:t xml:space="preserve"> </w:t>
      </w:r>
      <w:r>
        <w:rPr>
          <w:rFonts w:hint="cs"/>
          <w:rtl/>
          <w:lang w:bidi="ar-SY"/>
        </w:rPr>
        <w:t>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5695D35F" w14:textId="77777777" w:rsidR="0059327B" w:rsidRPr="008A2276" w:rsidRDefault="0059327B" w:rsidP="0059327B">
      <w:pPr>
        <w:spacing w:before="240" w:after="0"/>
        <w:rPr>
          <w:lang w:val="ar-SA" w:eastAsia="zh-TW" w:bidi="en-GB"/>
        </w:rPr>
      </w:pPr>
      <w:r w:rsidRPr="0059327B">
        <w:rPr>
          <w:b/>
          <w:bCs/>
          <w:rtl/>
        </w:rPr>
        <w:t>الملحقات</w:t>
      </w:r>
      <w:r w:rsidRPr="008A2276">
        <w:t>:</w:t>
      </w:r>
      <w:r w:rsidRPr="008A2276">
        <w:rPr>
          <w:rtl/>
        </w:rPr>
        <w:t xml:space="preserve"> 2</w:t>
      </w:r>
    </w:p>
    <w:p w14:paraId="1E643528" w14:textId="77777777" w:rsidR="002D40DB" w:rsidRPr="004C74E0" w:rsidRDefault="002D40DB" w:rsidP="004C74E0">
      <w:pPr>
        <w:pStyle w:val="Annextitle0"/>
        <w:bidi/>
        <w:spacing w:line="192" w:lineRule="auto"/>
        <w:textDirection w:val="tbRlV"/>
        <w:rPr>
          <w:rFonts w:ascii="Dubai" w:hAnsi="Dubai" w:cs="Dubai" w:hint="default"/>
          <w:sz w:val="26"/>
          <w:szCs w:val="26"/>
          <w:lang w:val="ar-SA" w:eastAsia="zh-TW" w:bidi="en-GB"/>
        </w:rPr>
      </w:pPr>
      <w:r w:rsidRPr="004C74E0">
        <w:rPr>
          <w:rFonts w:ascii="Dubai" w:hAnsi="Dubai" w:cs="Dubai" w:hint="default"/>
          <w:bCs/>
          <w:sz w:val="26"/>
          <w:szCs w:val="26"/>
          <w:rtl/>
        </w:rPr>
        <w:lastRenderedPageBreak/>
        <w:t>الملحق 1</w:t>
      </w:r>
      <w:r w:rsidRPr="004C74E0">
        <w:rPr>
          <w:rFonts w:ascii="Dubai" w:hAnsi="Dubai" w:cs="Dubai" w:hint="default"/>
          <w:bCs/>
          <w:sz w:val="26"/>
          <w:szCs w:val="26"/>
          <w:rtl/>
        </w:rPr>
        <w:br/>
        <w:t>ملخص</w:t>
      </w:r>
      <w:r w:rsidRPr="004C74E0">
        <w:rPr>
          <w:rFonts w:ascii="Dubai" w:hAnsi="Dubai" w:cs="Dubai"/>
          <w:bCs/>
          <w:sz w:val="26"/>
          <w:szCs w:val="26"/>
          <w:rtl/>
        </w:rPr>
        <w:t xml:space="preserve"> </w:t>
      </w:r>
      <w:r w:rsidRPr="004C74E0">
        <w:rPr>
          <w:rFonts w:ascii="Dubai" w:hAnsi="Dubai" w:cs="Dubai" w:hint="default"/>
          <w:bCs/>
          <w:sz w:val="26"/>
          <w:szCs w:val="26"/>
          <w:rtl/>
        </w:rPr>
        <w:t>مشروع التوصي</w:t>
      </w:r>
      <w:r w:rsidRPr="004C74E0">
        <w:rPr>
          <w:rFonts w:ascii="Dubai" w:hAnsi="Dubai" w:cs="Dubai"/>
          <w:bCs/>
          <w:sz w:val="26"/>
          <w:szCs w:val="26"/>
          <w:rtl/>
        </w:rPr>
        <w:t>ة</w:t>
      </w:r>
      <w:r w:rsidRPr="004C74E0">
        <w:rPr>
          <w:rFonts w:ascii="Dubai" w:hAnsi="Dubai" w:cs="Dubai" w:hint="default"/>
          <w:bCs/>
          <w:sz w:val="26"/>
          <w:szCs w:val="26"/>
          <w:rtl/>
        </w:rPr>
        <w:t xml:space="preserve"> المحدد</w:t>
      </w:r>
      <w:r w:rsidRPr="004C74E0">
        <w:rPr>
          <w:rFonts w:ascii="Dubai" w:hAnsi="Dubai" w:cs="Dubai"/>
          <w:bCs/>
          <w:sz w:val="26"/>
          <w:szCs w:val="26"/>
          <w:rtl/>
        </w:rPr>
        <w:t>ة</w:t>
      </w:r>
      <w:r w:rsidRPr="004C74E0">
        <w:rPr>
          <w:rFonts w:ascii="Dubai" w:hAnsi="Dubai" w:cs="Dubai" w:hint="default"/>
          <w:bCs/>
          <w:sz w:val="26"/>
          <w:szCs w:val="26"/>
          <w:rtl/>
        </w:rPr>
        <w:t xml:space="preserve"> ITU-T Q.50</w:t>
      </w:r>
      <w:r w:rsidRPr="004C74E0">
        <w:rPr>
          <w:rFonts w:ascii="Dubai" w:hAnsi="Dubai" w:cs="Dubai"/>
          <w:bCs/>
          <w:sz w:val="26"/>
          <w:szCs w:val="26"/>
          <w:rtl/>
        </w:rPr>
        <w:t>57</w:t>
      </w:r>
      <w:r w:rsidRPr="004C74E0">
        <w:rPr>
          <w:rFonts w:ascii="Dubai" w:hAnsi="Dubai" w:cs="Dubai" w:hint="default"/>
          <w:bCs/>
          <w:sz w:val="26"/>
          <w:szCs w:val="26"/>
          <w:rtl/>
        </w:rPr>
        <w:t xml:space="preserve"> (</w:t>
      </w:r>
      <w:r w:rsidRPr="004C74E0">
        <w:rPr>
          <w:rFonts w:ascii="Dubai" w:hAnsi="Dubai" w:cs="Dubai" w:hint="default"/>
          <w:bCs/>
          <w:sz w:val="26"/>
          <w:szCs w:val="26"/>
        </w:rPr>
        <w:t>Q.GIR</w:t>
      </w:r>
      <w:r w:rsidRPr="004C74E0">
        <w:rPr>
          <w:rFonts w:ascii="Dubai" w:hAnsi="Dubai" w:cs="Dubai" w:hint="default"/>
          <w:bCs/>
          <w:sz w:val="26"/>
          <w:szCs w:val="26"/>
          <w:rtl/>
        </w:rPr>
        <w:t xml:space="preserve">سابقاً) </w:t>
      </w:r>
      <w:r w:rsidRPr="004C74E0">
        <w:rPr>
          <w:rFonts w:ascii="Dubai" w:hAnsi="Dubai" w:cs="Dubai" w:hint="default"/>
          <w:bCs/>
          <w:sz w:val="26"/>
          <w:szCs w:val="26"/>
          <w:rtl/>
        </w:rPr>
        <w:br/>
        <w:t>والوثي</w:t>
      </w:r>
      <w:r w:rsidRPr="004C74E0">
        <w:rPr>
          <w:rFonts w:ascii="Dubai" w:hAnsi="Dubai" w:cs="Dubai"/>
          <w:bCs/>
          <w:sz w:val="26"/>
          <w:szCs w:val="26"/>
          <w:rtl/>
          <w:lang w:bidi="ar-SY"/>
        </w:rPr>
        <w:t>قة التي</w:t>
      </w:r>
      <w:r w:rsidRPr="004C74E0">
        <w:rPr>
          <w:rFonts w:ascii="Dubai" w:hAnsi="Dubai" w:cs="Dubai" w:hint="default"/>
          <w:bCs/>
          <w:sz w:val="26"/>
          <w:szCs w:val="26"/>
          <w:rtl/>
        </w:rPr>
        <w:t xml:space="preserve"> </w:t>
      </w:r>
      <w:r w:rsidRPr="004C74E0">
        <w:rPr>
          <w:rFonts w:ascii="Dubai" w:hAnsi="Dubai" w:cs="Dubai"/>
          <w:bCs/>
          <w:sz w:val="26"/>
          <w:szCs w:val="26"/>
          <w:rtl/>
        </w:rPr>
        <w:t>يرد فيها</w:t>
      </w:r>
    </w:p>
    <w:p w14:paraId="0557FB1A" w14:textId="77777777" w:rsidR="002D40DB" w:rsidRPr="008A2276" w:rsidRDefault="002D40DB" w:rsidP="002D40DB">
      <w:pPr>
        <w:pStyle w:val="Heading1"/>
        <w:textDirection w:val="tbRlV"/>
        <w:rPr>
          <w:b w:val="0"/>
          <w:bCs w:val="0"/>
          <w:sz w:val="22"/>
          <w:szCs w:val="22"/>
          <w:lang w:val="ar-SA" w:eastAsia="zh-TW" w:bidi="en-GB"/>
        </w:rPr>
      </w:pPr>
      <w:r w:rsidRPr="008A2276">
        <w:rPr>
          <w:sz w:val="22"/>
          <w:szCs w:val="22"/>
          <w:rtl/>
        </w:rPr>
        <w:t>1</w:t>
      </w:r>
      <w:r w:rsidRPr="008A2276">
        <w:rPr>
          <w:sz w:val="22"/>
          <w:szCs w:val="22"/>
          <w:rtl/>
        </w:rPr>
        <w:tab/>
      </w:r>
      <w:r w:rsidRPr="008A2276">
        <w:rPr>
          <w:b w:val="0"/>
          <w:sz w:val="22"/>
          <w:szCs w:val="22"/>
          <w:rtl/>
        </w:rPr>
        <w:t xml:space="preserve">مشروع التوصية الجديدة </w:t>
      </w:r>
      <w:r w:rsidRPr="008A2276">
        <w:rPr>
          <w:sz w:val="22"/>
          <w:szCs w:val="22"/>
          <w:rtl/>
        </w:rPr>
        <w:t>ITU-T Q.</w:t>
      </w:r>
      <w:r w:rsidRPr="00802772">
        <w:rPr>
          <w:sz w:val="22"/>
          <w:szCs w:val="22"/>
          <w:rtl/>
        </w:rPr>
        <w:t>5057</w:t>
      </w:r>
      <w:r w:rsidRPr="008A2276">
        <w:rPr>
          <w:sz w:val="22"/>
          <w:szCs w:val="22"/>
          <w:rtl/>
        </w:rPr>
        <w:t xml:space="preserve"> (</w:t>
      </w:r>
      <w:r>
        <w:rPr>
          <w:bCs w:val="0"/>
          <w:sz w:val="22"/>
          <w:szCs w:val="22"/>
        </w:rPr>
        <w:t>Q.GIR</w:t>
      </w:r>
      <w:r w:rsidRPr="008A2276">
        <w:rPr>
          <w:sz w:val="22"/>
          <w:szCs w:val="22"/>
          <w:rtl/>
        </w:rPr>
        <w:t xml:space="preserve">سابقاً) </w:t>
      </w:r>
      <w:r w:rsidRPr="008A2276">
        <w:rPr>
          <w:b w:val="0"/>
          <w:sz w:val="22"/>
          <w:szCs w:val="22"/>
          <w:rtl/>
        </w:rPr>
        <w:t>[</w:t>
      </w:r>
      <w:hyperlink r:id="rId11" w:history="1">
        <w:r w:rsidRPr="00802772">
          <w:rPr>
            <w:rStyle w:val="Hyperlink"/>
            <w:b w:val="0"/>
            <w:sz w:val="22"/>
            <w:szCs w:val="22"/>
            <w:rtl/>
          </w:rPr>
          <w:t>SG1</w:t>
        </w:r>
        <w:r w:rsidRPr="00802772">
          <w:rPr>
            <w:rStyle w:val="Hyperlink"/>
            <w:b w:val="0"/>
            <w:sz w:val="22"/>
            <w:szCs w:val="22"/>
            <w:rtl/>
          </w:rPr>
          <w:t>1</w:t>
        </w:r>
        <w:r w:rsidRPr="00802772">
          <w:rPr>
            <w:rStyle w:val="Hyperlink"/>
            <w:b w:val="0"/>
            <w:sz w:val="22"/>
            <w:szCs w:val="22"/>
            <w:rtl/>
          </w:rPr>
          <w:t>-R</w:t>
        </w:r>
        <w:r w:rsidRPr="00802772">
          <w:rPr>
            <w:rStyle w:val="Hyperlink"/>
            <w:rFonts w:hint="cs"/>
            <w:b w:val="0"/>
            <w:sz w:val="22"/>
            <w:szCs w:val="22"/>
            <w:rtl/>
          </w:rPr>
          <w:t>17</w:t>
        </w:r>
      </w:hyperlink>
      <w:r w:rsidRPr="008A2276">
        <w:rPr>
          <w:b w:val="0"/>
          <w:sz w:val="22"/>
          <w:szCs w:val="22"/>
          <w:rtl/>
        </w:rPr>
        <w:t>]</w:t>
      </w:r>
      <w:hyperlink r:id="rId12" w:history="1"/>
    </w:p>
    <w:p w14:paraId="1B48D76F" w14:textId="77777777" w:rsidR="002D40DB" w:rsidRPr="008A2276" w:rsidRDefault="002D40DB" w:rsidP="002D40DB">
      <w:pPr>
        <w:rPr>
          <w:lang w:val="ar-SA" w:eastAsia="zh-TW" w:bidi="en-GB"/>
        </w:rPr>
      </w:pPr>
      <w:r w:rsidRPr="008A2276">
        <w:rPr>
          <w:rtl/>
        </w:rPr>
        <w:t>‎</w:t>
      </w:r>
      <w:r w:rsidRPr="006F642C">
        <w:rPr>
          <w:rtl/>
        </w:rPr>
        <w:t xml:space="preserve">المتطلبات التقنية لسجل دولي عالمي لهوية المعدات المتنقلة </w:t>
      </w:r>
    </w:p>
    <w:p w14:paraId="547D7FA3" w14:textId="77777777" w:rsidR="002D40DB" w:rsidRPr="008A2276" w:rsidRDefault="002D40DB" w:rsidP="002D40DB">
      <w:pPr>
        <w:pStyle w:val="Headingb"/>
        <w:rPr>
          <w:lang w:val="ar-SA" w:eastAsia="zh-TW" w:bidi="en-GB"/>
        </w:rPr>
      </w:pPr>
      <w:r w:rsidRPr="008A2276">
        <w:rPr>
          <w:rtl/>
        </w:rPr>
        <w:t>ملخص</w:t>
      </w:r>
    </w:p>
    <w:p w14:paraId="6D966089" w14:textId="00DDA8FC" w:rsidR="002D40DB" w:rsidRPr="00554036" w:rsidRDefault="002D40DB" w:rsidP="002D40DB">
      <w:pPr>
        <w:textDirection w:val="tbRlV"/>
        <w:rPr>
          <w:lang w:val="en-GB"/>
        </w:rPr>
      </w:pPr>
      <w:r>
        <w:rPr>
          <w:rFonts w:hint="cs"/>
          <w:rtl/>
          <w:lang w:val="fr-CH" w:bidi="ar-SY"/>
        </w:rPr>
        <w:t>أدى تزايد استخدام معدات تكنولوجيا المعلومات</w:t>
      </w:r>
      <w:r w:rsidRPr="00554036">
        <w:rPr>
          <w:rtl/>
          <w:lang w:val="fr-CH"/>
        </w:rPr>
        <w:t xml:space="preserve"> </w:t>
      </w:r>
      <w:r>
        <w:rPr>
          <w:rFonts w:hint="cs"/>
          <w:rtl/>
          <w:lang w:val="fr-CH"/>
        </w:rPr>
        <w:t xml:space="preserve">والاتصالات </w:t>
      </w:r>
      <w:r w:rsidRPr="00554036">
        <w:rPr>
          <w:rtl/>
          <w:lang w:val="fr-CH"/>
        </w:rPr>
        <w:t xml:space="preserve">في الحياة اليومية </w:t>
      </w:r>
      <w:r>
        <w:rPr>
          <w:rFonts w:hint="cs"/>
          <w:rtl/>
          <w:lang w:val="fr-CH"/>
        </w:rPr>
        <w:t xml:space="preserve">إلى </w:t>
      </w:r>
      <w:r w:rsidRPr="00554036">
        <w:rPr>
          <w:rtl/>
          <w:lang w:val="fr-CH"/>
        </w:rPr>
        <w:t xml:space="preserve">العديد من الآثار الجانبية غير </w:t>
      </w:r>
      <w:r>
        <w:rPr>
          <w:rFonts w:hint="cs"/>
          <w:rtl/>
          <w:lang w:val="fr-CH"/>
        </w:rPr>
        <w:t>المستساغة</w:t>
      </w:r>
      <w:r w:rsidRPr="00554036">
        <w:rPr>
          <w:rtl/>
          <w:lang w:val="fr-CH"/>
        </w:rPr>
        <w:t xml:space="preserve"> المتعلقة بزيادة مبيعات أجهزة تكنولوجيا المعلومات والاتصالات المزيفة وتداولها واستخدامها</w:t>
      </w:r>
      <w:r w:rsidRPr="000A25F4">
        <w:rPr>
          <w:rtl/>
          <w:lang w:val="fr-CH"/>
        </w:rPr>
        <w:t xml:space="preserve"> </w:t>
      </w:r>
      <w:r w:rsidRPr="00554036">
        <w:rPr>
          <w:rtl/>
          <w:lang w:val="fr-CH"/>
        </w:rPr>
        <w:t>في السوق.</w:t>
      </w:r>
    </w:p>
    <w:p w14:paraId="3D025D2F" w14:textId="77777777" w:rsidR="002D40DB" w:rsidRPr="00554036" w:rsidRDefault="002D40DB" w:rsidP="002D40DB">
      <w:pPr>
        <w:textDirection w:val="tbRlV"/>
        <w:rPr>
          <w:lang w:val="en-GB"/>
        </w:rPr>
      </w:pPr>
      <w:r w:rsidRPr="00554036">
        <w:rPr>
          <w:rtl/>
          <w:lang w:val="fr-CH"/>
        </w:rPr>
        <w:t xml:space="preserve">وعلى النحو </w:t>
      </w:r>
      <w:r>
        <w:rPr>
          <w:rFonts w:hint="cs"/>
          <w:rtl/>
          <w:lang w:val="fr-CH"/>
        </w:rPr>
        <w:t>المبين</w:t>
      </w:r>
      <w:r w:rsidRPr="00554036">
        <w:rPr>
          <w:rtl/>
          <w:lang w:val="fr-CH"/>
        </w:rPr>
        <w:t xml:space="preserve"> في التوصية [</w:t>
      </w:r>
      <w:r w:rsidRPr="00554036">
        <w:rPr>
          <w:lang w:val="en-GB"/>
        </w:rPr>
        <w:t>ITU-T Q.5050</w:t>
      </w:r>
      <w:r w:rsidRPr="00554036">
        <w:rPr>
          <w:rtl/>
          <w:lang w:val="fr-CH"/>
        </w:rPr>
        <w:t xml:space="preserve">] </w:t>
      </w:r>
      <w:r>
        <w:rPr>
          <w:rFonts w:hint="cs"/>
          <w:rtl/>
          <w:lang w:val="fr-CH"/>
        </w:rPr>
        <w:t>المعنونة</w:t>
      </w:r>
      <w:r w:rsidRPr="00554036">
        <w:rPr>
          <w:rtl/>
          <w:lang w:val="fr-CH"/>
        </w:rPr>
        <w:t xml:space="preserve"> </w:t>
      </w:r>
      <w:r>
        <w:rPr>
          <w:rFonts w:hint="cs"/>
          <w:rtl/>
          <w:lang w:val="fr-CH"/>
        </w:rPr>
        <w:t>"</w:t>
      </w:r>
      <w:r w:rsidRPr="00554036">
        <w:rPr>
          <w:rtl/>
          <w:lang w:val="fr-CH"/>
        </w:rPr>
        <w:t xml:space="preserve">إطار حلول </w:t>
      </w:r>
      <w:r>
        <w:rPr>
          <w:rFonts w:hint="cs"/>
          <w:rtl/>
          <w:lang w:val="fr-CH"/>
        </w:rPr>
        <w:t>ل</w:t>
      </w:r>
      <w:r w:rsidRPr="00554036">
        <w:rPr>
          <w:rtl/>
          <w:lang w:val="fr-CH"/>
        </w:rPr>
        <w:t>مكافحة أجهزة تكنولوجيا المعلومات والاتصالات المزيفة</w:t>
      </w:r>
      <w:r>
        <w:rPr>
          <w:rFonts w:hint="cs"/>
          <w:rtl/>
          <w:lang w:val="fr-CH"/>
        </w:rPr>
        <w:t>"</w:t>
      </w:r>
      <w:r w:rsidRPr="00554036">
        <w:rPr>
          <w:rtl/>
          <w:lang w:val="fr-CH"/>
        </w:rPr>
        <w:t xml:space="preserve">، فقد أدى ذلك إلى عواقب سلبية على أصحاب المصلحة المتعددين مثل المستخدمين ومشغلي الشبكات ومصنعي الأجهزة الأصلية والتجار والحكومات، بما في ذلك </w:t>
      </w:r>
      <w:r>
        <w:rPr>
          <w:rFonts w:hint="cs"/>
          <w:rtl/>
          <w:lang w:val="fr-CH"/>
        </w:rPr>
        <w:t>تراجع</w:t>
      </w:r>
      <w:r w:rsidRPr="00554036">
        <w:rPr>
          <w:rtl/>
          <w:lang w:val="fr-CH"/>
        </w:rPr>
        <w:t xml:space="preserve"> الحماية الأمنية وجودة الخدمة </w:t>
      </w:r>
      <w:r>
        <w:rPr>
          <w:rFonts w:hint="cs"/>
          <w:rtl/>
          <w:lang w:val="fr-CH"/>
        </w:rPr>
        <w:t>للمستخدمين</w:t>
      </w:r>
      <w:r w:rsidRPr="00554036">
        <w:rPr>
          <w:rtl/>
          <w:lang w:val="fr-CH"/>
        </w:rPr>
        <w:t xml:space="preserve"> وخسائر في الإيرادات لمجموعة من أصحاب المصلحة.</w:t>
      </w:r>
    </w:p>
    <w:p w14:paraId="1EBD9FD4" w14:textId="77777777" w:rsidR="002D40DB" w:rsidRPr="00554036" w:rsidRDefault="002D40DB" w:rsidP="002D40DB">
      <w:pPr>
        <w:textDirection w:val="tbRlV"/>
        <w:rPr>
          <w:lang w:val="en-GB"/>
        </w:rPr>
      </w:pPr>
      <w:r w:rsidRPr="00554036">
        <w:rPr>
          <w:rtl/>
          <w:lang w:val="fr-CH"/>
        </w:rPr>
        <w:t>وتشير الفقرة 1.10 من التوصية [</w:t>
      </w:r>
      <w:r w:rsidRPr="00554036">
        <w:rPr>
          <w:lang w:val="en-GB"/>
        </w:rPr>
        <w:t>ITU-T Q.5050</w:t>
      </w:r>
      <w:r w:rsidRPr="00554036">
        <w:rPr>
          <w:rtl/>
          <w:lang w:val="fr-CH"/>
        </w:rPr>
        <w:t xml:space="preserve">] إلى </w:t>
      </w:r>
      <w:r>
        <w:rPr>
          <w:rFonts w:hint="cs"/>
          <w:rtl/>
          <w:lang w:val="fr-CH"/>
        </w:rPr>
        <w:t>"</w:t>
      </w:r>
      <w:r w:rsidRPr="00554036">
        <w:rPr>
          <w:rtl/>
          <w:lang w:val="fr-CH"/>
        </w:rPr>
        <w:t xml:space="preserve">حظر استخدام معرفات </w:t>
      </w:r>
      <w:r>
        <w:rPr>
          <w:rFonts w:hint="cs"/>
          <w:rtl/>
          <w:lang w:val="fr-CH"/>
        </w:rPr>
        <w:t>جهاز</w:t>
      </w:r>
      <w:r w:rsidRPr="00554036">
        <w:rPr>
          <w:rtl/>
          <w:lang w:val="fr-CH"/>
        </w:rPr>
        <w:t xml:space="preserve"> غير </w:t>
      </w:r>
      <w:r>
        <w:rPr>
          <w:rFonts w:hint="cs"/>
          <w:rtl/>
          <w:lang w:val="fr-CH"/>
        </w:rPr>
        <w:t>صحيحة</w:t>
      </w:r>
      <w:r w:rsidRPr="00554036">
        <w:rPr>
          <w:rtl/>
          <w:lang w:val="fr-CH"/>
        </w:rPr>
        <w:t xml:space="preserve"> وغير أصلية".</w:t>
      </w:r>
    </w:p>
    <w:p w14:paraId="6BA953FE" w14:textId="77777777" w:rsidR="002D40DB" w:rsidRPr="00554036" w:rsidRDefault="002D40DB" w:rsidP="002D40DB">
      <w:pPr>
        <w:textDirection w:val="tbRlV"/>
        <w:rPr>
          <w:lang w:val="en-GB"/>
        </w:rPr>
      </w:pPr>
      <w:r w:rsidRPr="00554036">
        <w:rPr>
          <w:rtl/>
          <w:lang w:val="fr-CH"/>
        </w:rPr>
        <w:t>وبما أن مسألة إعادة برمجة الهوية الدولية للمعدات المتنقلة</w:t>
      </w:r>
      <w:r>
        <w:rPr>
          <w:rFonts w:hint="cs"/>
          <w:rtl/>
          <w:lang w:val="fr-CH"/>
        </w:rPr>
        <w:t xml:space="preserve"> (</w:t>
      </w:r>
      <w:r>
        <w:rPr>
          <w:lang w:val="fr-CH"/>
        </w:rPr>
        <w:t>IMEI</w:t>
      </w:r>
      <w:r>
        <w:rPr>
          <w:rFonts w:hint="cs"/>
          <w:rtl/>
          <w:lang w:val="fr-CH"/>
        </w:rPr>
        <w:t>)</w:t>
      </w:r>
      <w:r w:rsidRPr="00554036">
        <w:rPr>
          <w:rtl/>
          <w:lang w:val="fr-CH"/>
        </w:rPr>
        <w:t xml:space="preserve"> لا تزال تشكل </w:t>
      </w:r>
      <w:r>
        <w:rPr>
          <w:rFonts w:hint="cs"/>
          <w:rtl/>
          <w:lang w:val="fr-CH" w:bidi="ar-SY"/>
        </w:rPr>
        <w:t>مصدر قلق بالغ</w:t>
      </w:r>
      <w:r w:rsidRPr="00554036">
        <w:rPr>
          <w:rtl/>
          <w:lang w:val="fr-CH"/>
        </w:rPr>
        <w:t xml:space="preserve"> في مكافحة أجهزة تكنولوجيا المعلومات والاتصالات المزيفة، </w:t>
      </w:r>
      <w:r>
        <w:rPr>
          <w:rFonts w:hint="cs"/>
          <w:rtl/>
          <w:lang w:val="fr-CH"/>
        </w:rPr>
        <w:t>فإن</w:t>
      </w:r>
      <w:r w:rsidRPr="00554036">
        <w:rPr>
          <w:rtl/>
          <w:lang w:val="fr-CH"/>
        </w:rPr>
        <w:t xml:space="preserve"> الفقرة 3.9 من التوصية [</w:t>
      </w:r>
      <w:r w:rsidRPr="00554036">
        <w:rPr>
          <w:lang w:val="en-GB"/>
        </w:rPr>
        <w:t>ITU-T Q.5050</w:t>
      </w:r>
      <w:r w:rsidRPr="00554036">
        <w:rPr>
          <w:rtl/>
          <w:lang w:val="fr-CH"/>
        </w:rPr>
        <w:t xml:space="preserve">] بشأن المعرفات الفريدة الموثوقة </w:t>
      </w:r>
      <w:r>
        <w:rPr>
          <w:rFonts w:hint="cs"/>
          <w:rtl/>
          <w:lang w:val="fr-CH"/>
        </w:rPr>
        <w:t xml:space="preserve">تشير </w:t>
      </w:r>
      <w:r w:rsidRPr="00554036">
        <w:rPr>
          <w:rtl/>
          <w:lang w:val="fr-CH"/>
        </w:rPr>
        <w:t xml:space="preserve">إلى أن أجهزة تكنولوجيا المعلومات والاتصالات الأصلية يجب أن يكون لديها معرفات </w:t>
      </w:r>
      <w:r>
        <w:rPr>
          <w:rFonts w:hint="cs"/>
          <w:rtl/>
          <w:lang w:val="fr-CH"/>
        </w:rPr>
        <w:t>"</w:t>
      </w:r>
      <w:r w:rsidRPr="00554036">
        <w:rPr>
          <w:rtl/>
          <w:lang w:val="fr-CH"/>
        </w:rPr>
        <w:t xml:space="preserve">فريدة وثابتة </w:t>
      </w:r>
      <w:r>
        <w:rPr>
          <w:rFonts w:hint="cs"/>
          <w:rtl/>
          <w:lang w:val="fr-CH"/>
        </w:rPr>
        <w:t>و</w:t>
      </w:r>
      <w:r w:rsidRPr="00554036">
        <w:rPr>
          <w:rtl/>
          <w:lang w:val="fr-CH"/>
        </w:rPr>
        <w:t>آمنة</w:t>
      </w:r>
      <w:r>
        <w:rPr>
          <w:rFonts w:hint="cs"/>
          <w:rtl/>
          <w:lang w:val="fr-CH"/>
        </w:rPr>
        <w:t xml:space="preserve">، </w:t>
      </w:r>
      <w:r w:rsidRPr="00554036">
        <w:rPr>
          <w:rtl/>
          <w:lang w:val="fr-CH"/>
        </w:rPr>
        <w:t>بمعنى</w:t>
      </w:r>
      <w:r>
        <w:rPr>
          <w:rFonts w:hint="cs"/>
          <w:rtl/>
          <w:lang w:val="fr-CH"/>
        </w:rPr>
        <w:t xml:space="preserve"> استعصاء تغييرها على يد جهات غير مجاز لها، وانفراد </w:t>
      </w:r>
      <w:r w:rsidRPr="00554036">
        <w:rPr>
          <w:rtl/>
          <w:lang w:val="fr-CH"/>
        </w:rPr>
        <w:t xml:space="preserve">كل </w:t>
      </w:r>
      <w:r>
        <w:rPr>
          <w:rFonts w:hint="cs"/>
          <w:rtl/>
          <w:lang w:val="fr-CH"/>
        </w:rPr>
        <w:t xml:space="preserve">منها بجهاز </w:t>
      </w:r>
      <w:r w:rsidRPr="00777680">
        <w:rPr>
          <w:rtl/>
          <w:lang w:val="fr-CH"/>
        </w:rPr>
        <w:t>من المعدات خَصصت المعرفَ له جهةُ تخصيص مجازة</w:t>
      </w:r>
      <w:r w:rsidRPr="00554036">
        <w:rPr>
          <w:rtl/>
          <w:lang w:val="fr-CH"/>
        </w:rPr>
        <w:t>". وهذا يعني ضمنا</w:t>
      </w:r>
      <w:r>
        <w:rPr>
          <w:rFonts w:hint="cs"/>
          <w:rtl/>
          <w:lang w:val="fr-CH"/>
        </w:rPr>
        <w:t>ً</w:t>
      </w:r>
      <w:r w:rsidRPr="00554036">
        <w:rPr>
          <w:rtl/>
          <w:lang w:val="fr-CH"/>
        </w:rPr>
        <w:t xml:space="preserve"> أنه</w:t>
      </w:r>
      <w:r>
        <w:rPr>
          <w:rFonts w:hint="cs"/>
          <w:rtl/>
          <w:lang w:val="fr-CH"/>
        </w:rPr>
        <w:t>،</w:t>
      </w:r>
      <w:r w:rsidRPr="00554036">
        <w:rPr>
          <w:rtl/>
          <w:lang w:val="fr-CH"/>
        </w:rPr>
        <w:t xml:space="preserve"> </w:t>
      </w:r>
      <w:r>
        <w:rPr>
          <w:rFonts w:hint="cs"/>
          <w:rtl/>
          <w:lang w:val="fr-CH"/>
        </w:rPr>
        <w:t>للحد من</w:t>
      </w:r>
      <w:r w:rsidRPr="00554036">
        <w:rPr>
          <w:rtl/>
          <w:lang w:val="fr-CH"/>
        </w:rPr>
        <w:t xml:space="preserve"> إعادة برمجة الهوية الدولية للمعدات المتنقلة، يلزم تحديد </w:t>
      </w:r>
      <w:r>
        <w:rPr>
          <w:rFonts w:hint="cs"/>
          <w:rtl/>
          <w:lang w:val="fr-CH"/>
        </w:rPr>
        <w:t>ما إذا أعيد برمجة الهوية</w:t>
      </w:r>
      <w:r w:rsidRPr="00554036">
        <w:rPr>
          <w:rtl/>
          <w:lang w:val="fr-CH"/>
        </w:rPr>
        <w:t>.</w:t>
      </w:r>
    </w:p>
    <w:p w14:paraId="5A081828" w14:textId="0A50A37E" w:rsidR="002D40DB" w:rsidRPr="00554036" w:rsidRDefault="002D40DB" w:rsidP="002D40DB">
      <w:pPr>
        <w:textDirection w:val="tbRlV"/>
        <w:rPr>
          <w:lang w:val="en-GB"/>
        </w:rPr>
      </w:pPr>
      <w:r w:rsidRPr="00554036">
        <w:rPr>
          <w:rtl/>
          <w:lang w:val="fr-CH"/>
        </w:rPr>
        <w:t>وعند</w:t>
      </w:r>
      <w:r>
        <w:rPr>
          <w:rFonts w:hint="cs"/>
          <w:rtl/>
          <w:lang w:val="fr-CH" w:bidi="ar-SY"/>
        </w:rPr>
        <w:t xml:space="preserve"> إعادة</w:t>
      </w:r>
      <w:r w:rsidRPr="00554036">
        <w:rPr>
          <w:rtl/>
          <w:lang w:val="fr-CH"/>
        </w:rPr>
        <w:t xml:space="preserve"> برمجة الهوية الدولية للمعدات المتنقلة، </w:t>
      </w:r>
      <w:r>
        <w:rPr>
          <w:rFonts w:hint="cs"/>
          <w:rtl/>
          <w:lang w:val="fr-CH"/>
        </w:rPr>
        <w:t xml:space="preserve">فإنها </w:t>
      </w:r>
      <w:r w:rsidRPr="00554036">
        <w:rPr>
          <w:rtl/>
          <w:lang w:val="fr-CH"/>
        </w:rPr>
        <w:t xml:space="preserve">تكون إما عشوائية، أي غير صالحة، أو غير أصلية، أو مكررة/مستخدمة </w:t>
      </w:r>
      <w:r>
        <w:rPr>
          <w:rFonts w:hint="cs"/>
          <w:rtl/>
          <w:lang w:val="fr-CH"/>
        </w:rPr>
        <w:t>سابقاً،</w:t>
      </w:r>
      <w:r w:rsidRPr="00554036">
        <w:rPr>
          <w:rtl/>
          <w:lang w:val="fr-CH"/>
        </w:rPr>
        <w:t xml:space="preserve"> أو صالحة ولكنها غير مصنعة من قبل </w:t>
      </w:r>
      <w:r>
        <w:rPr>
          <w:rFonts w:hint="cs"/>
          <w:rtl/>
          <w:lang w:val="fr-CH" w:bidi="ar-SY"/>
        </w:rPr>
        <w:t>مصنع</w:t>
      </w:r>
      <w:r w:rsidRPr="00554036">
        <w:rPr>
          <w:rtl/>
          <w:lang w:val="fr-CH"/>
        </w:rPr>
        <w:t xml:space="preserve"> </w:t>
      </w:r>
      <w:r>
        <w:rPr>
          <w:rFonts w:hint="cs"/>
          <w:rtl/>
          <w:lang w:val="fr-CH"/>
        </w:rPr>
        <w:t>المعدات الأصلية</w:t>
      </w:r>
      <w:r w:rsidRPr="00554036">
        <w:rPr>
          <w:rtl/>
          <w:lang w:val="fr-CH"/>
        </w:rPr>
        <w:t xml:space="preserve"> (</w:t>
      </w:r>
      <w:r w:rsidRPr="00554036">
        <w:rPr>
          <w:lang w:val="en-GB"/>
        </w:rPr>
        <w:t>OEM</w:t>
      </w:r>
      <w:r w:rsidRPr="00554036">
        <w:rPr>
          <w:rtl/>
          <w:lang w:val="fr-CH"/>
        </w:rPr>
        <w:t xml:space="preserve">). </w:t>
      </w:r>
      <w:r>
        <w:rPr>
          <w:rFonts w:hint="cs"/>
          <w:rtl/>
          <w:lang w:val="fr-CH"/>
        </w:rPr>
        <w:t>و</w:t>
      </w:r>
      <w:r w:rsidRPr="00554036">
        <w:rPr>
          <w:rtl/>
          <w:lang w:val="fr-CH"/>
        </w:rPr>
        <w:t xml:space="preserve">يمكن الكشف عن هوية غير صالحة أو غير موزعة </w:t>
      </w:r>
      <w:r>
        <w:rPr>
          <w:rFonts w:hint="cs"/>
          <w:rtl/>
          <w:lang w:val="fr-CH" w:bidi="ar-SY"/>
        </w:rPr>
        <w:t>استناداً</w:t>
      </w:r>
      <w:r>
        <w:rPr>
          <w:rFonts w:hint="cs"/>
          <w:rtl/>
          <w:lang w:val="fr-CH"/>
        </w:rPr>
        <w:t xml:space="preserve"> إلى </w:t>
      </w:r>
      <w:r w:rsidRPr="00777680">
        <w:rPr>
          <w:rtl/>
          <w:lang w:val="fr-CH"/>
        </w:rPr>
        <w:t>قاعدة بيانات شفرة توزيع النمط</w:t>
      </w:r>
      <w:r w:rsidRPr="00777680">
        <w:t xml:space="preserve"> </w:t>
      </w:r>
      <w:r>
        <w:rPr>
          <w:rFonts w:hint="cs"/>
          <w:rtl/>
        </w:rPr>
        <w:t>(</w:t>
      </w:r>
      <w:r>
        <w:rPr>
          <w:lang w:val="fr-CH"/>
        </w:rPr>
        <w:t>TAC</w:t>
      </w:r>
      <w:r>
        <w:rPr>
          <w:rFonts w:hint="cs"/>
          <w:rtl/>
        </w:rPr>
        <w:t>)</w:t>
      </w:r>
      <w:r>
        <w:rPr>
          <w:rFonts w:hint="cs"/>
          <w:rtl/>
          <w:lang w:val="en-GB"/>
        </w:rPr>
        <w:t xml:space="preserve">، </w:t>
      </w:r>
      <w:r w:rsidRPr="00554036">
        <w:rPr>
          <w:rtl/>
          <w:lang w:val="fr-CH"/>
        </w:rPr>
        <w:t>باستخدام سجل هوية المعدات (</w:t>
      </w:r>
      <w:r w:rsidRPr="00554036">
        <w:rPr>
          <w:lang w:val="en-GB"/>
        </w:rPr>
        <w:t>EIR</w:t>
      </w:r>
      <w:r w:rsidRPr="00554036">
        <w:rPr>
          <w:rtl/>
          <w:lang w:val="fr-CH"/>
        </w:rPr>
        <w:t xml:space="preserve">) </w:t>
      </w:r>
      <w:r>
        <w:rPr>
          <w:rFonts w:hint="cs"/>
          <w:rtl/>
          <w:lang w:val="fr-CH"/>
        </w:rPr>
        <w:t>الخاص ب</w:t>
      </w:r>
      <w:r w:rsidRPr="00554036">
        <w:rPr>
          <w:rtl/>
          <w:lang w:val="fr-CH"/>
        </w:rPr>
        <w:t>مشغل الشبكة المتنقلة (</w:t>
      </w:r>
      <w:r w:rsidRPr="00554036">
        <w:rPr>
          <w:lang w:val="en-GB"/>
        </w:rPr>
        <w:t>MNO</w:t>
      </w:r>
      <w:r w:rsidRPr="00554036">
        <w:rPr>
          <w:rtl/>
          <w:lang w:val="fr-CH"/>
        </w:rPr>
        <w:t>)</w:t>
      </w:r>
      <w:r>
        <w:rPr>
          <w:rFonts w:hint="cs"/>
          <w:rtl/>
          <w:lang w:val="fr-CH"/>
        </w:rPr>
        <w:t>، وذلك بمقارنها</w:t>
      </w:r>
      <w:r w:rsidRPr="00554036">
        <w:rPr>
          <w:rtl/>
          <w:lang w:val="fr-CH"/>
        </w:rPr>
        <w:t xml:space="preserve"> مع نسق </w:t>
      </w:r>
      <w:r>
        <w:rPr>
          <w:rFonts w:hint="cs"/>
          <w:rtl/>
          <w:lang w:val="fr-CH"/>
        </w:rPr>
        <w:t>ال</w:t>
      </w:r>
      <w:r w:rsidRPr="00554036">
        <w:rPr>
          <w:rtl/>
          <w:lang w:val="fr-CH"/>
        </w:rPr>
        <w:t xml:space="preserve">هوية </w:t>
      </w:r>
      <w:r w:rsidRPr="00554036">
        <w:rPr>
          <w:lang w:val="en-GB"/>
        </w:rPr>
        <w:t>IMEI</w:t>
      </w:r>
      <w:r w:rsidRPr="00554036">
        <w:rPr>
          <w:rtl/>
          <w:lang w:val="fr-CH"/>
        </w:rPr>
        <w:t xml:space="preserve"> المعياري الذي </w:t>
      </w:r>
      <w:r>
        <w:rPr>
          <w:rFonts w:hint="cs"/>
          <w:rtl/>
          <w:lang w:val="fr-CH"/>
        </w:rPr>
        <w:t>ت</w:t>
      </w:r>
      <w:r w:rsidRPr="00554036">
        <w:rPr>
          <w:rtl/>
          <w:lang w:val="fr-CH"/>
        </w:rPr>
        <w:t>حدده شراكة الجيل الثالث (3</w:t>
      </w:r>
      <w:r w:rsidRPr="00554036">
        <w:rPr>
          <w:lang w:val="en-GB"/>
        </w:rPr>
        <w:t>GPP</w:t>
      </w:r>
      <w:r w:rsidRPr="00554036">
        <w:rPr>
          <w:rtl/>
          <w:lang w:val="fr-CH"/>
        </w:rPr>
        <w:t xml:space="preserve">) </w:t>
      </w:r>
      <w:r>
        <w:rPr>
          <w:rFonts w:hint="cs"/>
          <w:rtl/>
          <w:lang w:val="fr-CH"/>
        </w:rPr>
        <w:t>ومطابقتها</w:t>
      </w:r>
      <w:r w:rsidRPr="00554036">
        <w:rPr>
          <w:rtl/>
          <w:lang w:val="fr-CH"/>
        </w:rPr>
        <w:t xml:space="preserve"> مع شفرة توزيع النمط (</w:t>
      </w:r>
      <w:r w:rsidRPr="00554036">
        <w:rPr>
          <w:lang w:val="en-GB"/>
        </w:rPr>
        <w:t>TAC</w:t>
      </w:r>
      <w:r w:rsidRPr="00554036">
        <w:rPr>
          <w:rtl/>
          <w:lang w:val="fr-CH"/>
        </w:rPr>
        <w:t xml:space="preserve">) التي </w:t>
      </w:r>
      <w:r>
        <w:rPr>
          <w:rFonts w:hint="cs"/>
          <w:rtl/>
          <w:lang w:val="fr-CH"/>
        </w:rPr>
        <w:t>تخصصها</w:t>
      </w:r>
      <w:r w:rsidRPr="00554036">
        <w:rPr>
          <w:rtl/>
          <w:lang w:val="fr-CH"/>
        </w:rPr>
        <w:t xml:space="preserve"> رابطة النظام العالمي للاتصالات المتنقلة (</w:t>
      </w:r>
      <w:r w:rsidRPr="00554036">
        <w:rPr>
          <w:lang w:val="en-GB"/>
        </w:rPr>
        <w:t>GSMA</w:t>
      </w:r>
      <w:r w:rsidRPr="00554036">
        <w:rPr>
          <w:rtl/>
          <w:lang w:val="fr-CH"/>
        </w:rPr>
        <w:t xml:space="preserve">). وحتى الهويات الدولية للمعدات المتنقلة </w:t>
      </w:r>
      <w:r>
        <w:rPr>
          <w:rFonts w:hint="cs"/>
          <w:rtl/>
          <w:lang w:val="fr-CH"/>
        </w:rPr>
        <w:t>المستخدمة سابقاً</w:t>
      </w:r>
      <w:r w:rsidRPr="00554036">
        <w:rPr>
          <w:rtl/>
          <w:lang w:val="fr-CH"/>
        </w:rPr>
        <w:t xml:space="preserve"> يمكن التحقق منها عن طريق السجل هوية المعدات المركزي (</w:t>
      </w:r>
      <w:r w:rsidRPr="00554036">
        <w:rPr>
          <w:lang w:val="en-GB"/>
        </w:rPr>
        <w:t>CEIR</w:t>
      </w:r>
      <w:r w:rsidRPr="00554036">
        <w:rPr>
          <w:rtl/>
          <w:lang w:val="fr-CH"/>
        </w:rPr>
        <w:t>).</w:t>
      </w:r>
    </w:p>
    <w:p w14:paraId="03938B21" w14:textId="4E2A245A" w:rsidR="002D40DB" w:rsidRPr="005A1589" w:rsidRDefault="002D40DB" w:rsidP="002D40DB">
      <w:pPr>
        <w:textDirection w:val="tbRlV"/>
        <w:rPr>
          <w:spacing w:val="-2"/>
          <w:kern w:val="22"/>
          <w:lang w:val="en-GB"/>
        </w:rPr>
      </w:pPr>
      <w:r w:rsidRPr="005A1589">
        <w:rPr>
          <w:spacing w:val="-2"/>
          <w:kern w:val="22"/>
          <w:rtl/>
          <w:lang w:val="en-GB"/>
        </w:rPr>
        <w:t>ومع ذلك، لا يمكن معرفة ما إذا كان مصنع المعدات الأصلية قد صن</w:t>
      </w:r>
      <w:r w:rsidRPr="005A1589">
        <w:rPr>
          <w:rFonts w:hint="cs"/>
          <w:spacing w:val="-2"/>
          <w:kern w:val="22"/>
          <w:rtl/>
          <w:lang w:val="en-GB"/>
        </w:rPr>
        <w:t>ّ</w:t>
      </w:r>
      <w:r w:rsidRPr="005A1589">
        <w:rPr>
          <w:spacing w:val="-2"/>
          <w:kern w:val="22"/>
          <w:rtl/>
          <w:lang w:val="en-GB"/>
        </w:rPr>
        <w:t xml:space="preserve">ع الهوية الدولية للمعدات المتنقلة إلا من خلال سجل </w:t>
      </w:r>
      <w:r w:rsidRPr="005A1589">
        <w:rPr>
          <w:rFonts w:hint="cs"/>
          <w:spacing w:val="-2"/>
          <w:kern w:val="22"/>
          <w:rtl/>
          <w:lang w:val="en-GB" w:bidi="ar-SY"/>
        </w:rPr>
        <w:t>هذه الهويات</w:t>
      </w:r>
      <w:r w:rsidRPr="005A1589">
        <w:rPr>
          <w:rFonts w:hint="cs"/>
          <w:spacing w:val="-2"/>
          <w:kern w:val="22"/>
          <w:rtl/>
          <w:lang w:val="en-GB"/>
        </w:rPr>
        <w:t xml:space="preserve"> الذي قد </w:t>
      </w:r>
      <w:r w:rsidRPr="005A1589">
        <w:rPr>
          <w:spacing w:val="-2"/>
          <w:kern w:val="22"/>
          <w:rtl/>
          <w:lang w:val="en-GB"/>
        </w:rPr>
        <w:t xml:space="preserve">يحتوي إما على قائمة بالهويات الدولية للمعدات المتنقلة </w:t>
      </w:r>
      <w:r w:rsidRPr="005A1589">
        <w:rPr>
          <w:rFonts w:hint="cs"/>
          <w:spacing w:val="-2"/>
          <w:kern w:val="22"/>
          <w:rtl/>
          <w:lang w:val="en-GB"/>
        </w:rPr>
        <w:t>المصنعة من طرف مصنعي الأجهزة المتنقلة والمطروحة للبيع في السوق، وإما على طريقة للتحقق</w:t>
      </w:r>
      <w:r w:rsidRPr="005A1589">
        <w:rPr>
          <w:spacing w:val="-2"/>
          <w:kern w:val="22"/>
          <w:rtl/>
          <w:lang w:val="en-GB"/>
        </w:rPr>
        <w:t xml:space="preserve"> مما إذا كان</w:t>
      </w:r>
      <w:r w:rsidRPr="005A1589">
        <w:rPr>
          <w:rFonts w:hint="cs"/>
          <w:spacing w:val="-2"/>
          <w:kern w:val="22"/>
          <w:rtl/>
          <w:lang w:val="en-GB"/>
        </w:rPr>
        <w:t xml:space="preserve">ت الهوية </w:t>
      </w:r>
      <w:r w:rsidRPr="005A1589">
        <w:rPr>
          <w:spacing w:val="-2"/>
          <w:kern w:val="22"/>
          <w:rtl/>
          <w:lang w:val="en-GB"/>
        </w:rPr>
        <w:t>قد صنع</w:t>
      </w:r>
      <w:r w:rsidRPr="005A1589">
        <w:rPr>
          <w:rFonts w:hint="cs"/>
          <w:spacing w:val="-2"/>
          <w:kern w:val="22"/>
          <w:rtl/>
          <w:lang w:val="en-GB"/>
        </w:rPr>
        <w:t>ت</w:t>
      </w:r>
      <w:r w:rsidRPr="005A1589">
        <w:rPr>
          <w:spacing w:val="-2"/>
          <w:kern w:val="22"/>
          <w:rtl/>
          <w:lang w:val="en-GB"/>
        </w:rPr>
        <w:t xml:space="preserve"> بالفعل أم لا من قبل المصنعين المعنيين </w:t>
      </w:r>
      <w:r w:rsidRPr="005A1589">
        <w:rPr>
          <w:rFonts w:hint="cs"/>
          <w:spacing w:val="-2"/>
          <w:kern w:val="22"/>
          <w:rtl/>
          <w:lang w:val="en-GB"/>
        </w:rPr>
        <w:t xml:space="preserve">وذلك </w:t>
      </w:r>
      <w:r w:rsidRPr="005A1589">
        <w:rPr>
          <w:spacing w:val="-2"/>
          <w:kern w:val="22"/>
          <w:rtl/>
          <w:lang w:val="en-GB"/>
        </w:rPr>
        <w:t xml:space="preserve">من خلال استعلام </w:t>
      </w:r>
      <w:r w:rsidRPr="005A1589">
        <w:rPr>
          <w:rFonts w:hint="cs"/>
          <w:spacing w:val="-2"/>
          <w:kern w:val="22"/>
          <w:rtl/>
          <w:lang w:val="en-GB"/>
        </w:rPr>
        <w:t>فوري يُرسل</w:t>
      </w:r>
      <w:r w:rsidRPr="005A1589">
        <w:rPr>
          <w:spacing w:val="-2"/>
          <w:kern w:val="22"/>
          <w:rtl/>
          <w:lang w:val="en-GB"/>
        </w:rPr>
        <w:t xml:space="preserve"> إلى مصنع المعدات الأصلية/</w:t>
      </w:r>
      <w:r w:rsidRPr="005A1589">
        <w:rPr>
          <w:rFonts w:hint="cs"/>
          <w:spacing w:val="-2"/>
          <w:kern w:val="22"/>
          <w:rtl/>
          <w:lang w:val="en-GB"/>
        </w:rPr>
        <w:t>مصنع التصميم الأولي</w:t>
      </w:r>
      <w:r w:rsidRPr="005A1589">
        <w:rPr>
          <w:spacing w:val="-2"/>
          <w:kern w:val="22"/>
          <w:rtl/>
          <w:lang w:val="en-GB"/>
        </w:rPr>
        <w:t xml:space="preserve"> (</w:t>
      </w:r>
      <w:r w:rsidRPr="005A1589">
        <w:rPr>
          <w:spacing w:val="-2"/>
          <w:kern w:val="22"/>
          <w:lang w:val="en-GB"/>
        </w:rPr>
        <w:t>ODM</w:t>
      </w:r>
      <w:r w:rsidRPr="005A1589">
        <w:rPr>
          <w:spacing w:val="-2"/>
          <w:kern w:val="22"/>
          <w:rtl/>
          <w:lang w:val="en-GB"/>
        </w:rPr>
        <w:t xml:space="preserve">) المعني. وقد تكون بعض البلدان قد </w:t>
      </w:r>
      <w:r w:rsidRPr="005A1589">
        <w:rPr>
          <w:rFonts w:hint="cs"/>
          <w:spacing w:val="-2"/>
          <w:kern w:val="22"/>
          <w:rtl/>
          <w:lang w:val="en-GB"/>
        </w:rPr>
        <w:t>وضعت</w:t>
      </w:r>
      <w:r w:rsidRPr="005A1589">
        <w:rPr>
          <w:spacing w:val="-2"/>
          <w:kern w:val="22"/>
          <w:rtl/>
          <w:lang w:val="en-GB"/>
        </w:rPr>
        <w:t xml:space="preserve"> بالفعل سجلا</w:t>
      </w:r>
      <w:r w:rsidRPr="005A1589">
        <w:rPr>
          <w:rFonts w:hint="cs"/>
          <w:spacing w:val="-2"/>
          <w:kern w:val="22"/>
          <w:rtl/>
          <w:lang w:val="en-GB"/>
        </w:rPr>
        <w:t>ً</w:t>
      </w:r>
      <w:r w:rsidRPr="005A1589">
        <w:rPr>
          <w:spacing w:val="-2"/>
          <w:kern w:val="22"/>
          <w:rtl/>
          <w:lang w:val="en-GB"/>
        </w:rPr>
        <w:t xml:space="preserve"> وطنيا</w:t>
      </w:r>
      <w:r w:rsidRPr="005A1589">
        <w:rPr>
          <w:rFonts w:hint="cs"/>
          <w:spacing w:val="-2"/>
          <w:kern w:val="22"/>
          <w:rtl/>
          <w:lang w:val="en-GB"/>
        </w:rPr>
        <w:t>ً</w:t>
      </w:r>
      <w:r w:rsidRPr="005A1589">
        <w:rPr>
          <w:spacing w:val="-2"/>
          <w:kern w:val="22"/>
          <w:rtl/>
          <w:lang w:val="en-GB"/>
        </w:rPr>
        <w:t xml:space="preserve"> </w:t>
      </w:r>
      <w:r w:rsidRPr="005A1589">
        <w:rPr>
          <w:rFonts w:hint="cs"/>
          <w:spacing w:val="-2"/>
          <w:kern w:val="22"/>
          <w:rtl/>
          <w:lang w:val="en-GB"/>
        </w:rPr>
        <w:t>للهويات الدولية</w:t>
      </w:r>
      <w:r w:rsidRPr="005A1589">
        <w:rPr>
          <w:spacing w:val="-2"/>
          <w:kern w:val="22"/>
          <w:rtl/>
          <w:lang w:val="en-GB"/>
        </w:rPr>
        <w:t xml:space="preserve"> للمعدات المتنقلة، ولكن المشكلة لا تزال قائمة بالنسبة للأجهزة المتنقلة المستوردة من بلدان أخرى أو التي تدخل </w:t>
      </w:r>
      <w:r w:rsidRPr="005A1589">
        <w:rPr>
          <w:rFonts w:hint="cs"/>
          <w:spacing w:val="-2"/>
          <w:kern w:val="22"/>
          <w:rtl/>
          <w:lang w:val="en-GB"/>
        </w:rPr>
        <w:t>عبر</w:t>
      </w:r>
      <w:r w:rsidRPr="005A1589">
        <w:rPr>
          <w:spacing w:val="-2"/>
          <w:kern w:val="22"/>
          <w:rtl/>
          <w:lang w:val="en-GB"/>
        </w:rPr>
        <w:t xml:space="preserve"> قنوات غير مرخص بها. وتشير الفقرة 2.10 من التوصية [</w:t>
      </w:r>
      <w:r w:rsidRPr="005A1589">
        <w:rPr>
          <w:spacing w:val="-2"/>
          <w:kern w:val="22"/>
          <w:lang w:val="en-GB"/>
        </w:rPr>
        <w:t>ITU-T Q.5050</w:t>
      </w:r>
      <w:r w:rsidRPr="005A1589">
        <w:rPr>
          <w:spacing w:val="-2"/>
          <w:kern w:val="22"/>
          <w:rtl/>
          <w:lang w:val="en-GB"/>
        </w:rPr>
        <w:t>] أيضا</w:t>
      </w:r>
      <w:r w:rsidR="005A1589" w:rsidRPr="005A1589">
        <w:rPr>
          <w:rFonts w:hint="cs"/>
          <w:spacing w:val="-2"/>
          <w:kern w:val="22"/>
          <w:rtl/>
          <w:lang w:val="en-GB"/>
        </w:rPr>
        <w:t>ً</w:t>
      </w:r>
      <w:r w:rsidRPr="005A1589">
        <w:rPr>
          <w:spacing w:val="-2"/>
          <w:kern w:val="22"/>
          <w:rtl/>
          <w:lang w:val="en-GB"/>
        </w:rPr>
        <w:t xml:space="preserve"> إلى إصدار شهادات لأجهزة تكنولوجيا المعلومات والاتصالات لمساعدة جميع أصحاب المصلحة على تمكين التحقق من أصالة المنتجات.</w:t>
      </w:r>
    </w:p>
    <w:p w14:paraId="4E4D273C" w14:textId="77777777" w:rsidR="002D40DB" w:rsidRPr="00554036" w:rsidRDefault="002D40DB" w:rsidP="002D40DB">
      <w:pPr>
        <w:textDirection w:val="tbRlV"/>
        <w:rPr>
          <w:lang w:val="en-GB"/>
        </w:rPr>
      </w:pPr>
      <w:r w:rsidRPr="00554036">
        <w:rPr>
          <w:rtl/>
          <w:lang w:val="en-GB"/>
        </w:rPr>
        <w:t>وتدعو الفقرة 5.7 من التوصية [</w:t>
      </w:r>
      <w:r w:rsidRPr="00554036">
        <w:rPr>
          <w:lang w:val="en-GB"/>
        </w:rPr>
        <w:t>ITU-T Q.5052</w:t>
      </w:r>
      <w:r w:rsidRPr="00554036">
        <w:rPr>
          <w:rtl/>
          <w:lang w:val="en-GB"/>
        </w:rPr>
        <w:t>] إلى كشف</w:t>
      </w:r>
      <w:r>
        <w:rPr>
          <w:rFonts w:hint="cs"/>
          <w:rtl/>
          <w:lang w:val="en-GB"/>
        </w:rPr>
        <w:t xml:space="preserve"> إزدواجية</w:t>
      </w:r>
      <w:r w:rsidRPr="00554036">
        <w:rPr>
          <w:rtl/>
          <w:lang w:val="en-GB"/>
        </w:rPr>
        <w:t xml:space="preserve"> الهوية الدولية للمعدات المتنقلة عبر البلدان. بيد أن ذلك يتعلق</w:t>
      </w:r>
      <w:r>
        <w:rPr>
          <w:rFonts w:hint="cs"/>
          <w:rtl/>
          <w:lang w:val="en-GB"/>
        </w:rPr>
        <w:t xml:space="preserve"> فقط</w:t>
      </w:r>
      <w:r w:rsidRPr="00554036">
        <w:rPr>
          <w:rtl/>
          <w:lang w:val="en-GB"/>
        </w:rPr>
        <w:t xml:space="preserve"> بالهويات الدولية للمعدات المتنقلة التي يستخدمها المشتركون بالفعل. </w:t>
      </w:r>
      <w:r>
        <w:rPr>
          <w:rFonts w:hint="cs"/>
          <w:rtl/>
          <w:lang w:val="en-GB"/>
        </w:rPr>
        <w:t>ولا يشمل</w:t>
      </w:r>
      <w:r w:rsidRPr="00554036">
        <w:rPr>
          <w:rtl/>
          <w:lang w:val="en-GB"/>
        </w:rPr>
        <w:t xml:space="preserve"> </w:t>
      </w:r>
      <w:r>
        <w:rPr>
          <w:rFonts w:hint="cs"/>
          <w:rtl/>
          <w:lang w:val="en-GB"/>
        </w:rPr>
        <w:t>ال</w:t>
      </w:r>
      <w:r w:rsidRPr="00554036">
        <w:rPr>
          <w:rtl/>
          <w:lang w:val="en-GB"/>
        </w:rPr>
        <w:t>هويات التي تم تصنيعها ولكنها لم تستخدم في الشبكة.</w:t>
      </w:r>
    </w:p>
    <w:p w14:paraId="00E7161F" w14:textId="021F863B" w:rsidR="002D40DB" w:rsidRPr="00554036" w:rsidRDefault="002D40DB" w:rsidP="002D40DB">
      <w:pPr>
        <w:textDirection w:val="tbRlV"/>
        <w:rPr>
          <w:lang w:val="en-GB"/>
        </w:rPr>
      </w:pPr>
      <w:r w:rsidRPr="00554036">
        <w:rPr>
          <w:rtl/>
          <w:lang w:val="en-GB"/>
        </w:rPr>
        <w:t>وينص القرار 96 [</w:t>
      </w:r>
      <w:r w:rsidRPr="00554036">
        <w:rPr>
          <w:lang w:val="en-GB"/>
        </w:rPr>
        <w:t>b-WTSA Res. 96</w:t>
      </w:r>
      <w:r w:rsidRPr="00554036">
        <w:rPr>
          <w:rtl/>
          <w:lang w:val="en-GB"/>
        </w:rPr>
        <w:t>] للجمعية العالمية لتقييس الاتصالات على أن قطاع تقييس الاتصالات "ينبغي أن ينظر في حلول ت</w:t>
      </w:r>
      <w:r>
        <w:rPr>
          <w:rFonts w:hint="cs"/>
          <w:rtl/>
          <w:lang w:val="en-GB"/>
        </w:rPr>
        <w:t>ُ</w:t>
      </w:r>
      <w:r w:rsidRPr="00554036">
        <w:rPr>
          <w:rtl/>
          <w:lang w:val="en-GB"/>
        </w:rPr>
        <w:t>ستخدم للتمييز بين أجهزة الاتصالات/تكنولوجيا المعلومات والاتصالات الأصلية/المستيقن منها والأجهزة المزيفة أو</w:t>
      </w:r>
      <w:r w:rsidR="005A1589">
        <w:rPr>
          <w:rFonts w:hint="cs"/>
          <w:rtl/>
          <w:lang w:val="en-GB"/>
        </w:rPr>
        <w:t> </w:t>
      </w:r>
      <w:r w:rsidRPr="00554036">
        <w:rPr>
          <w:rtl/>
          <w:lang w:val="en-GB"/>
        </w:rPr>
        <w:t xml:space="preserve">المغشوشة، مثل إنشاء قاعدة بيانات مرجعية وطنية مركزية </w:t>
      </w:r>
      <w:r>
        <w:rPr>
          <w:rFonts w:hint="cs"/>
          <w:rtl/>
          <w:lang w:val="en-GB"/>
        </w:rPr>
        <w:t>للمعدات</w:t>
      </w:r>
      <w:r w:rsidRPr="00554036">
        <w:rPr>
          <w:rtl/>
          <w:lang w:val="en-GB"/>
        </w:rPr>
        <w:t xml:space="preserve"> المرخص بها".</w:t>
      </w:r>
    </w:p>
    <w:p w14:paraId="3C485743" w14:textId="77777777" w:rsidR="002D40DB" w:rsidRPr="00554036" w:rsidRDefault="002D40DB" w:rsidP="002D40DB">
      <w:pPr>
        <w:textDirection w:val="tbRlV"/>
        <w:rPr>
          <w:lang w:val="en-GB"/>
        </w:rPr>
      </w:pPr>
      <w:r w:rsidRPr="00554036">
        <w:rPr>
          <w:rtl/>
          <w:lang w:val="en-GB"/>
        </w:rPr>
        <w:t>وينص القرار 97 [</w:t>
      </w:r>
      <w:r w:rsidRPr="00554036">
        <w:rPr>
          <w:lang w:val="en-GB"/>
        </w:rPr>
        <w:t>b-WTSA-Res. 97</w:t>
      </w:r>
      <w:r w:rsidRPr="00554036">
        <w:rPr>
          <w:rtl/>
          <w:lang w:val="en-GB"/>
        </w:rPr>
        <w:t>] للجمعية العالمية لتقييس الاتصالات على "أن يقوم قطاع تقييس الاتصالات، بالتعاون مع منظمات وضع المعايير ذات الصلة، بوضع حلول لمشكلة استنساخ معرفات الهوية الفريدة".</w:t>
      </w:r>
    </w:p>
    <w:p w14:paraId="3E48816E" w14:textId="77777777" w:rsidR="002D40DB" w:rsidRPr="00554036" w:rsidRDefault="002D40DB" w:rsidP="002D40DB">
      <w:pPr>
        <w:textDirection w:val="tbRlV"/>
        <w:rPr>
          <w:rtl/>
          <w:lang w:val="en-GB"/>
        </w:rPr>
      </w:pPr>
      <w:r w:rsidRPr="00554036">
        <w:rPr>
          <w:rtl/>
          <w:lang w:val="en-GB"/>
        </w:rPr>
        <w:t xml:space="preserve">وفي </w:t>
      </w:r>
      <w:r>
        <w:rPr>
          <w:rFonts w:hint="cs"/>
          <w:rtl/>
          <w:lang w:val="en-GB"/>
        </w:rPr>
        <w:t>هذا السياق،</w:t>
      </w:r>
      <w:r w:rsidRPr="00554036">
        <w:rPr>
          <w:rtl/>
          <w:lang w:val="en-GB"/>
        </w:rPr>
        <w:t xml:space="preserve"> سيساعد سجل عالمي للهويات الدولية للمعدات المتنقلة في حل المشاكل التي تواجهها الدول الأعضاء والمستهلكون</w:t>
      </w:r>
      <w:r>
        <w:rPr>
          <w:rFonts w:hint="cs"/>
          <w:rtl/>
          <w:lang w:val="en-GB"/>
        </w:rPr>
        <w:t>،</w:t>
      </w:r>
      <w:r w:rsidRPr="00554036">
        <w:rPr>
          <w:rtl/>
          <w:lang w:val="en-GB"/>
        </w:rPr>
        <w:t xml:space="preserve"> مثل استنساخ الهويات الدولية للمعدات المتنقلة </w:t>
      </w:r>
      <w:r>
        <w:rPr>
          <w:rFonts w:hint="cs"/>
          <w:rtl/>
          <w:lang w:val="en-GB"/>
        </w:rPr>
        <w:t>وازدواجها</w:t>
      </w:r>
      <w:r w:rsidRPr="00554036">
        <w:rPr>
          <w:rtl/>
          <w:lang w:val="en-GB"/>
        </w:rPr>
        <w:t xml:space="preserve"> بسبب إعادة برمجة الهوي</w:t>
      </w:r>
      <w:r>
        <w:rPr>
          <w:rFonts w:hint="cs"/>
          <w:rtl/>
          <w:lang w:val="en-GB"/>
        </w:rPr>
        <w:t xml:space="preserve">ات، </w:t>
      </w:r>
      <w:r w:rsidRPr="00554036">
        <w:rPr>
          <w:rtl/>
          <w:lang w:val="en-GB"/>
        </w:rPr>
        <w:t xml:space="preserve">بما في ذلك استخدام </w:t>
      </w:r>
      <w:r>
        <w:rPr>
          <w:rFonts w:hint="cs"/>
          <w:rtl/>
          <w:lang w:val="en-GB"/>
        </w:rPr>
        <w:lastRenderedPageBreak/>
        <w:t xml:space="preserve">الهويات </w:t>
      </w:r>
      <w:r w:rsidRPr="00554036">
        <w:rPr>
          <w:rtl/>
          <w:lang w:val="en-GB"/>
        </w:rPr>
        <w:t xml:space="preserve">التي لم تصنع من أجل </w:t>
      </w:r>
      <w:r w:rsidRPr="00777680">
        <w:rPr>
          <w:rtl/>
          <w:lang w:val="fr-CH"/>
        </w:rPr>
        <w:t>شفرة توزيع النمط</w:t>
      </w:r>
      <w:r w:rsidRPr="00777680">
        <w:t xml:space="preserve"> </w:t>
      </w:r>
      <w:r w:rsidRPr="00554036">
        <w:rPr>
          <w:rtl/>
          <w:lang w:val="en-GB"/>
        </w:rPr>
        <w:t xml:space="preserve">الموزعة. ويمكن للبلدان المشاركة أو </w:t>
      </w:r>
      <w:r>
        <w:rPr>
          <w:rFonts w:hint="cs"/>
          <w:rtl/>
          <w:lang w:val="en-GB"/>
        </w:rPr>
        <w:t>مصنعي</w:t>
      </w:r>
      <w:r w:rsidRPr="00554036">
        <w:rPr>
          <w:rtl/>
          <w:lang w:val="en-GB"/>
        </w:rPr>
        <w:t xml:space="preserve"> الأجهزة </w:t>
      </w:r>
      <w:r>
        <w:rPr>
          <w:rFonts w:hint="cs"/>
          <w:rtl/>
          <w:lang w:val="en-GB"/>
        </w:rPr>
        <w:t>مشاركة</w:t>
      </w:r>
      <w:r w:rsidRPr="00554036">
        <w:rPr>
          <w:rtl/>
          <w:lang w:val="en-GB"/>
        </w:rPr>
        <w:t xml:space="preserve"> نطاق الهوي</w:t>
      </w:r>
      <w:r>
        <w:rPr>
          <w:rFonts w:hint="cs"/>
          <w:rtl/>
          <w:lang w:val="en-GB"/>
        </w:rPr>
        <w:t>ات</w:t>
      </w:r>
      <w:r w:rsidRPr="00554036">
        <w:rPr>
          <w:rtl/>
          <w:lang w:val="en-GB"/>
        </w:rPr>
        <w:t xml:space="preserve"> الدولية للمعدات المتنقلة المنتجة في بلدانها لمساعدة جميع البلدان الأخرى في التعرف على الأجهزة المتنقلة المزيف</w:t>
      </w:r>
      <w:r>
        <w:rPr>
          <w:rFonts w:hint="cs"/>
          <w:rtl/>
          <w:lang w:val="en-GB"/>
        </w:rPr>
        <w:t>ة.</w:t>
      </w:r>
    </w:p>
    <w:p w14:paraId="7E9A20F7" w14:textId="77777777" w:rsidR="002D40DB" w:rsidRPr="002F7016" w:rsidRDefault="002D40DB" w:rsidP="002D40DB">
      <w:pPr>
        <w:textDirection w:val="tbRlV"/>
        <w:rPr>
          <w:spacing w:val="-4"/>
        </w:rPr>
      </w:pPr>
      <w:r w:rsidRPr="008A2276">
        <w:rPr>
          <w:rtl/>
        </w:rPr>
        <w:t>ولم يجرِ إعداد أي وثيقة تسويغ وفق التوصية ITU-T A.5 من أجل نص المشروع المحدد هذا.</w:t>
      </w:r>
    </w:p>
    <w:p w14:paraId="79EF92EC" w14:textId="77777777" w:rsidR="002D40DB" w:rsidRPr="008A2276" w:rsidRDefault="002D40DB" w:rsidP="00AC33D4">
      <w:pPr>
        <w:pStyle w:val="Note"/>
        <w:spacing w:before="240"/>
        <w:rPr>
          <w:color w:val="000000"/>
          <w:lang w:val="ar-SA" w:eastAsia="zh-TW" w:bidi="en-GB"/>
        </w:rPr>
      </w:pPr>
      <w:r w:rsidRPr="008A2276">
        <w:rPr>
          <w:b/>
          <w:bCs/>
          <w:rtl/>
        </w:rPr>
        <w:t>ملاحظة من مكتب تقييس الاتصالات</w:t>
      </w:r>
      <w:r w:rsidRPr="008A2276">
        <w:rPr>
          <w:rtl/>
        </w:rPr>
        <w:t xml:space="preserve"> - لم يتلق مكتب تقييس الاتصالات حتى تاريخ هذه الرسالة المعممة، أي بيانات عن حقوق الملكية الفكرية فيما يخص مشروع النص هذا. وللاطلاع على أحدث المعلومات بهذا الشأن، يُرجى من الأعضاء الرجوع إلى قاعدة بيانات حقوق الملكية الفكرية المتاحة عبر الرابط التالي</w:t>
      </w:r>
      <w:r w:rsidRPr="008A2276">
        <w:t>:</w:t>
      </w:r>
      <w:r w:rsidRPr="008A2276">
        <w:rPr>
          <w:rtl/>
        </w:rPr>
        <w:t xml:space="preserve"> </w:t>
      </w:r>
      <w:hyperlink r:id="rId13" w:history="1">
        <w:r w:rsidRPr="004B4AE2">
          <w:rPr>
            <w:rStyle w:val="Hyperlink"/>
            <w:rFonts w:asciiTheme="minorHAnsi" w:hAnsiTheme="minorHAnsi" w:cstheme="minorHAnsi"/>
            <w:sz w:val="22"/>
            <w:szCs w:val="22"/>
          </w:rPr>
          <w:t>www.itu.int/ipr/</w:t>
        </w:r>
      </w:hyperlink>
      <w:r w:rsidRPr="008A2276">
        <w:rPr>
          <w:rtl/>
        </w:rPr>
        <w:t>.</w:t>
      </w:r>
      <w:hyperlink r:id="rId14" w:history="1"/>
    </w:p>
    <w:p w14:paraId="76E456DA" w14:textId="77777777" w:rsidR="002D40DB" w:rsidRDefault="002D40DB" w:rsidP="002D40DB">
      <w:pPr>
        <w:tabs>
          <w:tab w:val="clear" w:pos="794"/>
        </w:tabs>
        <w:spacing w:before="0"/>
        <w:rPr>
          <w:b/>
          <w:rtl/>
        </w:rPr>
      </w:pPr>
      <w:r>
        <w:rPr>
          <w:rtl/>
        </w:rPr>
        <w:br w:type="page"/>
      </w:r>
    </w:p>
    <w:p w14:paraId="30E4D16C" w14:textId="14E7534B" w:rsidR="002D40DB" w:rsidRPr="004C74E0" w:rsidRDefault="002D40DB" w:rsidP="004C74E0">
      <w:pPr>
        <w:pStyle w:val="Annextitle0"/>
        <w:bidi/>
        <w:spacing w:line="192" w:lineRule="auto"/>
        <w:textDirection w:val="tbRlV"/>
        <w:rPr>
          <w:rFonts w:ascii="Dubai" w:hAnsi="Dubai" w:cs="Dubai" w:hint="default"/>
          <w:bCs/>
          <w:sz w:val="26"/>
          <w:szCs w:val="26"/>
        </w:rPr>
      </w:pPr>
      <w:r w:rsidRPr="004C74E0">
        <w:rPr>
          <w:rFonts w:ascii="Dubai" w:hAnsi="Dubai" w:cs="Dubai" w:hint="default"/>
          <w:bCs/>
          <w:sz w:val="26"/>
          <w:szCs w:val="26"/>
          <w:rtl/>
        </w:rPr>
        <w:lastRenderedPageBreak/>
        <w:t>الملحق 2</w:t>
      </w:r>
      <w:r w:rsidRPr="004C74E0">
        <w:rPr>
          <w:rFonts w:ascii="Dubai" w:hAnsi="Dubai" w:cs="Dubai" w:hint="default"/>
          <w:bCs/>
          <w:sz w:val="26"/>
          <w:szCs w:val="26"/>
          <w:rtl/>
        </w:rPr>
        <w:br/>
        <w:t xml:space="preserve">الموضوع: رد الدول الأعضاء على الرسالة المعممة </w:t>
      </w:r>
      <w:r w:rsidRPr="004C74E0">
        <w:rPr>
          <w:rFonts w:ascii="Dubai" w:hAnsi="Dubai" w:cs="Dubai" w:hint="default"/>
          <w:bCs/>
          <w:sz w:val="26"/>
          <w:szCs w:val="26"/>
        </w:rPr>
        <w:t>125</w:t>
      </w:r>
      <w:r w:rsidRPr="004C74E0">
        <w:rPr>
          <w:rFonts w:ascii="Dubai" w:hAnsi="Dubai" w:cs="Dubai" w:hint="default"/>
          <w:bCs/>
          <w:sz w:val="26"/>
          <w:szCs w:val="26"/>
          <w:rtl/>
        </w:rPr>
        <w:t xml:space="preserve"> من مكتب تقييس الاتصالات: </w:t>
      </w:r>
      <w:r w:rsidRPr="004C74E0">
        <w:rPr>
          <w:rFonts w:ascii="Dubai" w:hAnsi="Dubai" w:cs="Dubai" w:hint="default"/>
          <w:bCs/>
          <w:sz w:val="26"/>
          <w:szCs w:val="26"/>
        </w:rPr>
        <w:br/>
      </w:r>
      <w:r w:rsidRPr="004C74E0">
        <w:rPr>
          <w:rFonts w:ascii="Dubai" w:hAnsi="Dubai" w:cs="Dubai" w:hint="default"/>
          <w:bCs/>
          <w:sz w:val="26"/>
          <w:szCs w:val="26"/>
          <w:rtl/>
        </w:rPr>
        <w:t>مشاورة بشأن مشروع التوصي</w:t>
      </w:r>
      <w:r w:rsidRPr="004C74E0">
        <w:rPr>
          <w:rFonts w:ascii="Dubai" w:hAnsi="Dubai" w:cs="Dubai"/>
          <w:bCs/>
          <w:sz w:val="26"/>
          <w:szCs w:val="26"/>
          <w:rtl/>
        </w:rPr>
        <w:t>ة</w:t>
      </w:r>
      <w:r w:rsidRPr="004C74E0">
        <w:rPr>
          <w:rFonts w:ascii="Dubai" w:hAnsi="Dubai" w:cs="Dubai" w:hint="default"/>
          <w:bCs/>
          <w:sz w:val="26"/>
          <w:szCs w:val="26"/>
          <w:rtl/>
        </w:rPr>
        <w:t xml:space="preserve"> المحدد</w:t>
      </w:r>
      <w:r w:rsidRPr="004C74E0">
        <w:rPr>
          <w:rFonts w:ascii="Dubai" w:hAnsi="Dubai" w:cs="Dubai"/>
          <w:bCs/>
          <w:sz w:val="26"/>
          <w:szCs w:val="26"/>
          <w:rtl/>
        </w:rPr>
        <w:t>ة</w:t>
      </w:r>
      <w:r w:rsidRPr="004C74E0">
        <w:rPr>
          <w:rFonts w:ascii="Dubai" w:hAnsi="Dubai" w:cs="Dubai" w:hint="default"/>
          <w:bCs/>
          <w:sz w:val="26"/>
          <w:szCs w:val="26"/>
          <w:rtl/>
        </w:rPr>
        <w:t xml:space="preserve"> ITU-T Q.50</w:t>
      </w:r>
      <w:r w:rsidRPr="004C74E0">
        <w:rPr>
          <w:rFonts w:ascii="Dubai" w:hAnsi="Dubai" w:cs="Dubai"/>
          <w:bCs/>
          <w:sz w:val="26"/>
          <w:szCs w:val="26"/>
          <w:rtl/>
        </w:rPr>
        <w:t>57</w:t>
      </w:r>
      <w:r w:rsidRPr="004C74E0">
        <w:rPr>
          <w:rFonts w:ascii="Dubai" w:hAnsi="Dubai" w:cs="Dubai" w:hint="default"/>
          <w:bCs/>
          <w:sz w:val="26"/>
          <w:szCs w:val="26"/>
          <w:rtl/>
        </w:rPr>
        <w:t xml:space="preserve"> (</w:t>
      </w:r>
      <w:r w:rsidRPr="004C74E0">
        <w:rPr>
          <w:rFonts w:ascii="Dubai" w:hAnsi="Dubai" w:cs="Dubai" w:hint="default"/>
          <w:bCs/>
          <w:sz w:val="26"/>
          <w:szCs w:val="26"/>
        </w:rPr>
        <w:t>Q.GIR</w:t>
      </w:r>
      <w:r w:rsidRPr="004C74E0">
        <w:rPr>
          <w:rFonts w:ascii="Dubai" w:hAnsi="Dubai" w:cs="Dubai" w:hint="default"/>
          <w:bCs/>
          <w:sz w:val="26"/>
          <w:szCs w:val="26"/>
          <w:rtl/>
        </w:rPr>
        <w:t>سابقاً)</w:t>
      </w:r>
    </w:p>
    <w:tbl>
      <w:tblPr>
        <w:bidiVisual/>
        <w:tblW w:w="9957" w:type="dxa"/>
        <w:tblInd w:w="-176" w:type="dxa"/>
        <w:tblLayout w:type="fixed"/>
        <w:tblLook w:val="04A0" w:firstRow="1" w:lastRow="0" w:firstColumn="1" w:lastColumn="0" w:noHBand="0" w:noVBand="1"/>
      </w:tblPr>
      <w:tblGrid>
        <w:gridCol w:w="1877"/>
        <w:gridCol w:w="3686"/>
        <w:gridCol w:w="1559"/>
        <w:gridCol w:w="2835"/>
      </w:tblGrid>
      <w:tr w:rsidR="002D40DB" w:rsidRPr="008A2276" w14:paraId="4CD03CBF" w14:textId="77777777" w:rsidTr="00B84F53">
        <w:trPr>
          <w:trHeight w:val="714"/>
        </w:trPr>
        <w:tc>
          <w:tcPr>
            <w:tcW w:w="1877" w:type="dxa"/>
          </w:tcPr>
          <w:p w14:paraId="5542E92F" w14:textId="77777777" w:rsidR="002D40DB" w:rsidRPr="008A2276" w:rsidRDefault="002D40DB" w:rsidP="00B84F53">
            <w:pPr>
              <w:jc w:val="right"/>
              <w:textDirection w:val="tbRlV"/>
              <w:rPr>
                <w:lang w:val="ar-SA" w:eastAsia="zh-TW" w:bidi="en-GB"/>
              </w:rPr>
            </w:pPr>
            <w:r w:rsidRPr="008A2276">
              <w:rPr>
                <w:b/>
                <w:bCs/>
                <w:color w:val="000000"/>
                <w:rtl/>
              </w:rPr>
              <w:t>إلى</w:t>
            </w:r>
            <w:r w:rsidRPr="008A2276">
              <w:rPr>
                <w:color w:val="000000"/>
                <w:rtl/>
              </w:rPr>
              <w:t>:</w:t>
            </w:r>
          </w:p>
        </w:tc>
        <w:tc>
          <w:tcPr>
            <w:tcW w:w="3686" w:type="dxa"/>
          </w:tcPr>
          <w:p w14:paraId="02F89ED3" w14:textId="77777777" w:rsidR="002D40DB" w:rsidRPr="007B167B" w:rsidRDefault="002D40DB" w:rsidP="00B84F53">
            <w:pPr>
              <w:jc w:val="left"/>
              <w:textDirection w:val="tbRlV"/>
              <w:rPr>
                <w:lang w:val="en-GB" w:eastAsia="zh-TW" w:bidi="en-GB"/>
              </w:rPr>
            </w:pPr>
            <w:r w:rsidRPr="008A2276">
              <w:rPr>
                <w:color w:val="000000"/>
                <w:rtl/>
              </w:rPr>
              <w:t>مدير مكتب تقييس الاتصالات،</w:t>
            </w:r>
            <w:r>
              <w:rPr>
                <w:color w:val="000000"/>
              </w:rPr>
              <w:br/>
            </w:r>
            <w:r w:rsidRPr="008A2276">
              <w:rPr>
                <w:color w:val="000000"/>
                <w:rtl/>
              </w:rPr>
              <w:t>الاتحاد الدولي للاتصالات</w:t>
            </w:r>
            <w:r>
              <w:rPr>
                <w:color w:val="000000"/>
              </w:rPr>
              <w:br/>
            </w:r>
            <w:r w:rsidRPr="008A2276">
              <w:rPr>
                <w:color w:val="000000"/>
              </w:rPr>
              <w:t>Place des Nations</w:t>
            </w:r>
            <w:r>
              <w:rPr>
                <w:color w:val="000000"/>
              </w:rPr>
              <w:br/>
            </w:r>
            <w:r w:rsidRPr="008A2276">
              <w:rPr>
                <w:color w:val="000000"/>
              </w:rPr>
              <w:t>CH-1211 Geneva 20, Switzerland</w:t>
            </w:r>
          </w:p>
        </w:tc>
        <w:tc>
          <w:tcPr>
            <w:tcW w:w="1559" w:type="dxa"/>
          </w:tcPr>
          <w:p w14:paraId="16F1A39A" w14:textId="77777777" w:rsidR="002D40DB" w:rsidRPr="008A2276" w:rsidRDefault="002D40DB" w:rsidP="00B84F53">
            <w:pPr>
              <w:jc w:val="right"/>
              <w:textDirection w:val="tbRlV"/>
              <w:rPr>
                <w:lang w:val="ar-SA" w:eastAsia="zh-TW" w:bidi="en-GB"/>
              </w:rPr>
            </w:pPr>
            <w:r w:rsidRPr="008A2276">
              <w:rPr>
                <w:b/>
                <w:bCs/>
                <w:color w:val="000000"/>
                <w:rtl/>
              </w:rPr>
              <w:t>من</w:t>
            </w:r>
            <w:r w:rsidRPr="008A2276">
              <w:rPr>
                <w:color w:val="000000"/>
                <w:rtl/>
              </w:rPr>
              <w:t>:</w:t>
            </w:r>
          </w:p>
        </w:tc>
        <w:tc>
          <w:tcPr>
            <w:tcW w:w="2835" w:type="dxa"/>
          </w:tcPr>
          <w:p w14:paraId="4F1DFF19" w14:textId="77777777" w:rsidR="002D40DB" w:rsidRPr="008A2276" w:rsidRDefault="002D40DB" w:rsidP="00B84F53">
            <w:pPr>
              <w:jc w:val="left"/>
              <w:textDirection w:val="tbRlV"/>
              <w:rPr>
                <w:lang w:val="ar-SA" w:eastAsia="zh-TW" w:bidi="en-GB"/>
              </w:rPr>
            </w:pPr>
            <w:r w:rsidRPr="008A2276">
              <w:rPr>
                <w:color w:val="000000"/>
                <w:highlight w:val="green"/>
                <w:rtl/>
              </w:rPr>
              <w:t>[الاسم]</w:t>
            </w:r>
            <w:r>
              <w:rPr>
                <w:color w:val="000000"/>
                <w:highlight w:val="green"/>
              </w:rPr>
              <w:br/>
            </w:r>
            <w:r w:rsidRPr="008A2276">
              <w:rPr>
                <w:color w:val="000000"/>
                <w:highlight w:val="green"/>
                <w:rtl/>
              </w:rPr>
              <w:t>[الدور/اللقب الرسمي]</w:t>
            </w:r>
            <w:r>
              <w:rPr>
                <w:color w:val="000000"/>
                <w:highlight w:val="green"/>
              </w:rPr>
              <w:br/>
            </w:r>
            <w:r w:rsidRPr="008A2276">
              <w:rPr>
                <w:color w:val="000000"/>
                <w:highlight w:val="green"/>
                <w:rtl/>
              </w:rPr>
              <w:t>[العنوان]</w:t>
            </w:r>
          </w:p>
        </w:tc>
      </w:tr>
      <w:tr w:rsidR="002D40DB" w:rsidRPr="008A2276" w14:paraId="28F47E55" w14:textId="77777777" w:rsidTr="00B84F53">
        <w:tc>
          <w:tcPr>
            <w:tcW w:w="1877" w:type="dxa"/>
          </w:tcPr>
          <w:p w14:paraId="6BB73CFB" w14:textId="77777777" w:rsidR="002D40DB" w:rsidRPr="008A2276" w:rsidRDefault="002D40DB" w:rsidP="00B84F53">
            <w:pPr>
              <w:spacing w:before="0"/>
              <w:jc w:val="right"/>
              <w:textDirection w:val="tbRlV"/>
              <w:rPr>
                <w:lang w:val="ar-SA" w:eastAsia="zh-TW" w:bidi="en-GB"/>
              </w:rPr>
            </w:pPr>
            <w:r w:rsidRPr="008A2276">
              <w:rPr>
                <w:b/>
                <w:bCs/>
                <w:color w:val="000000"/>
                <w:rtl/>
              </w:rPr>
              <w:t>الفاكس</w:t>
            </w:r>
            <w:r w:rsidRPr="008A2276">
              <w:rPr>
                <w:color w:val="000000"/>
                <w:rtl/>
              </w:rPr>
              <w:t>:</w:t>
            </w:r>
          </w:p>
        </w:tc>
        <w:tc>
          <w:tcPr>
            <w:tcW w:w="3686" w:type="dxa"/>
          </w:tcPr>
          <w:p w14:paraId="6FAB61F7" w14:textId="77777777" w:rsidR="002D40DB" w:rsidRPr="008A2276" w:rsidRDefault="002D40DB" w:rsidP="00B84F53">
            <w:pPr>
              <w:spacing w:before="0"/>
              <w:textDirection w:val="tbRlV"/>
              <w:rPr>
                <w:lang w:val="ar-SA" w:eastAsia="zh-TW" w:bidi="en-GB"/>
              </w:rPr>
            </w:pPr>
            <w:r>
              <w:rPr>
                <w:color w:val="000000"/>
              </w:rPr>
              <w:t>+41-22-730-5853</w:t>
            </w:r>
          </w:p>
        </w:tc>
        <w:tc>
          <w:tcPr>
            <w:tcW w:w="1559" w:type="dxa"/>
          </w:tcPr>
          <w:p w14:paraId="1CDA3971" w14:textId="77777777" w:rsidR="002D40DB" w:rsidRPr="008A2276" w:rsidRDefault="002D40DB" w:rsidP="00B84F53">
            <w:pPr>
              <w:spacing w:before="0"/>
              <w:jc w:val="right"/>
              <w:textDirection w:val="tbRlV"/>
              <w:rPr>
                <w:lang w:val="ar-SA" w:eastAsia="zh-TW" w:bidi="en-GB"/>
              </w:rPr>
            </w:pPr>
            <w:r w:rsidRPr="008A2276">
              <w:rPr>
                <w:b/>
                <w:bCs/>
                <w:color w:val="000000"/>
                <w:rtl/>
              </w:rPr>
              <w:t>الفاكس</w:t>
            </w:r>
            <w:r w:rsidRPr="008A2276">
              <w:rPr>
                <w:color w:val="000000"/>
                <w:rtl/>
              </w:rPr>
              <w:t>:</w:t>
            </w:r>
          </w:p>
        </w:tc>
        <w:tc>
          <w:tcPr>
            <w:tcW w:w="2835" w:type="dxa"/>
          </w:tcPr>
          <w:p w14:paraId="7ADA6F80" w14:textId="77777777" w:rsidR="002D40DB" w:rsidRPr="008A2276" w:rsidRDefault="002D40DB" w:rsidP="00B84F53">
            <w:pPr>
              <w:spacing w:before="0"/>
            </w:pPr>
          </w:p>
        </w:tc>
      </w:tr>
      <w:tr w:rsidR="002D40DB" w:rsidRPr="008A2276" w14:paraId="06982499" w14:textId="77777777" w:rsidTr="00B84F53">
        <w:tc>
          <w:tcPr>
            <w:tcW w:w="1877" w:type="dxa"/>
          </w:tcPr>
          <w:p w14:paraId="469F4E08" w14:textId="77777777" w:rsidR="002D40DB" w:rsidRPr="008A2276" w:rsidRDefault="002D40DB" w:rsidP="00B84F53">
            <w:pPr>
              <w:spacing w:before="0"/>
              <w:jc w:val="right"/>
              <w:textDirection w:val="tbRlV"/>
              <w:rPr>
                <w:b/>
                <w:bCs/>
                <w:lang w:val="ar-SA" w:eastAsia="zh-TW" w:bidi="en-GB"/>
              </w:rPr>
            </w:pPr>
            <w:r w:rsidRPr="008A2276">
              <w:rPr>
                <w:b/>
                <w:bCs/>
                <w:color w:val="000000"/>
                <w:rtl/>
              </w:rPr>
              <w:t>البريد الإلكتروني:</w:t>
            </w:r>
          </w:p>
        </w:tc>
        <w:tc>
          <w:tcPr>
            <w:tcW w:w="3686" w:type="dxa"/>
          </w:tcPr>
          <w:p w14:paraId="688169DC" w14:textId="77777777" w:rsidR="002D40DB" w:rsidRPr="008A2276" w:rsidRDefault="002D40DB" w:rsidP="00B84F53">
            <w:pPr>
              <w:spacing w:before="0"/>
              <w:textDirection w:val="tbRlV"/>
              <w:rPr>
                <w:lang w:val="ar-SA" w:eastAsia="zh-TW" w:bidi="en-GB"/>
              </w:rPr>
            </w:pPr>
            <w:hyperlink r:id="rId15" w:history="1">
              <w:r w:rsidRPr="00397BE5">
                <w:rPr>
                  <w:rStyle w:val="Hyperlink"/>
                  <w:rtl/>
                </w:rPr>
                <w:t>tsbdir@itu.int</w:t>
              </w:r>
            </w:hyperlink>
          </w:p>
        </w:tc>
        <w:tc>
          <w:tcPr>
            <w:tcW w:w="1559" w:type="dxa"/>
          </w:tcPr>
          <w:p w14:paraId="47C71EC6" w14:textId="77777777" w:rsidR="002D40DB" w:rsidRPr="008A2276" w:rsidRDefault="002D40DB" w:rsidP="00B84F53">
            <w:pPr>
              <w:spacing w:before="0"/>
              <w:jc w:val="right"/>
              <w:textDirection w:val="tbRlV"/>
              <w:rPr>
                <w:b/>
                <w:bCs/>
                <w:lang w:val="ar-SA" w:eastAsia="zh-TW" w:bidi="en-GB"/>
              </w:rPr>
            </w:pPr>
            <w:r w:rsidRPr="008A2276">
              <w:rPr>
                <w:b/>
                <w:bCs/>
                <w:color w:val="000000"/>
                <w:rtl/>
              </w:rPr>
              <w:t>البريد الإلكتروني:</w:t>
            </w:r>
          </w:p>
        </w:tc>
        <w:tc>
          <w:tcPr>
            <w:tcW w:w="2835" w:type="dxa"/>
          </w:tcPr>
          <w:p w14:paraId="3CF46374" w14:textId="77777777" w:rsidR="002D40DB" w:rsidRPr="008A2276" w:rsidRDefault="002D40DB" w:rsidP="00B84F53">
            <w:pPr>
              <w:spacing w:before="0"/>
            </w:pPr>
          </w:p>
        </w:tc>
      </w:tr>
      <w:tr w:rsidR="002D40DB" w:rsidRPr="008A2276" w14:paraId="529B4D57" w14:textId="77777777" w:rsidTr="00B84F53">
        <w:tc>
          <w:tcPr>
            <w:tcW w:w="1877" w:type="dxa"/>
          </w:tcPr>
          <w:p w14:paraId="15C0B1B0" w14:textId="77777777" w:rsidR="002D40DB" w:rsidRPr="008A2276" w:rsidRDefault="002D40DB" w:rsidP="00B84F53">
            <w:pPr>
              <w:spacing w:before="0"/>
              <w:jc w:val="right"/>
            </w:pPr>
          </w:p>
        </w:tc>
        <w:tc>
          <w:tcPr>
            <w:tcW w:w="3686" w:type="dxa"/>
          </w:tcPr>
          <w:p w14:paraId="1C6D77F1" w14:textId="77777777" w:rsidR="002D40DB" w:rsidRPr="008A2276" w:rsidRDefault="002D40DB" w:rsidP="00B84F53">
            <w:pPr>
              <w:spacing w:before="0"/>
            </w:pPr>
          </w:p>
        </w:tc>
        <w:tc>
          <w:tcPr>
            <w:tcW w:w="1559" w:type="dxa"/>
          </w:tcPr>
          <w:p w14:paraId="2E9F2B93" w14:textId="77777777" w:rsidR="002D40DB" w:rsidRPr="008A2276" w:rsidRDefault="002D40DB" w:rsidP="00B84F53">
            <w:pPr>
              <w:spacing w:before="0"/>
              <w:jc w:val="right"/>
              <w:textDirection w:val="tbRlV"/>
              <w:rPr>
                <w:lang w:val="ar-SA" w:eastAsia="zh-TW" w:bidi="en-GB"/>
              </w:rPr>
            </w:pPr>
            <w:r w:rsidRPr="008A2276">
              <w:rPr>
                <w:b/>
                <w:bCs/>
                <w:color w:val="000000"/>
                <w:rtl/>
              </w:rPr>
              <w:t>التاريخ</w:t>
            </w:r>
            <w:r w:rsidRPr="008A2276">
              <w:rPr>
                <w:color w:val="000000"/>
                <w:rtl/>
              </w:rPr>
              <w:t>:</w:t>
            </w:r>
          </w:p>
        </w:tc>
        <w:tc>
          <w:tcPr>
            <w:tcW w:w="2835" w:type="dxa"/>
          </w:tcPr>
          <w:p w14:paraId="2B5763C5" w14:textId="77777777" w:rsidR="002D40DB" w:rsidRPr="008A2276" w:rsidRDefault="002D40DB" w:rsidP="00B84F53">
            <w:pPr>
              <w:spacing w:before="0"/>
              <w:textDirection w:val="tbRlV"/>
              <w:rPr>
                <w:lang w:val="ar-SA" w:eastAsia="zh-TW" w:bidi="en-GB"/>
              </w:rPr>
            </w:pPr>
            <w:r w:rsidRPr="008A2276">
              <w:rPr>
                <w:color w:val="000000"/>
                <w:highlight w:val="green"/>
                <w:rtl/>
              </w:rPr>
              <w:t>[المكان،] [التاريخ]</w:t>
            </w:r>
          </w:p>
        </w:tc>
      </w:tr>
    </w:tbl>
    <w:p w14:paraId="2AF2D51A" w14:textId="77777777" w:rsidR="002D40DB" w:rsidRDefault="002D40DB" w:rsidP="002D40DB">
      <w:pPr>
        <w:spacing w:before="360"/>
        <w:textDirection w:val="tbRlV"/>
        <w:rPr>
          <w:rtl/>
        </w:rPr>
      </w:pPr>
      <w:r w:rsidRPr="008A2276">
        <w:rPr>
          <w:rtl/>
        </w:rPr>
        <w:t>حضرات السادة والسيدات،</w:t>
      </w:r>
    </w:p>
    <w:p w14:paraId="40E61FC3" w14:textId="77777777" w:rsidR="002D40DB" w:rsidRPr="008A2276" w:rsidRDefault="002D40DB" w:rsidP="002D40DB">
      <w:pPr>
        <w:rPr>
          <w:lang w:val="ar-SA" w:eastAsia="zh-TW" w:bidi="en-GB"/>
        </w:rPr>
      </w:pPr>
      <w:r w:rsidRPr="008A2276">
        <w:rPr>
          <w:rtl/>
        </w:rPr>
        <w:t>تحية طيبة وبعد،</w:t>
      </w:r>
    </w:p>
    <w:p w14:paraId="575D4318" w14:textId="77777777" w:rsidR="002D40DB" w:rsidRPr="008A2276" w:rsidRDefault="002D40DB" w:rsidP="002D40DB">
      <w:pPr>
        <w:textDirection w:val="tbRlV"/>
        <w:rPr>
          <w:lang w:val="ar-SA" w:eastAsia="zh-TW" w:bidi="en-GB"/>
        </w:rPr>
      </w:pPr>
      <w:r w:rsidRPr="008A2276">
        <w:rPr>
          <w:rtl/>
        </w:rPr>
        <w:t>فيما يخص مشاورة الدول الأعضاء بشأن مشرو</w:t>
      </w:r>
      <w:r>
        <w:rPr>
          <w:rFonts w:hint="cs"/>
          <w:rtl/>
        </w:rPr>
        <w:t xml:space="preserve">ع </w:t>
      </w:r>
      <w:r w:rsidRPr="008A2276">
        <w:rPr>
          <w:rtl/>
        </w:rPr>
        <w:t xml:space="preserve">النص المحدد المشار إليه في الرسالة المعممة </w:t>
      </w:r>
      <w:r>
        <w:t>125</w:t>
      </w:r>
      <w:r w:rsidRPr="008A2276">
        <w:rPr>
          <w:rtl/>
        </w:rPr>
        <w:t xml:space="preserve"> من مكتب تقييس الاتصالات، أود أن أطلعكم على رأي هذه الإدارة المبين في الجدول أدناه.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7580"/>
      </w:tblGrid>
      <w:tr w:rsidR="002D40DB" w:rsidRPr="00826000" w14:paraId="0A6C25B7" w14:textId="77777777" w:rsidTr="00B84F53">
        <w:trPr>
          <w:tblHeader/>
          <w:jc w:val="center"/>
        </w:trPr>
        <w:tc>
          <w:tcPr>
            <w:tcW w:w="2049" w:type="dxa"/>
            <w:vAlign w:val="center"/>
          </w:tcPr>
          <w:p w14:paraId="2FE3E5F5" w14:textId="77777777" w:rsidR="002D40DB" w:rsidRPr="00826000" w:rsidRDefault="002D40DB" w:rsidP="00B84F53">
            <w:pPr>
              <w:keepLines/>
              <w:jc w:val="center"/>
              <w:rPr>
                <w:b/>
                <w:bCs/>
              </w:rPr>
            </w:pPr>
          </w:p>
        </w:tc>
        <w:tc>
          <w:tcPr>
            <w:tcW w:w="7580" w:type="dxa"/>
            <w:vAlign w:val="center"/>
          </w:tcPr>
          <w:p w14:paraId="54F9B39B" w14:textId="77777777" w:rsidR="002D40DB" w:rsidRPr="00826000" w:rsidRDefault="002D40DB" w:rsidP="00B84F53">
            <w:pPr>
              <w:keepLines/>
              <w:tabs>
                <w:tab w:val="clear" w:pos="794"/>
              </w:tabs>
              <w:ind w:left="939" w:hanging="459"/>
              <w:jc w:val="center"/>
              <w:textDirection w:val="tbRlV"/>
              <w:rPr>
                <w:b/>
                <w:bCs/>
                <w:lang w:val="ar-SA" w:eastAsia="zh-TW" w:bidi="en-GB"/>
              </w:rPr>
            </w:pPr>
            <w:r w:rsidRPr="00826000">
              <w:rPr>
                <w:b/>
                <w:bCs/>
                <w:color w:val="000000"/>
                <w:rtl/>
              </w:rPr>
              <w:t>يُرجى اختيار أحد المربعين فيما يتعلق بكل نص</w:t>
            </w:r>
          </w:p>
        </w:tc>
      </w:tr>
      <w:tr w:rsidR="002D40DB" w:rsidRPr="00826000" w14:paraId="3E14ACED" w14:textId="77777777" w:rsidTr="00B84F53">
        <w:trPr>
          <w:jc w:val="center"/>
        </w:trPr>
        <w:tc>
          <w:tcPr>
            <w:tcW w:w="2049" w:type="dxa"/>
            <w:vMerge w:val="restart"/>
            <w:vAlign w:val="center"/>
          </w:tcPr>
          <w:p w14:paraId="71EFA03D" w14:textId="77777777" w:rsidR="002D40DB" w:rsidRPr="00826000" w:rsidRDefault="002D40DB" w:rsidP="00B84F53">
            <w:pPr>
              <w:keepLines/>
              <w:spacing w:before="60" w:after="60"/>
              <w:jc w:val="center"/>
              <w:textDirection w:val="tbRlV"/>
              <w:rPr>
                <w:b/>
                <w:bCs/>
                <w:color w:val="000000"/>
                <w:spacing w:val="-4"/>
              </w:rPr>
            </w:pPr>
            <w:r w:rsidRPr="00826000">
              <w:rPr>
                <w:b/>
                <w:bCs/>
                <w:color w:val="000000"/>
                <w:rtl/>
              </w:rPr>
              <w:t>مشروع التوصية الجديدة</w:t>
            </w:r>
            <w:r w:rsidRPr="00826000">
              <w:rPr>
                <w:b/>
                <w:bCs/>
                <w:color w:val="000000"/>
                <w:rtl/>
              </w:rPr>
              <w:br/>
            </w:r>
            <w:r w:rsidRPr="008A2276">
              <w:rPr>
                <w:bCs/>
                <w:rtl/>
              </w:rPr>
              <w:t>ITU-T Q.50</w:t>
            </w:r>
            <w:r>
              <w:rPr>
                <w:bCs/>
                <w:rtl/>
              </w:rPr>
              <w:t>57</w:t>
            </w:r>
            <w:r w:rsidRPr="008A2276">
              <w:rPr>
                <w:bCs/>
                <w:rtl/>
              </w:rPr>
              <w:t xml:space="preserve"> (</w:t>
            </w:r>
            <w:r w:rsidRPr="006F642C">
              <w:rPr>
                <w:b/>
              </w:rPr>
              <w:t>Q.GIR</w:t>
            </w:r>
            <w:r w:rsidRPr="006F642C">
              <w:rPr>
                <w:rFonts w:hint="cs"/>
                <w:b/>
                <w:rtl/>
              </w:rPr>
              <w:t xml:space="preserve"> </w:t>
            </w:r>
            <w:r w:rsidRPr="008A2276">
              <w:rPr>
                <w:bCs/>
                <w:rtl/>
              </w:rPr>
              <w:t>سابقاً)</w:t>
            </w:r>
          </w:p>
        </w:tc>
        <w:tc>
          <w:tcPr>
            <w:tcW w:w="7580" w:type="dxa"/>
            <w:vAlign w:val="center"/>
          </w:tcPr>
          <w:p w14:paraId="10E33E4C" w14:textId="77777777" w:rsidR="002D40DB" w:rsidRPr="00826000" w:rsidRDefault="0010107D" w:rsidP="00B84F53">
            <w:pPr>
              <w:keepLines/>
              <w:tabs>
                <w:tab w:val="clear" w:pos="794"/>
              </w:tabs>
              <w:spacing w:before="60" w:after="60"/>
              <w:ind w:left="397" w:hanging="397"/>
              <w:textDirection w:val="tbRlV"/>
              <w:rPr>
                <w:lang w:val="ar-SA" w:eastAsia="zh-TW" w:bidi="en-GB"/>
              </w:rPr>
            </w:pPr>
            <w:sdt>
              <w:sdtPr>
                <w:rPr>
                  <w:color w:val="000000"/>
                  <w:rtl/>
                </w:rPr>
                <w:id w:val="-1363359778"/>
                <w14:checkbox>
                  <w14:checked w14:val="0"/>
                  <w14:checkedState w14:val="0052" w14:font="Wingdings 2"/>
                  <w14:uncheckedState w14:val="2610" w14:font="MS Gothic"/>
                </w14:checkbox>
              </w:sdtPr>
              <w:sdtEndPr/>
              <w:sdtContent>
                <w:r w:rsidR="002D40DB">
                  <w:rPr>
                    <w:rFonts w:ascii="MS Gothic" w:eastAsia="MS Gothic" w:hAnsi="MS Gothic" w:hint="eastAsia"/>
                    <w:color w:val="000000"/>
                    <w:rtl/>
                  </w:rPr>
                  <w:t>☐</w:t>
                </w:r>
              </w:sdtContent>
            </w:sdt>
            <w:r w:rsidR="002D40DB" w:rsidRPr="00826000">
              <w:rPr>
                <w:color w:val="000000"/>
                <w:rtl/>
              </w:rPr>
              <w:tab/>
            </w:r>
            <w:r w:rsidR="002D40DB" w:rsidRPr="00826000">
              <w:rPr>
                <w:b/>
                <w:bCs/>
                <w:color w:val="000000"/>
                <w:rtl/>
              </w:rPr>
              <w:t xml:space="preserve">تفوض </w:t>
            </w:r>
            <w:r w:rsidR="002D40DB" w:rsidRPr="00826000">
              <w:rPr>
                <w:color w:val="000000"/>
                <w:rtl/>
              </w:rPr>
              <w:t xml:space="preserve">لجنة الدراسات 11 </w:t>
            </w:r>
            <w:r w:rsidR="002D40DB" w:rsidRPr="00826000">
              <w:rPr>
                <w:b/>
                <w:bCs/>
                <w:color w:val="000000"/>
                <w:rtl/>
              </w:rPr>
              <w:t xml:space="preserve">سلطة </w:t>
            </w:r>
            <w:r w:rsidR="002D40DB">
              <w:rPr>
                <w:rFonts w:hint="cs"/>
                <w:b/>
                <w:bCs/>
                <w:color w:val="000000"/>
                <w:rtl/>
              </w:rPr>
              <w:t>ب</w:t>
            </w:r>
            <w:r w:rsidR="002D40DB" w:rsidRPr="00826000">
              <w:rPr>
                <w:b/>
                <w:bCs/>
                <w:color w:val="000000"/>
                <w:rtl/>
              </w:rPr>
              <w:t>النظر</w:t>
            </w:r>
            <w:r w:rsidR="002D40DB" w:rsidRPr="00826000">
              <w:rPr>
                <w:color w:val="000000"/>
                <w:rtl/>
              </w:rPr>
              <w:t xml:space="preserve"> في هذا النص بغرض الموافقة عليه</w:t>
            </w:r>
            <w:r w:rsidR="002D40DB">
              <w:rPr>
                <w:color w:val="000000"/>
                <w:rtl/>
              </w:rPr>
              <w:tab/>
            </w:r>
            <w:r w:rsidR="002D40DB">
              <w:rPr>
                <w:color w:val="000000"/>
                <w:rtl/>
              </w:rPr>
              <w:br/>
            </w:r>
            <w:r w:rsidR="002D40DB" w:rsidRPr="00826000">
              <w:rPr>
                <w:color w:val="000000"/>
                <w:rtl/>
              </w:rPr>
              <w:t>(وفي هذه الحالة، تحديد أحد الخيارين):</w:t>
            </w:r>
          </w:p>
          <w:p w14:paraId="78D9A014" w14:textId="77777777" w:rsidR="002D40DB" w:rsidRPr="00826000" w:rsidRDefault="0010107D" w:rsidP="00B84F53">
            <w:pPr>
              <w:keepLines/>
              <w:tabs>
                <w:tab w:val="clear" w:pos="794"/>
              </w:tabs>
              <w:spacing w:before="60" w:after="60"/>
              <w:ind w:left="725" w:hanging="328"/>
              <w:textDirection w:val="tbRlV"/>
              <w:rPr>
                <w:lang w:val="ar-SA" w:eastAsia="zh-TW" w:bidi="en-GB"/>
              </w:rPr>
            </w:pPr>
            <w:sdt>
              <w:sdtPr>
                <w:rPr>
                  <w:color w:val="000000"/>
                  <w:rtl/>
                </w:rPr>
                <w:id w:val="-1497334445"/>
                <w14:checkbox>
                  <w14:checked w14:val="0"/>
                  <w14:checkedState w14:val="0052" w14:font="Wingdings 2"/>
                  <w14:uncheckedState w14:val="2610" w14:font="MS Gothic"/>
                </w14:checkbox>
              </w:sdtPr>
              <w:sdtEndPr/>
              <w:sdtContent>
                <w:r w:rsidR="002D40DB">
                  <w:rPr>
                    <w:rFonts w:ascii="MS Gothic" w:eastAsia="MS Gothic" w:hAnsi="MS Gothic" w:hint="eastAsia"/>
                    <w:color w:val="000000"/>
                    <w:rtl/>
                  </w:rPr>
                  <w:t>☐</w:t>
                </w:r>
              </w:sdtContent>
            </w:sdt>
            <w:r w:rsidR="002D40DB" w:rsidRPr="00826000">
              <w:rPr>
                <w:color w:val="000000"/>
                <w:rtl/>
              </w:rPr>
              <w:tab/>
              <w:t>لا تعليقات أو تغييرات مقترحة</w:t>
            </w:r>
          </w:p>
          <w:p w14:paraId="4FDF217E" w14:textId="77777777" w:rsidR="002D40DB" w:rsidRPr="00826000" w:rsidRDefault="0010107D" w:rsidP="00B84F53">
            <w:pPr>
              <w:keepLines/>
              <w:tabs>
                <w:tab w:val="clear" w:pos="794"/>
              </w:tabs>
              <w:spacing w:before="60" w:after="60"/>
              <w:ind w:left="725" w:hanging="328"/>
              <w:textDirection w:val="tbRlV"/>
              <w:rPr>
                <w:lang w:val="ar-SA" w:eastAsia="zh-TW" w:bidi="en-GB"/>
              </w:rPr>
            </w:pPr>
            <w:sdt>
              <w:sdtPr>
                <w:rPr>
                  <w:color w:val="000000"/>
                  <w:rtl/>
                </w:rPr>
                <w:id w:val="1895155070"/>
                <w14:checkbox>
                  <w14:checked w14:val="0"/>
                  <w14:checkedState w14:val="0052" w14:font="Wingdings 2"/>
                  <w14:uncheckedState w14:val="2610" w14:font="MS Gothic"/>
                </w14:checkbox>
              </w:sdtPr>
              <w:sdtEndPr/>
              <w:sdtContent>
                <w:r w:rsidR="002D40DB">
                  <w:rPr>
                    <w:rFonts w:ascii="MS Gothic" w:eastAsia="MS Gothic" w:hAnsi="MS Gothic" w:hint="eastAsia"/>
                    <w:color w:val="000000"/>
                    <w:rtl/>
                  </w:rPr>
                  <w:t>☐</w:t>
                </w:r>
              </w:sdtContent>
            </w:sdt>
            <w:r w:rsidR="002D40DB" w:rsidRPr="00826000">
              <w:rPr>
                <w:color w:val="000000"/>
                <w:rtl/>
              </w:rPr>
              <w:tab/>
              <w:t>التعليقات والتغييرات المقترحة مرفَقة بالطي</w:t>
            </w:r>
          </w:p>
        </w:tc>
      </w:tr>
      <w:tr w:rsidR="002D40DB" w:rsidRPr="00826000" w14:paraId="3FB59F09" w14:textId="77777777" w:rsidTr="00B84F53">
        <w:trPr>
          <w:jc w:val="center"/>
        </w:trPr>
        <w:tc>
          <w:tcPr>
            <w:tcW w:w="2049" w:type="dxa"/>
            <w:vMerge/>
            <w:vAlign w:val="center"/>
          </w:tcPr>
          <w:p w14:paraId="3A3AC4E2" w14:textId="77777777" w:rsidR="002D40DB" w:rsidRPr="00826000" w:rsidRDefault="002D40DB" w:rsidP="00B84F53">
            <w:pPr>
              <w:keepLines/>
              <w:spacing w:before="60" w:after="60"/>
              <w:jc w:val="center"/>
              <w:rPr>
                <w:b/>
                <w:bCs/>
              </w:rPr>
            </w:pPr>
          </w:p>
        </w:tc>
        <w:tc>
          <w:tcPr>
            <w:tcW w:w="7580" w:type="dxa"/>
            <w:vAlign w:val="center"/>
          </w:tcPr>
          <w:p w14:paraId="7B9FE232" w14:textId="77777777" w:rsidR="002D40DB" w:rsidRPr="00826000" w:rsidRDefault="0010107D" w:rsidP="00B84F53">
            <w:pPr>
              <w:keepLines/>
              <w:tabs>
                <w:tab w:val="clear" w:pos="794"/>
              </w:tabs>
              <w:spacing w:before="60" w:after="60"/>
              <w:ind w:left="397" w:hanging="397"/>
              <w:textDirection w:val="tbRlV"/>
              <w:rPr>
                <w:spacing w:val="-5"/>
                <w:lang w:val="ar-SA" w:eastAsia="zh-TW" w:bidi="en-GB"/>
              </w:rPr>
            </w:pPr>
            <w:sdt>
              <w:sdtPr>
                <w:rPr>
                  <w:color w:val="000000"/>
                  <w:spacing w:val="-5"/>
                  <w:rtl/>
                </w:rPr>
                <w:id w:val="-1852947113"/>
                <w14:checkbox>
                  <w14:checked w14:val="0"/>
                  <w14:checkedState w14:val="0052" w14:font="Wingdings 2"/>
                  <w14:uncheckedState w14:val="2610" w14:font="MS Gothic"/>
                </w14:checkbox>
              </w:sdtPr>
              <w:sdtEndPr/>
              <w:sdtContent>
                <w:r w:rsidR="002D40DB">
                  <w:rPr>
                    <w:rFonts w:ascii="MS Gothic" w:eastAsia="MS Gothic" w:hAnsi="MS Gothic" w:hint="eastAsia"/>
                    <w:color w:val="000000"/>
                    <w:spacing w:val="-5"/>
                    <w:rtl/>
                  </w:rPr>
                  <w:t>☐</w:t>
                </w:r>
              </w:sdtContent>
            </w:sdt>
            <w:r w:rsidR="002D40DB" w:rsidRPr="00826000">
              <w:rPr>
                <w:color w:val="000000"/>
                <w:spacing w:val="-5"/>
                <w:rtl/>
              </w:rPr>
              <w:tab/>
            </w:r>
            <w:r w:rsidR="002D40DB" w:rsidRPr="00826000">
              <w:rPr>
                <w:b/>
                <w:bCs/>
                <w:color w:val="000000"/>
                <w:spacing w:val="-5"/>
                <w:rtl/>
              </w:rPr>
              <w:t>لا تفوض</w:t>
            </w:r>
            <w:r w:rsidR="002D40DB" w:rsidRPr="00826000">
              <w:rPr>
                <w:color w:val="000000"/>
                <w:spacing w:val="-5"/>
                <w:rtl/>
              </w:rPr>
              <w:t xml:space="preserve"> لجنة الدراسات 11 </w:t>
            </w:r>
            <w:r w:rsidR="002D40DB" w:rsidRPr="00826000">
              <w:rPr>
                <w:b/>
                <w:bCs/>
                <w:color w:val="000000"/>
                <w:spacing w:val="-5"/>
                <w:rtl/>
              </w:rPr>
              <w:t xml:space="preserve">سلطة </w:t>
            </w:r>
            <w:r w:rsidR="002D40DB">
              <w:rPr>
                <w:rFonts w:hint="cs"/>
                <w:b/>
                <w:bCs/>
                <w:color w:val="000000"/>
                <w:spacing w:val="-5"/>
                <w:rtl/>
              </w:rPr>
              <w:t>ب</w:t>
            </w:r>
            <w:r w:rsidR="002D40DB" w:rsidRPr="00826000">
              <w:rPr>
                <w:b/>
                <w:bCs/>
                <w:color w:val="000000"/>
                <w:spacing w:val="-5"/>
                <w:rtl/>
              </w:rPr>
              <w:t>النظر</w:t>
            </w:r>
            <w:r w:rsidR="002D40DB" w:rsidRPr="00826000">
              <w:rPr>
                <w:color w:val="000000"/>
                <w:spacing w:val="-5"/>
                <w:rtl/>
              </w:rPr>
              <w:t xml:space="preserve"> في هذا النص بغرض الموافقة عليه (ترفَق بالطي أسباب هذا الرأي ولمحة عن التغييرات المحتملة التي من شأنها أن تمكّن من إحراز تقدم في</w:t>
            </w:r>
            <w:r w:rsidR="002D40DB" w:rsidRPr="00826000">
              <w:rPr>
                <w:rFonts w:hint="cs"/>
                <w:color w:val="000000"/>
                <w:spacing w:val="-5"/>
                <w:rtl/>
              </w:rPr>
              <w:t> </w:t>
            </w:r>
            <w:r w:rsidR="002D40DB" w:rsidRPr="00826000">
              <w:rPr>
                <w:color w:val="000000"/>
                <w:spacing w:val="-5"/>
                <w:rtl/>
              </w:rPr>
              <w:t>العمل)</w:t>
            </w:r>
          </w:p>
        </w:tc>
      </w:tr>
    </w:tbl>
    <w:p w14:paraId="35A2F450" w14:textId="77777777" w:rsidR="002D40DB" w:rsidRDefault="002D40DB" w:rsidP="002D40DB">
      <w:pPr>
        <w:keepNext/>
        <w:keepLines/>
        <w:spacing w:before="360"/>
        <w:textDirection w:val="tbRlV"/>
        <w:rPr>
          <w:rtl/>
        </w:rPr>
      </w:pPr>
      <w:r w:rsidRPr="008A2276">
        <w:rPr>
          <w:rtl/>
        </w:rPr>
        <w:t>وتفضلوا بقبول فائق التقدير والاحترام.</w:t>
      </w:r>
    </w:p>
    <w:p w14:paraId="478364F3" w14:textId="77777777" w:rsidR="002D40DB" w:rsidRPr="008A2276" w:rsidRDefault="002D40DB" w:rsidP="002D40DB">
      <w:pPr>
        <w:keepNext/>
        <w:keepLines/>
        <w:spacing w:before="600"/>
        <w:textDirection w:val="tbRlV"/>
        <w:rPr>
          <w:lang w:eastAsia="zh-TW" w:bidi="en-GB"/>
        </w:rPr>
      </w:pPr>
      <w:r w:rsidRPr="008A2276">
        <w:rPr>
          <w:highlight w:val="green"/>
          <w:rtl/>
        </w:rPr>
        <w:t>[الاسم]</w:t>
      </w:r>
    </w:p>
    <w:p w14:paraId="16C4877C" w14:textId="77777777" w:rsidR="002D40DB" w:rsidRDefault="002D40DB" w:rsidP="002D40DB">
      <w:pPr>
        <w:textDirection w:val="tbRlV"/>
        <w:rPr>
          <w:rtl/>
        </w:rPr>
      </w:pPr>
      <w:r w:rsidRPr="008A2276">
        <w:rPr>
          <w:highlight w:val="green"/>
          <w:rtl/>
        </w:rPr>
        <w:t>[الدور/اللقب الرسمي]</w:t>
      </w:r>
    </w:p>
    <w:p w14:paraId="0C8E6549" w14:textId="77777777" w:rsidR="002D40DB" w:rsidRPr="008A2276" w:rsidRDefault="002D40DB" w:rsidP="002D40DB">
      <w:pPr>
        <w:rPr>
          <w:rtl/>
        </w:rPr>
      </w:pPr>
      <w:r w:rsidRPr="008A2276">
        <w:rPr>
          <w:rtl/>
        </w:rPr>
        <w:t xml:space="preserve">إدارة </w:t>
      </w:r>
      <w:r w:rsidRPr="008A2276">
        <w:rPr>
          <w:highlight w:val="green"/>
          <w:rtl/>
        </w:rPr>
        <w:t>[الدولة العضو]</w:t>
      </w:r>
    </w:p>
    <w:p w14:paraId="031C310D" w14:textId="7920C490"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322BD3">
      <w:headerReference w:type="default" r:id="rId16"/>
      <w:footerReference w:type="first" r:id="rId17"/>
      <w:type w:val="oddPage"/>
      <w:pgSz w:w="11907" w:h="16840" w:code="9"/>
      <w:pgMar w:top="1418" w:right="1134" w:bottom="720" w:left="1134" w:header="709"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B207" w14:textId="77777777" w:rsidR="00355AA3" w:rsidRDefault="00355AA3" w:rsidP="006C3242">
      <w:pPr>
        <w:spacing w:before="0" w:line="240" w:lineRule="auto"/>
      </w:pPr>
      <w:r>
        <w:separator/>
      </w:r>
    </w:p>
  </w:endnote>
  <w:endnote w:type="continuationSeparator" w:id="0">
    <w:p w14:paraId="38B920FF" w14:textId="77777777" w:rsidR="00355AA3" w:rsidRDefault="00355AA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G Times">
    <w:altName w:val="Times New Roman"/>
    <w:charset w:val="00"/>
    <w:family w:val="roman"/>
    <w:pitch w:val="variable"/>
    <w:sig w:usb0="00000003" w:usb1="00000000" w:usb2="00000000" w:usb3="00000000" w:csb0="00000001" w:csb1="00000000"/>
  </w:font>
  <w:font w:name="Simplified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C416"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65E6" w14:textId="77777777" w:rsidR="00355AA3" w:rsidRDefault="00355AA3" w:rsidP="006C3242">
      <w:pPr>
        <w:spacing w:before="0" w:line="240" w:lineRule="auto"/>
      </w:pPr>
      <w:r>
        <w:separator/>
      </w:r>
    </w:p>
  </w:footnote>
  <w:footnote w:type="continuationSeparator" w:id="0">
    <w:p w14:paraId="49B74298" w14:textId="77777777" w:rsidR="00355AA3" w:rsidRDefault="00355AA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0F87" w14:textId="7F8F5D28"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2D40DB">
      <w:rPr>
        <w:sz w:val="20"/>
        <w:szCs w:val="20"/>
        <w:lang w:bidi="ar-EG"/>
      </w:rPr>
      <w:t>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8158622">
    <w:abstractNumId w:val="9"/>
  </w:num>
  <w:num w:numId="2" w16cid:durableId="1882747487">
    <w:abstractNumId w:val="7"/>
  </w:num>
  <w:num w:numId="3" w16cid:durableId="49884025">
    <w:abstractNumId w:val="6"/>
  </w:num>
  <w:num w:numId="4" w16cid:durableId="575633602">
    <w:abstractNumId w:val="5"/>
  </w:num>
  <w:num w:numId="5" w16cid:durableId="1488354297">
    <w:abstractNumId w:val="4"/>
  </w:num>
  <w:num w:numId="6" w16cid:durableId="156388804">
    <w:abstractNumId w:val="8"/>
  </w:num>
  <w:num w:numId="7" w16cid:durableId="1985700406">
    <w:abstractNumId w:val="3"/>
  </w:num>
  <w:num w:numId="8" w16cid:durableId="1243905835">
    <w:abstractNumId w:val="2"/>
  </w:num>
  <w:num w:numId="9" w16cid:durableId="963002084">
    <w:abstractNumId w:val="1"/>
  </w:num>
  <w:num w:numId="10" w16cid:durableId="865369063">
    <w:abstractNumId w:val="0"/>
  </w:num>
  <w:num w:numId="11" w16cid:durableId="743071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C1"/>
    <w:rsid w:val="00002A63"/>
    <w:rsid w:val="0006468A"/>
    <w:rsid w:val="00090574"/>
    <w:rsid w:val="000C1C0E"/>
    <w:rsid w:val="000C548A"/>
    <w:rsid w:val="000D03FF"/>
    <w:rsid w:val="000E327F"/>
    <w:rsid w:val="0010107D"/>
    <w:rsid w:val="00112616"/>
    <w:rsid w:val="00146FE2"/>
    <w:rsid w:val="001C0169"/>
    <w:rsid w:val="001D1D50"/>
    <w:rsid w:val="001D6745"/>
    <w:rsid w:val="001E2788"/>
    <w:rsid w:val="001E446E"/>
    <w:rsid w:val="001F4353"/>
    <w:rsid w:val="002154EE"/>
    <w:rsid w:val="00225E90"/>
    <w:rsid w:val="002276D2"/>
    <w:rsid w:val="0023283D"/>
    <w:rsid w:val="0026373E"/>
    <w:rsid w:val="00271C43"/>
    <w:rsid w:val="00290728"/>
    <w:rsid w:val="002978F4"/>
    <w:rsid w:val="002B028D"/>
    <w:rsid w:val="002D0DCC"/>
    <w:rsid w:val="002D40DB"/>
    <w:rsid w:val="002E196B"/>
    <w:rsid w:val="002E6541"/>
    <w:rsid w:val="00322BD3"/>
    <w:rsid w:val="00334924"/>
    <w:rsid w:val="003409BC"/>
    <w:rsid w:val="00355AA3"/>
    <w:rsid w:val="00357185"/>
    <w:rsid w:val="00372F67"/>
    <w:rsid w:val="00383829"/>
    <w:rsid w:val="003A3046"/>
    <w:rsid w:val="003C7EDF"/>
    <w:rsid w:val="003F4B29"/>
    <w:rsid w:val="00400EC6"/>
    <w:rsid w:val="0042686F"/>
    <w:rsid w:val="004317D8"/>
    <w:rsid w:val="00434183"/>
    <w:rsid w:val="00443869"/>
    <w:rsid w:val="00447F32"/>
    <w:rsid w:val="004C74E0"/>
    <w:rsid w:val="004E11DC"/>
    <w:rsid w:val="00525DDD"/>
    <w:rsid w:val="005409AC"/>
    <w:rsid w:val="0055516A"/>
    <w:rsid w:val="005731DD"/>
    <w:rsid w:val="0058491B"/>
    <w:rsid w:val="00592EA5"/>
    <w:rsid w:val="0059327B"/>
    <w:rsid w:val="00595B52"/>
    <w:rsid w:val="00596808"/>
    <w:rsid w:val="005A1589"/>
    <w:rsid w:val="005A3170"/>
    <w:rsid w:val="006019C6"/>
    <w:rsid w:val="006635B2"/>
    <w:rsid w:val="00677396"/>
    <w:rsid w:val="006818C1"/>
    <w:rsid w:val="0069200F"/>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37627"/>
    <w:rsid w:val="00840B10"/>
    <w:rsid w:val="008513CB"/>
    <w:rsid w:val="00873469"/>
    <w:rsid w:val="00877F4B"/>
    <w:rsid w:val="00891703"/>
    <w:rsid w:val="008A7F84"/>
    <w:rsid w:val="0091702E"/>
    <w:rsid w:val="00923B0C"/>
    <w:rsid w:val="00926F44"/>
    <w:rsid w:val="0094021C"/>
    <w:rsid w:val="0094432F"/>
    <w:rsid w:val="00952F86"/>
    <w:rsid w:val="00982B28"/>
    <w:rsid w:val="0099778F"/>
    <w:rsid w:val="009D313F"/>
    <w:rsid w:val="009F17C2"/>
    <w:rsid w:val="00A47A5A"/>
    <w:rsid w:val="00A6683B"/>
    <w:rsid w:val="00A77C90"/>
    <w:rsid w:val="00A9156F"/>
    <w:rsid w:val="00A97F94"/>
    <w:rsid w:val="00AA7EA2"/>
    <w:rsid w:val="00AB0BC9"/>
    <w:rsid w:val="00AC33D4"/>
    <w:rsid w:val="00AF6B5C"/>
    <w:rsid w:val="00B03099"/>
    <w:rsid w:val="00B05BC8"/>
    <w:rsid w:val="00B64B47"/>
    <w:rsid w:val="00B916A7"/>
    <w:rsid w:val="00BB0F08"/>
    <w:rsid w:val="00C002DE"/>
    <w:rsid w:val="00C53BF8"/>
    <w:rsid w:val="00C66157"/>
    <w:rsid w:val="00C674FE"/>
    <w:rsid w:val="00C67501"/>
    <w:rsid w:val="00C736F7"/>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E7F8"/>
  <w15:chartTrackingRefBased/>
  <w15:docId w15:val="{E7EA8845-C2A4-4A2C-8D84-7D7F9D91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Tabletext">
    <w:name w:val="Table_text"/>
    <w:basedOn w:val="Normal"/>
    <w:rsid w:val="002D40DB"/>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Times New Roman" w:hAnsi="CG Times" w:cs="Simplified Arabic" w:hint="cs"/>
      <w:sz w:val="24"/>
      <w:szCs w:val="30"/>
      <w:lang w:val="en-GB"/>
    </w:rPr>
  </w:style>
  <w:style w:type="paragraph" w:customStyle="1" w:styleId="Annextitle0">
    <w:name w:val="Annex_title"/>
    <w:basedOn w:val="Normal"/>
    <w:next w:val="Normal"/>
    <w:rsid w:val="002D40DB"/>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Times New Roman" w:hAnsi="CG Times" w:cs="Simplified Arabic" w:hint="cs"/>
      <w:b/>
      <w:sz w:val="28"/>
      <w:szCs w:val="30"/>
      <w:lang w:val="en-GB"/>
    </w:rPr>
  </w:style>
  <w:style w:type="character" w:styleId="FollowedHyperlink">
    <w:name w:val="FollowedHyperlink"/>
    <w:basedOn w:val="DefaultParagraphFont"/>
    <w:uiPriority w:val="99"/>
    <w:semiHidden/>
    <w:unhideWhenUsed/>
    <w:rsid w:val="00101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ar/ITU-T/ipr/Pag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meetingdoc.asp?lang=en&amp;parent=T25-SG11-R-001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1-R-0017/en" TargetMode="External"/><Relationship Id="rId5" Type="http://schemas.openxmlformats.org/officeDocument/2006/relationships/webSettings" Target="webSettings.xml"/><Relationship Id="rId15" Type="http://schemas.openxmlformats.org/officeDocument/2006/relationships/hyperlink" Target="mailto:tsbdir@itu.int%20"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www.itu.int/ip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35</TotalTime>
  <Pages>4</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Braud, Olivia</cp:lastModifiedBy>
  <cp:revision>8</cp:revision>
  <cp:lastPrinted>2026-04-13T13:24:00Z</cp:lastPrinted>
  <dcterms:created xsi:type="dcterms:W3CDTF">2026-04-09T09:18:00Z</dcterms:created>
  <dcterms:modified xsi:type="dcterms:W3CDTF">2026-04-13T13:25:00Z</dcterms:modified>
</cp:coreProperties>
</file>