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8D00C5D" w14:textId="77777777" w:rsidTr="00D517B2">
        <w:trPr>
          <w:cantSplit/>
          <w:trHeight w:val="1134"/>
        </w:trPr>
        <w:tc>
          <w:tcPr>
            <w:tcW w:w="798" w:type="pct"/>
          </w:tcPr>
          <w:p w14:paraId="77F10B11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25200D24" wp14:editId="59A4DB12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75427A11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1251D7CA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5CDDE868" w14:textId="77777777" w:rsidTr="001E2788">
        <w:trPr>
          <w:cantSplit/>
          <w:jc w:val="center"/>
        </w:trPr>
        <w:tc>
          <w:tcPr>
            <w:tcW w:w="810" w:type="pct"/>
          </w:tcPr>
          <w:p w14:paraId="10773D88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4980338B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56462A9F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0DB1E00" w14:textId="77777777" w:rsidTr="001E2788">
        <w:trPr>
          <w:cantSplit/>
          <w:jc w:val="center"/>
        </w:trPr>
        <w:tc>
          <w:tcPr>
            <w:tcW w:w="810" w:type="pct"/>
          </w:tcPr>
          <w:p w14:paraId="4829C508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578A94A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01032626" w14:textId="006471A0" w:rsidR="00D517B2" w:rsidRPr="00D517B2" w:rsidRDefault="0020142B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>
              <w:rPr>
                <w:rFonts w:hint="cs"/>
                <w:position w:val="2"/>
                <w:rtl/>
              </w:rPr>
              <w:t>1 أبريل 2026</w:t>
            </w:r>
          </w:p>
        </w:tc>
      </w:tr>
      <w:tr w:rsidR="00372F67" w:rsidRPr="00D517B2" w14:paraId="181F2084" w14:textId="77777777" w:rsidTr="001E2788">
        <w:trPr>
          <w:cantSplit/>
          <w:jc w:val="center"/>
        </w:trPr>
        <w:tc>
          <w:tcPr>
            <w:tcW w:w="810" w:type="pct"/>
          </w:tcPr>
          <w:p w14:paraId="211AC78F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1B668B00" w14:textId="59128AE8" w:rsidR="00372F67" w:rsidRPr="0020142B" w:rsidRDefault="0020142B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20142B">
              <w:rPr>
                <w:b/>
                <w:position w:val="2"/>
              </w:rPr>
              <w:t>TSB Circular 124</w:t>
            </w:r>
            <w:r w:rsidRPr="0020142B">
              <w:rPr>
                <w:b/>
                <w:position w:val="2"/>
              </w:rPr>
              <w:br/>
            </w:r>
            <w:r w:rsidRPr="0020142B">
              <w:t>SG11/DA</w:t>
            </w:r>
          </w:p>
        </w:tc>
        <w:tc>
          <w:tcPr>
            <w:tcW w:w="2206" w:type="pct"/>
            <w:vMerge w:val="restart"/>
          </w:tcPr>
          <w:p w14:paraId="47EF2E81" w14:textId="77777777" w:rsidR="00372F67" w:rsidRPr="0020142B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20142B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4640EF25" w14:textId="77777777" w:rsidR="0020142B" w:rsidRPr="0020142B" w:rsidRDefault="0020142B" w:rsidP="0020142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0142B">
              <w:rPr>
                <w:rFonts w:hint="cs"/>
                <w:position w:val="2"/>
                <w:rtl/>
              </w:rPr>
              <w:t>-</w:t>
            </w:r>
            <w:r w:rsidRPr="0020142B">
              <w:rPr>
                <w:position w:val="2"/>
                <w:rtl/>
              </w:rPr>
              <w:tab/>
            </w:r>
            <w:r w:rsidRPr="0020142B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44233AFA" w14:textId="77777777" w:rsidR="0020142B" w:rsidRPr="0020142B" w:rsidRDefault="0020142B" w:rsidP="0020142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20142B">
              <w:rPr>
                <w:rFonts w:hint="cs"/>
                <w:position w:val="2"/>
                <w:rtl/>
              </w:rPr>
              <w:t>-</w:t>
            </w:r>
            <w:r w:rsidRPr="0020142B">
              <w:rPr>
                <w:position w:val="2"/>
                <w:rtl/>
              </w:rPr>
              <w:tab/>
              <w:t>دولة فلسطين (القرار</w:t>
            </w:r>
            <w:r w:rsidRPr="0020142B">
              <w:rPr>
                <w:rFonts w:hint="cs"/>
                <w:position w:val="2"/>
                <w:rtl/>
              </w:rPr>
              <w:t> </w:t>
            </w:r>
            <w:r w:rsidRPr="0020142B">
              <w:rPr>
                <w:position w:val="2"/>
                <w:rtl/>
              </w:rPr>
              <w:t>99 (المراجَع في دبي، 2018))؛</w:t>
            </w:r>
          </w:p>
          <w:p w14:paraId="169A6F2D" w14:textId="77777777" w:rsidR="0020142B" w:rsidRPr="0020142B" w:rsidRDefault="0020142B" w:rsidP="0020142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20142B">
              <w:rPr>
                <w:rFonts w:hint="cs"/>
                <w:position w:val="2"/>
                <w:rtl/>
              </w:rPr>
              <w:t>-</w:t>
            </w:r>
            <w:r w:rsidRPr="0020142B">
              <w:rPr>
                <w:position w:val="2"/>
                <w:rtl/>
              </w:rPr>
              <w:tab/>
            </w:r>
            <w:r w:rsidRPr="0020142B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3DA7C978" w14:textId="2C362A80" w:rsidR="0020142B" w:rsidRPr="0020142B" w:rsidRDefault="0020142B" w:rsidP="0020142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spacing w:val="-4"/>
                <w:position w:val="2"/>
                <w:rtl/>
                <w:lang w:bidi="ar-EG"/>
              </w:rPr>
            </w:pPr>
            <w:r w:rsidRPr="0020142B">
              <w:rPr>
                <w:rFonts w:hint="cs"/>
                <w:spacing w:val="-4"/>
                <w:position w:val="2"/>
                <w:rtl/>
              </w:rPr>
              <w:t>-</w:t>
            </w:r>
            <w:r w:rsidRPr="0020142B">
              <w:rPr>
                <w:spacing w:val="-4"/>
                <w:position w:val="2"/>
                <w:rtl/>
              </w:rPr>
              <w:tab/>
            </w:r>
            <w:r w:rsidRPr="0020142B">
              <w:rPr>
                <w:rFonts w:hint="cs"/>
                <w:spacing w:val="-4"/>
                <w:position w:val="2"/>
                <w:rtl/>
              </w:rPr>
              <w:t>المنتسبين إلى قطاع تقييس الاتصالات المشاركين في</w:t>
            </w:r>
            <w:r w:rsidR="00AC71BA">
              <w:rPr>
                <w:rFonts w:hint="eastAsia"/>
                <w:spacing w:val="-4"/>
                <w:position w:val="2"/>
                <w:rtl/>
              </w:rPr>
              <w:t> </w:t>
            </w:r>
            <w:r w:rsidRPr="0020142B">
              <w:rPr>
                <w:rFonts w:hint="cs"/>
                <w:spacing w:val="-4"/>
                <w:position w:val="2"/>
                <w:rtl/>
              </w:rPr>
              <w:t xml:space="preserve">أعمال </w:t>
            </w:r>
            <w:r w:rsidRPr="0020142B">
              <w:rPr>
                <w:spacing w:val="-4"/>
                <w:position w:val="2"/>
                <w:rtl/>
              </w:rPr>
              <w:t>لجنة الدراسات 11</w:t>
            </w:r>
            <w:r w:rsidRPr="0020142B">
              <w:rPr>
                <w:rFonts w:hint="cs"/>
                <w:spacing w:val="-4"/>
                <w:position w:val="2"/>
                <w:rtl/>
              </w:rPr>
              <w:t>؛</w:t>
            </w:r>
          </w:p>
          <w:p w14:paraId="68E8DC4E" w14:textId="77777777" w:rsidR="0020142B" w:rsidRPr="0020142B" w:rsidRDefault="0020142B" w:rsidP="0020142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0142B">
              <w:rPr>
                <w:rFonts w:hint="cs"/>
                <w:position w:val="2"/>
                <w:rtl/>
              </w:rPr>
              <w:t>-</w:t>
            </w:r>
            <w:r w:rsidRPr="0020142B">
              <w:rPr>
                <w:position w:val="2"/>
                <w:rtl/>
              </w:rPr>
              <w:tab/>
            </w:r>
            <w:r w:rsidRPr="0020142B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20142B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6A9F6DE8" w14:textId="77777777" w:rsidR="00372F67" w:rsidRPr="0020142B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20142B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01484DFA" w14:textId="3CB54A59" w:rsidR="00372F67" w:rsidRPr="0020142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20142B">
              <w:rPr>
                <w:rFonts w:hint="cs"/>
                <w:position w:val="2"/>
                <w:rtl/>
              </w:rPr>
              <w:t>-</w:t>
            </w:r>
            <w:r w:rsidRPr="0020142B">
              <w:rPr>
                <w:position w:val="2"/>
                <w:rtl/>
              </w:rPr>
              <w:tab/>
            </w:r>
            <w:r w:rsidR="0020142B" w:rsidRPr="0020142B">
              <w:rPr>
                <w:rFonts w:eastAsia="Times New Roman" w:hint="cs"/>
                <w:position w:val="2"/>
                <w:rtl/>
                <w:lang w:eastAsia="en-US"/>
              </w:rPr>
              <w:t xml:space="preserve">رئيس </w:t>
            </w:r>
            <w:r w:rsidR="0020142B" w:rsidRPr="0020142B">
              <w:rPr>
                <w:rFonts w:eastAsia="Times New Roman"/>
                <w:position w:val="2"/>
                <w:rtl/>
                <w:lang w:eastAsia="en-US"/>
              </w:rPr>
              <w:t xml:space="preserve">لجنة الدراسات 11 </w:t>
            </w:r>
            <w:r w:rsidR="0020142B" w:rsidRPr="0020142B">
              <w:rPr>
                <w:rFonts w:eastAsia="Times New Roman" w:hint="cs"/>
                <w:position w:val="2"/>
                <w:rtl/>
                <w:lang w:eastAsia="en-US"/>
              </w:rPr>
              <w:t>ب</w:t>
            </w:r>
            <w:r w:rsidR="0020142B" w:rsidRPr="0020142B">
              <w:rPr>
                <w:rFonts w:eastAsia="Times New Roman"/>
                <w:position w:val="2"/>
                <w:rtl/>
                <w:lang w:eastAsia="en-US"/>
              </w:rPr>
              <w:t>قطاع تقييس الاتصالات ونوابه</w:t>
            </w:r>
            <w:r w:rsidRPr="0020142B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4DE42A7D" w14:textId="77777777" w:rsidR="00372F67" w:rsidRPr="0020142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20142B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20142B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20142B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453EDFDE" w14:textId="77777777" w:rsidR="00372F67" w:rsidRPr="0020142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20142B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20142B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282D00F4" w14:textId="77777777" w:rsidTr="001E2788">
        <w:trPr>
          <w:cantSplit/>
          <w:jc w:val="center"/>
        </w:trPr>
        <w:tc>
          <w:tcPr>
            <w:tcW w:w="810" w:type="pct"/>
          </w:tcPr>
          <w:p w14:paraId="7D2F2BC3" w14:textId="02F20005" w:rsidR="00372F67" w:rsidRPr="00A9156F" w:rsidRDefault="0020142B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="00372F67">
              <w:rPr>
                <w:rFonts w:hint="cs"/>
                <w:b/>
                <w:bCs/>
                <w:position w:val="2"/>
                <w:rtl/>
                <w:lang w:bidi="ar-EG"/>
              </w:rPr>
              <w:t>:</w:t>
            </w:r>
          </w:p>
        </w:tc>
        <w:tc>
          <w:tcPr>
            <w:tcW w:w="1984" w:type="pct"/>
          </w:tcPr>
          <w:p w14:paraId="15AEC071" w14:textId="2F6E7319" w:rsidR="00372F67" w:rsidRPr="0020142B" w:rsidRDefault="0020142B" w:rsidP="001E2788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20142B">
              <w:rPr>
                <w:position w:val="2"/>
              </w:rPr>
              <w:t>+41 22 730 5780</w:t>
            </w:r>
          </w:p>
        </w:tc>
        <w:tc>
          <w:tcPr>
            <w:tcW w:w="2206" w:type="pct"/>
            <w:vMerge/>
          </w:tcPr>
          <w:p w14:paraId="6C197867" w14:textId="77777777" w:rsidR="00372F67" w:rsidRPr="0020142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6F364112" w14:textId="77777777" w:rsidTr="001E2788">
        <w:trPr>
          <w:cantSplit/>
          <w:jc w:val="center"/>
        </w:trPr>
        <w:tc>
          <w:tcPr>
            <w:tcW w:w="810" w:type="pct"/>
          </w:tcPr>
          <w:p w14:paraId="618A5C17" w14:textId="79DE709C" w:rsidR="00372F67" w:rsidRDefault="0020142B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الفاكس</w:t>
            </w:r>
            <w:r w:rsidR="00372F67"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13FBDB30" w14:textId="2A6E2778" w:rsidR="00372F67" w:rsidRPr="0020142B" w:rsidRDefault="0020142B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20142B">
              <w:rPr>
                <w:position w:val="2"/>
              </w:rPr>
              <w:t>+41 22 730 5853</w:t>
            </w:r>
          </w:p>
        </w:tc>
        <w:tc>
          <w:tcPr>
            <w:tcW w:w="2206" w:type="pct"/>
            <w:vMerge/>
          </w:tcPr>
          <w:p w14:paraId="40148B71" w14:textId="77777777" w:rsidR="00372F67" w:rsidRPr="0020142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242B9727" w14:textId="77777777" w:rsidTr="001E2788">
        <w:trPr>
          <w:cantSplit/>
          <w:jc w:val="center"/>
        </w:trPr>
        <w:tc>
          <w:tcPr>
            <w:tcW w:w="810" w:type="pct"/>
          </w:tcPr>
          <w:p w14:paraId="0F6B3346" w14:textId="28E07387" w:rsidR="00372F67" w:rsidRPr="00A9156F" w:rsidRDefault="0020142B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 xml:space="preserve">البريد الإلكتروني </w:t>
            </w:r>
            <w:r w:rsidR="00372F67"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1E9AAEEB" w14:textId="006328AA" w:rsidR="00372F67" w:rsidRPr="0020142B" w:rsidRDefault="0020142B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20142B">
                <w:rPr>
                  <w:rStyle w:val="Hyperlink"/>
                  <w:position w:val="2"/>
                </w:rPr>
                <w:t>tsbsg11@itu.int</w:t>
              </w:r>
            </w:hyperlink>
          </w:p>
        </w:tc>
        <w:tc>
          <w:tcPr>
            <w:tcW w:w="2206" w:type="pct"/>
            <w:vMerge/>
          </w:tcPr>
          <w:p w14:paraId="2F352079" w14:textId="77777777" w:rsidR="00372F67" w:rsidRPr="0020142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18296B85" w14:textId="77777777" w:rsidTr="001E2788">
        <w:trPr>
          <w:cantSplit/>
          <w:jc w:val="center"/>
        </w:trPr>
        <w:tc>
          <w:tcPr>
            <w:tcW w:w="810" w:type="pct"/>
          </w:tcPr>
          <w:p w14:paraId="37527ACD" w14:textId="45BCD24B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984" w:type="pct"/>
          </w:tcPr>
          <w:p w14:paraId="723DD6D2" w14:textId="77DC4F53" w:rsidR="00372F67" w:rsidRPr="0020142B" w:rsidRDefault="00372F67" w:rsidP="00CE1C0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  <w:tc>
          <w:tcPr>
            <w:tcW w:w="2206" w:type="pct"/>
            <w:vMerge/>
          </w:tcPr>
          <w:p w14:paraId="49673A03" w14:textId="77777777" w:rsidR="00372F67" w:rsidRPr="0020142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7D99E6FE" w14:textId="77777777" w:rsidTr="001E2788">
        <w:trPr>
          <w:cantSplit/>
          <w:jc w:val="center"/>
        </w:trPr>
        <w:tc>
          <w:tcPr>
            <w:tcW w:w="810" w:type="pct"/>
          </w:tcPr>
          <w:p w14:paraId="080E8C69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312D4960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3164A851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70EFA3C0" w14:textId="77777777" w:rsidTr="001E2788">
        <w:trPr>
          <w:cantSplit/>
          <w:jc w:val="center"/>
        </w:trPr>
        <w:tc>
          <w:tcPr>
            <w:tcW w:w="810" w:type="pct"/>
          </w:tcPr>
          <w:p w14:paraId="143F87A0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442C796" w14:textId="3CC87C38" w:rsidR="00CE1C08" w:rsidRPr="00D517B2" w:rsidRDefault="0020142B" w:rsidP="00AC71BA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DB4884">
              <w:rPr>
                <w:b/>
                <w:bCs/>
                <w:position w:val="2"/>
                <w:rtl/>
              </w:rPr>
              <w:t>حالة التوصيات</w:t>
            </w:r>
            <w:r w:rsidRPr="00DB488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AC71BA" w:rsidRPr="00AC71BA">
              <w:rPr>
                <w:lang w:val="en-GB" w:bidi="ar-EG"/>
              </w:rPr>
              <w:t xml:space="preserve"> </w:t>
            </w:r>
            <w:r w:rsidR="00AC71BA" w:rsidRPr="00AC71BA">
              <w:rPr>
                <w:b/>
                <w:bCs/>
                <w:position w:val="2"/>
                <w:lang w:val="en-GB"/>
              </w:rPr>
              <w:t>ITU-T Q.5015</w:t>
            </w:r>
            <w:r w:rsidR="00AC71BA" w:rsidRPr="00AC71BA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</w:t>
            </w:r>
            <w:r w:rsidR="00AC71BA" w:rsidRPr="00AC71BA">
              <w:rPr>
                <w:b/>
                <w:bCs/>
                <w:position w:val="2"/>
                <w:lang w:val="en-GB"/>
              </w:rPr>
              <w:t>ITU-T Q.5036</w:t>
            </w:r>
            <w:r w:rsidR="00AC71BA" w:rsidRPr="00AC71BA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</w:t>
            </w:r>
            <w:r w:rsidR="00AC71BA" w:rsidRPr="00AC71BA">
              <w:rPr>
                <w:b/>
                <w:bCs/>
                <w:position w:val="2"/>
                <w:lang w:val="en-GB"/>
              </w:rPr>
              <w:t>ITU-T Q.5055</w:t>
            </w:r>
            <w:r w:rsidR="00AC71BA">
              <w:rPr>
                <w:rFonts w:hint="cs"/>
                <w:b/>
                <w:bCs/>
                <w:position w:val="2"/>
                <w:rtl/>
                <w:lang w:val="en-GB"/>
              </w:rPr>
              <w:t xml:space="preserve"> و</w:t>
            </w:r>
            <w:r w:rsidR="00AC71BA">
              <w:rPr>
                <w:b/>
                <w:bCs/>
                <w:position w:val="2"/>
              </w:rPr>
              <w:t>ITU-T Q.5010</w:t>
            </w:r>
            <w:r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B4884">
              <w:rPr>
                <w:b/>
                <w:bCs/>
                <w:position w:val="2"/>
                <w:rtl/>
              </w:rPr>
              <w:t xml:space="preserve">بعد اجتماع لجنة </w:t>
            </w:r>
            <w:r>
              <w:rPr>
                <w:rFonts w:hint="cs"/>
                <w:b/>
                <w:bCs/>
                <w:position w:val="2"/>
                <w:rtl/>
              </w:rPr>
              <w:t>ال</w:t>
            </w:r>
            <w:r w:rsidRPr="00DB4884">
              <w:rPr>
                <w:b/>
                <w:bCs/>
                <w:position w:val="2"/>
                <w:rtl/>
              </w:rPr>
              <w:t xml:space="preserve">دراسات 11 بقطاع تقييس الاتصالات (جنيف، </w:t>
            </w:r>
            <w:r>
              <w:rPr>
                <w:rFonts w:hint="cs"/>
                <w:b/>
                <w:bCs/>
                <w:position w:val="2"/>
                <w:rtl/>
              </w:rPr>
              <w:t>3</w:t>
            </w:r>
            <w:r w:rsidRPr="00DB4884">
              <w:rPr>
                <w:b/>
                <w:bCs/>
                <w:position w:val="2"/>
                <w:rtl/>
              </w:rPr>
              <w:t>-</w:t>
            </w:r>
            <w:r>
              <w:rPr>
                <w:rFonts w:hint="cs"/>
                <w:b/>
                <w:bCs/>
                <w:position w:val="2"/>
                <w:rtl/>
              </w:rPr>
              <w:t>11</w:t>
            </w:r>
            <w:r w:rsidRPr="00DB4884">
              <w:rPr>
                <w:b/>
                <w:bCs/>
                <w:position w:val="2"/>
                <w:rtl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</w:rPr>
              <w:t>مارس</w:t>
            </w:r>
            <w:r w:rsidRPr="00DB4884">
              <w:rPr>
                <w:b/>
                <w:bCs/>
                <w:position w:val="2"/>
                <w:rtl/>
              </w:rPr>
              <w:t xml:space="preserve"> 202</w:t>
            </w:r>
            <w:r>
              <w:rPr>
                <w:rFonts w:hint="cs"/>
                <w:b/>
                <w:bCs/>
                <w:position w:val="2"/>
                <w:rtl/>
              </w:rPr>
              <w:t>6</w:t>
            </w:r>
            <w:r w:rsidRPr="00DB4884">
              <w:rPr>
                <w:b/>
                <w:bCs/>
                <w:position w:val="2"/>
                <w:rtl/>
              </w:rPr>
              <w:t>)</w:t>
            </w:r>
          </w:p>
        </w:tc>
      </w:tr>
    </w:tbl>
    <w:p w14:paraId="3469E9EC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5E3FCF3C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01158931" w14:textId="1F056BE1" w:rsidR="0020142B" w:rsidRPr="00056D7A" w:rsidRDefault="0020142B" w:rsidP="0020142B">
      <w:pPr>
        <w:textDirection w:val="tbRlV"/>
        <w:rPr>
          <w:lang w:val="ar-SA" w:eastAsia="zh-TW" w:bidi="en-GB"/>
        </w:rPr>
      </w:pPr>
      <w:r w:rsidRPr="00DB4884">
        <w:rPr>
          <w:rtl/>
        </w:rPr>
        <w:t>1</w:t>
      </w:r>
      <w:r w:rsidRPr="00DB4884">
        <w:rPr>
          <w:rtl/>
        </w:rPr>
        <w:tab/>
      </w:r>
      <w:r w:rsidRPr="00056D7A">
        <w:rPr>
          <w:rtl/>
        </w:rPr>
        <w:t>إلحاقاً بالرسال</w:t>
      </w:r>
      <w:r>
        <w:rPr>
          <w:rFonts w:hint="cs"/>
          <w:rtl/>
        </w:rPr>
        <w:t>تين</w:t>
      </w:r>
      <w:r w:rsidRPr="00056D7A">
        <w:rPr>
          <w:rtl/>
        </w:rPr>
        <w:t xml:space="preserve"> المعمم</w:t>
      </w:r>
      <w:r>
        <w:rPr>
          <w:rFonts w:hint="cs"/>
          <w:rtl/>
        </w:rPr>
        <w:t>تين</w:t>
      </w:r>
      <w:r w:rsidRPr="00056D7A">
        <w:rPr>
          <w:rtl/>
        </w:rPr>
        <w:t xml:space="preserve"> </w:t>
      </w:r>
      <w:hyperlink r:id="rId10" w:history="1">
        <w:r w:rsidRPr="00930758">
          <w:rPr>
            <w:rStyle w:val="Hyperlink"/>
            <w:rtl/>
          </w:rPr>
          <w:t>94</w:t>
        </w:r>
      </w:hyperlink>
      <w:r w:rsidRPr="00056D7A">
        <w:rPr>
          <w:rtl/>
        </w:rPr>
        <w:t xml:space="preserve"> </w:t>
      </w:r>
      <w:r w:rsidRPr="00AC71BA">
        <w:rPr>
          <w:rFonts w:hint="cs"/>
          <w:rtl/>
        </w:rPr>
        <w:t>و</w:t>
      </w:r>
      <w:hyperlink r:id="rId11" w:history="1">
        <w:r w:rsidRPr="00AC71BA">
          <w:rPr>
            <w:rStyle w:val="Hyperlink"/>
            <w:rFonts w:hint="cs"/>
            <w:rtl/>
          </w:rPr>
          <w:t>95</w:t>
        </w:r>
      </w:hyperlink>
      <w:r w:rsidRPr="00AC71BA">
        <w:rPr>
          <w:rFonts w:hint="cs"/>
          <w:rtl/>
        </w:rPr>
        <w:t xml:space="preserve"> </w:t>
      </w:r>
      <w:r w:rsidRPr="00AC71BA">
        <w:rPr>
          <w:rtl/>
        </w:rPr>
        <w:t>لمكتب تقييس الاتصالات</w:t>
      </w:r>
      <w:r w:rsidR="00AC71BA">
        <w:rPr>
          <w:rFonts w:hint="cs"/>
          <w:rtl/>
        </w:rPr>
        <w:t xml:space="preserve"> </w:t>
      </w:r>
      <w:r w:rsidRPr="00056D7A">
        <w:rPr>
          <w:rtl/>
        </w:rPr>
        <w:t>المؤرخ</w:t>
      </w:r>
      <w:r>
        <w:rPr>
          <w:rFonts w:hint="cs"/>
          <w:rtl/>
        </w:rPr>
        <w:t>تان</w:t>
      </w:r>
      <w:r w:rsidRPr="00056D7A">
        <w:rPr>
          <w:rtl/>
        </w:rPr>
        <w:t xml:space="preserve"> 1 ديسمبر 2025، وعملاً بالفقرة 5.9 من القرار 1 (المراجَع في جنيف، 2022)، أود إبلاغكم بأن لجنة الدراسات 11 لقطاع تقييس الاتصالات قد توصلت إلى القرار</w:t>
      </w:r>
      <w:r>
        <w:rPr>
          <w:rFonts w:hint="cs"/>
          <w:rtl/>
        </w:rPr>
        <w:t>ات</w:t>
      </w:r>
      <w:r w:rsidRPr="00056D7A">
        <w:rPr>
          <w:rtl/>
        </w:rPr>
        <w:t xml:space="preserve"> التالي</w:t>
      </w:r>
      <w:r>
        <w:rPr>
          <w:rFonts w:hint="cs"/>
          <w:rtl/>
        </w:rPr>
        <w:t>ة</w:t>
      </w:r>
      <w:r w:rsidRPr="00056D7A">
        <w:rPr>
          <w:rtl/>
        </w:rPr>
        <w:t xml:space="preserve"> في جلستها العامة التي عُقدت في 3 مارس  و11 مارس 2026 بشأن مشاريع النصوص التالية لقطاع تقييس الاتصالات:</w:t>
      </w:r>
      <w:hyperlink r:id="rId12" w:history="1"/>
      <w:hyperlink r:id="rId13" w:history="1"/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5100"/>
        <w:gridCol w:w="3028"/>
      </w:tblGrid>
      <w:tr w:rsidR="0020142B" w:rsidRPr="00056D7A" w14:paraId="35D8BEC7" w14:textId="77777777" w:rsidTr="001119A4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23CDB38" w14:textId="77777777" w:rsidR="0020142B" w:rsidRPr="00056D7A" w:rsidRDefault="0020142B" w:rsidP="001119A4">
            <w:pPr>
              <w:spacing w:before="80" w:after="80" w:line="24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B2B295" w14:textId="77777777" w:rsidR="0020142B" w:rsidRPr="00056D7A" w:rsidRDefault="0020142B" w:rsidP="001119A4">
            <w:pPr>
              <w:keepNext/>
              <w:keepLines/>
              <w:spacing w:before="80" w:after="80" w:line="24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b/>
                <w:bCs/>
                <w:color w:val="000000"/>
                <w:rtl/>
              </w:rPr>
              <w:t>العنوان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79EF28" w14:textId="77777777" w:rsidR="0020142B" w:rsidRPr="00056D7A" w:rsidRDefault="0020142B" w:rsidP="001119A4">
            <w:pPr>
              <w:keepNext/>
              <w:keepLines/>
              <w:spacing w:before="80" w:after="80" w:line="240" w:lineRule="exact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056D7A">
              <w:rPr>
                <w:b/>
                <w:bCs/>
                <w:color w:val="000000"/>
                <w:rtl/>
              </w:rPr>
              <w:t>المقرر</w:t>
            </w:r>
          </w:p>
        </w:tc>
      </w:tr>
      <w:tr w:rsidR="0020142B" w:rsidRPr="00056D7A" w14:paraId="7B4554D3" w14:textId="77777777" w:rsidTr="001119A4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71BABB0" w14:textId="77777777" w:rsidR="0020142B" w:rsidRPr="00056D7A" w:rsidRDefault="0020142B" w:rsidP="001119A4">
            <w:pPr>
              <w:spacing w:before="80" w:after="80" w:line="240" w:lineRule="exact"/>
              <w:textDirection w:val="tbRlV"/>
              <w:rPr>
                <w:lang w:val="ar-SA" w:eastAsia="zh-TW" w:bidi="en-GB"/>
              </w:rPr>
            </w:pPr>
            <w:hyperlink r:id="rId14" w:history="1">
              <w:r w:rsidRPr="00877A7A">
                <w:rPr>
                  <w:rStyle w:val="Hyperlink"/>
                  <w:lang w:val="fr-CH"/>
                </w:rPr>
                <w:t>ITU-T Q.5015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B965F25" w14:textId="77777777" w:rsidR="0020142B" w:rsidRPr="00056D7A" w:rsidRDefault="0020142B" w:rsidP="001119A4">
            <w:pPr>
              <w:pStyle w:val="Tabletext"/>
              <w:keepNext/>
              <w:keepLines/>
              <w:bidi/>
              <w:spacing w:before="80" w:after="80" w:line="240" w:lineRule="exact"/>
              <w:jc w:val="center"/>
              <w:textDirection w:val="tbRlV"/>
              <w:rPr>
                <w:rFonts w:ascii="Dubai" w:hAnsi="Dubai" w:cs="Dubai"/>
                <w:sz w:val="22"/>
                <w:szCs w:val="22"/>
                <w:lang w:val="ar-SA" w:eastAsia="zh-TW" w:bidi="en-GB"/>
              </w:rPr>
            </w:pPr>
            <w:r w:rsidRPr="00056D7A">
              <w:rPr>
                <w:rFonts w:ascii="Dubai" w:hAnsi="Dubai" w:cs="Dubai"/>
                <w:color w:val="000000"/>
                <w:sz w:val="22"/>
                <w:szCs w:val="22"/>
                <w:rtl/>
              </w:rPr>
              <w:t>متطلبات التشوير للتنسيق الذي يدعم الحوسبة السرية في حوسبة الحافة متعددة النفاذ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CCF0F9" w14:textId="77777777" w:rsidR="0020142B" w:rsidRPr="00056D7A" w:rsidRDefault="0020142B" w:rsidP="001119A4">
            <w:pPr>
              <w:keepNext/>
              <w:keepLines/>
              <w:spacing w:before="80" w:after="80" w:line="24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color w:val="000000"/>
                <w:rtl/>
              </w:rPr>
              <w:t>تمت الموافقة عليها</w:t>
            </w:r>
          </w:p>
        </w:tc>
      </w:tr>
      <w:tr w:rsidR="0020142B" w:rsidRPr="00056D7A" w14:paraId="45309AB3" w14:textId="77777777" w:rsidTr="001119A4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DD410B9" w14:textId="77777777" w:rsidR="0020142B" w:rsidRPr="00056D7A" w:rsidRDefault="0020142B" w:rsidP="001119A4">
            <w:pPr>
              <w:spacing w:before="80" w:after="80" w:line="240" w:lineRule="exact"/>
              <w:textDirection w:val="tbRlV"/>
              <w:rPr>
                <w:lang w:val="ar-SA" w:eastAsia="zh-TW" w:bidi="en-GB"/>
              </w:rPr>
            </w:pPr>
            <w:hyperlink r:id="rId15" w:history="1">
              <w:r w:rsidRPr="00877A7A">
                <w:rPr>
                  <w:rStyle w:val="Hyperlink"/>
                  <w:lang w:val="fr-CH"/>
                </w:rPr>
                <w:t>ITU-T Q.5036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B925C9A" w14:textId="77777777" w:rsidR="0020142B" w:rsidRPr="00056D7A" w:rsidRDefault="0020142B" w:rsidP="001119A4">
            <w:pPr>
              <w:pStyle w:val="Tabletext"/>
              <w:keepNext/>
              <w:keepLines/>
              <w:bidi/>
              <w:spacing w:before="80" w:after="80" w:line="240" w:lineRule="exact"/>
              <w:jc w:val="center"/>
              <w:textDirection w:val="tbRlV"/>
              <w:rPr>
                <w:rFonts w:ascii="Dubai" w:hAnsi="Dubai" w:cs="Dubai"/>
                <w:sz w:val="22"/>
                <w:szCs w:val="22"/>
                <w:lang w:val="ar-SA" w:eastAsia="zh-TW" w:bidi="en-GB"/>
              </w:rPr>
            </w:pPr>
            <w:r w:rsidRPr="00056D7A">
              <w:rPr>
                <w:rFonts w:ascii="Dubai" w:hAnsi="Dubai" w:cs="Dubai"/>
                <w:color w:val="000000"/>
                <w:sz w:val="22"/>
                <w:szCs w:val="22"/>
                <w:rtl/>
              </w:rPr>
              <w:t>السطوح البينية لإدارة البيانات من أجل إطار عام لصنع القرار يستند إلى حوسبة الحافة الذكية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8F76026" w14:textId="77777777" w:rsidR="0020142B" w:rsidRPr="00056D7A" w:rsidRDefault="0020142B" w:rsidP="001119A4">
            <w:pPr>
              <w:keepNext/>
              <w:keepLines/>
              <w:spacing w:before="80" w:after="80" w:line="24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color w:val="000000"/>
                <w:rtl/>
              </w:rPr>
              <w:t>تمت الموافقة عليها</w:t>
            </w:r>
          </w:p>
        </w:tc>
      </w:tr>
      <w:tr w:rsidR="0020142B" w:rsidRPr="00056D7A" w14:paraId="1D2DF728" w14:textId="77777777" w:rsidTr="001119A4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4AB9978" w14:textId="77777777" w:rsidR="0020142B" w:rsidRPr="00056D7A" w:rsidRDefault="0020142B" w:rsidP="001119A4">
            <w:pPr>
              <w:spacing w:before="80" w:after="80" w:line="240" w:lineRule="exact"/>
              <w:textDirection w:val="tbRlV"/>
              <w:rPr>
                <w:lang w:val="ar-SA" w:eastAsia="zh-TW" w:bidi="en-GB"/>
              </w:rPr>
            </w:pPr>
            <w:hyperlink r:id="rId16" w:history="1">
              <w:r w:rsidRPr="00877A7A">
                <w:rPr>
                  <w:rStyle w:val="Hyperlink"/>
                  <w:lang w:val="fr-CH"/>
                </w:rPr>
                <w:t>ITU-T Q.5055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2B85A1" w14:textId="77777777" w:rsidR="0020142B" w:rsidRPr="00056D7A" w:rsidRDefault="0020142B" w:rsidP="001119A4">
            <w:pPr>
              <w:pStyle w:val="Tabletext"/>
              <w:keepNext/>
              <w:keepLines/>
              <w:bidi/>
              <w:spacing w:before="80" w:after="80" w:line="240" w:lineRule="exact"/>
              <w:jc w:val="center"/>
              <w:textDirection w:val="tbRlV"/>
              <w:rPr>
                <w:rFonts w:ascii="Dubai" w:hAnsi="Dubai" w:cs="Dubai"/>
                <w:sz w:val="22"/>
                <w:szCs w:val="22"/>
                <w:lang w:val="ar-SA" w:eastAsia="zh-TW" w:bidi="en-GB"/>
              </w:rPr>
            </w:pPr>
            <w:r w:rsidRPr="00056D7A">
              <w:rPr>
                <w:rFonts w:ascii="Dubai" w:hAnsi="Dubai" w:cs="Dubai"/>
                <w:color w:val="000000"/>
                <w:sz w:val="22"/>
                <w:szCs w:val="22"/>
                <w:rtl/>
              </w:rPr>
              <w:t xml:space="preserve">المتطلبات التقنية والسطوح البينية والوظائف العامة لسجل هوية المعدات المركزي </w:t>
            </w:r>
            <w:r w:rsidRPr="00056D7A">
              <w:rPr>
                <w:rFonts w:ascii="Dubai" w:hAnsi="Dubai" w:cs="Dubai"/>
                <w:color w:val="000000"/>
                <w:sz w:val="22"/>
                <w:szCs w:val="22"/>
              </w:rPr>
              <w:t>(CEIR)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EB26732" w14:textId="77777777" w:rsidR="0020142B" w:rsidRPr="00056D7A" w:rsidRDefault="0020142B" w:rsidP="001119A4">
            <w:pPr>
              <w:keepNext/>
              <w:keepLines/>
              <w:spacing w:before="80" w:after="80" w:line="24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color w:val="000000"/>
                <w:rtl/>
              </w:rPr>
              <w:t>تمت الموافقة عليها</w:t>
            </w:r>
          </w:p>
        </w:tc>
      </w:tr>
      <w:tr w:rsidR="0020142B" w:rsidRPr="00056D7A" w14:paraId="5D5BC289" w14:textId="77777777" w:rsidTr="001119A4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76F751A" w14:textId="77777777" w:rsidR="0020142B" w:rsidRPr="00056D7A" w:rsidRDefault="0020142B" w:rsidP="001119A4">
            <w:pPr>
              <w:spacing w:before="80" w:after="80" w:line="240" w:lineRule="exact"/>
              <w:textDirection w:val="tbRlV"/>
              <w:rPr>
                <w:lang w:val="ar-SA" w:eastAsia="zh-TW" w:bidi="en-GB"/>
              </w:rPr>
            </w:pPr>
            <w:r w:rsidRPr="00877A7A">
              <w:lastRenderedPageBreak/>
              <w:t>ITU-T Q.5010</w:t>
            </w:r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9EC296E" w14:textId="77777777" w:rsidR="0020142B" w:rsidRPr="00056D7A" w:rsidRDefault="0020142B" w:rsidP="001119A4">
            <w:pPr>
              <w:pStyle w:val="Tabletext"/>
              <w:keepNext/>
              <w:keepLines/>
              <w:bidi/>
              <w:spacing w:before="80" w:after="80" w:line="240" w:lineRule="exact"/>
              <w:jc w:val="center"/>
              <w:textDirection w:val="tbRlV"/>
              <w:rPr>
                <w:rFonts w:ascii="Dubai" w:hAnsi="Dubai" w:cs="Dubai"/>
                <w:sz w:val="22"/>
                <w:szCs w:val="22"/>
                <w:lang w:val="ar-SA" w:eastAsia="zh-TW" w:bidi="en-GB"/>
              </w:rPr>
            </w:pPr>
            <w:r w:rsidRPr="00056D7A">
              <w:rPr>
                <w:rFonts w:ascii="Dubai" w:hAnsi="Dubai" w:cs="Dubai"/>
                <w:color w:val="000000"/>
                <w:sz w:val="22"/>
                <w:szCs w:val="22"/>
                <w:rtl/>
              </w:rPr>
              <w:t>متطلبات ومعمارية التشوير لبيئة خدمة التنقل الجوي في المناطق الحضرية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3FE49A3" w14:textId="72523F64" w:rsidR="0020142B" w:rsidRPr="00056D7A" w:rsidRDefault="0020142B" w:rsidP="00AC71BA">
            <w:pPr>
              <w:keepNext/>
              <w:keepLines/>
              <w:spacing w:before="80" w:after="80" w:line="260" w:lineRule="exact"/>
              <w:jc w:val="center"/>
              <w:textDirection w:val="tbRlV"/>
              <w:rPr>
                <w:lang w:val="ar-SA" w:eastAsia="zh-TW" w:bidi="en-GB"/>
              </w:rPr>
            </w:pPr>
            <w:r w:rsidRPr="00056D7A">
              <w:rPr>
                <w:color w:val="000000"/>
                <w:rtl/>
              </w:rPr>
              <w:t>تحويل مشروع التوصية ITU-T Q.5010 (Q.UAMS-SRA سابقا</w:t>
            </w:r>
            <w:r>
              <w:rPr>
                <w:rFonts w:hint="cs"/>
                <w:color w:val="000000"/>
                <w:rtl/>
              </w:rPr>
              <w:t>ً</w:t>
            </w:r>
            <w:r w:rsidRPr="00056D7A">
              <w:rPr>
                <w:color w:val="000000"/>
                <w:rtl/>
              </w:rPr>
              <w:t xml:space="preserve">) إلى تقرير تقني </w:t>
            </w:r>
            <w:r w:rsidRPr="00877A7A">
              <w:t>(</w:t>
            </w:r>
            <w:hyperlink r:id="rId17" w:history="1">
              <w:r w:rsidRPr="00877A7A">
                <w:rPr>
                  <w:rStyle w:val="Hyperlink"/>
                </w:rPr>
                <w:t>QSTR.UAMS-SRA</w:t>
              </w:r>
            </w:hyperlink>
            <w:r w:rsidRPr="00877A7A">
              <w:t>)</w:t>
            </w:r>
            <w:hyperlink r:id="rId18" w:history="1"/>
          </w:p>
        </w:tc>
      </w:tr>
    </w:tbl>
    <w:p w14:paraId="2442F72F" w14:textId="77777777" w:rsidR="0020142B" w:rsidRPr="00056D7A" w:rsidRDefault="0020142B" w:rsidP="00AC71BA">
      <w:pPr>
        <w:spacing w:before="240"/>
        <w:textDirection w:val="tbRlV"/>
        <w:rPr>
          <w:lang w:val="ar-SA" w:eastAsia="zh-TW" w:bidi="en-GB"/>
        </w:rPr>
      </w:pPr>
      <w:r w:rsidRPr="00056D7A">
        <w:rPr>
          <w:rtl/>
        </w:rPr>
        <w:t>2</w:t>
      </w:r>
      <w:r w:rsidRPr="00056D7A">
        <w:rPr>
          <w:rtl/>
        </w:rPr>
        <w:tab/>
        <w:t xml:space="preserve">ويمكن الاطلاع على المعلومات المتاحة بشأن براءات الاختراع بالرجوع إلى </w:t>
      </w:r>
      <w:hyperlink r:id="rId19" w:history="1">
        <w:r w:rsidRPr="009157DF">
          <w:rPr>
            <w:rStyle w:val="Hyperlink"/>
            <w:rtl/>
          </w:rPr>
          <w:t>الموقع الإلكتروني لقطاع تقييس الاتصالات</w:t>
        </w:r>
      </w:hyperlink>
      <w:r w:rsidRPr="00056D7A">
        <w:rPr>
          <w:rtl/>
        </w:rPr>
        <w:t>.</w:t>
      </w:r>
      <w:hyperlink r:id="rId20" w:history="1"/>
    </w:p>
    <w:p w14:paraId="381191C1" w14:textId="103E2E28" w:rsidR="0020142B" w:rsidRPr="00056D7A" w:rsidRDefault="0020142B" w:rsidP="00AC71BA">
      <w:pPr>
        <w:textDirection w:val="tbRlV"/>
        <w:rPr>
          <w:lang w:val="ar-SA" w:eastAsia="zh-TW" w:bidi="en-GB"/>
        </w:rPr>
      </w:pPr>
      <w:r w:rsidRPr="00056D7A">
        <w:rPr>
          <w:rtl/>
        </w:rPr>
        <w:t>3</w:t>
      </w:r>
      <w:r w:rsidRPr="00056D7A">
        <w:rPr>
          <w:rtl/>
        </w:rPr>
        <w:tab/>
        <w:t>وستتاح نصوص التوصيات</w:t>
      </w:r>
      <w:r w:rsidR="00AC71BA">
        <w:rPr>
          <w:rFonts w:hint="cs"/>
          <w:rtl/>
          <w:lang w:bidi="ar-EG"/>
        </w:rPr>
        <w:t xml:space="preserve"> </w:t>
      </w:r>
      <w:r w:rsidR="00AC71BA" w:rsidRPr="00AC71BA">
        <w:rPr>
          <w:lang w:val="en-GB" w:bidi="ar-EG"/>
        </w:rPr>
        <w:t>ITU-T Q.5015</w:t>
      </w:r>
      <w:r w:rsidR="00AC71BA">
        <w:rPr>
          <w:rFonts w:hint="cs"/>
          <w:rtl/>
          <w:lang w:val="en-GB" w:bidi="ar-EG"/>
        </w:rPr>
        <w:t xml:space="preserve"> و</w:t>
      </w:r>
      <w:r w:rsidR="00AC71BA" w:rsidRPr="00AC71BA">
        <w:rPr>
          <w:lang w:val="en-GB" w:bidi="ar-EG"/>
        </w:rPr>
        <w:t>ITU-T Q.5036</w:t>
      </w:r>
      <w:r w:rsidR="00AC71BA">
        <w:rPr>
          <w:rFonts w:hint="cs"/>
          <w:rtl/>
          <w:lang w:val="en-GB" w:bidi="ar-EG"/>
        </w:rPr>
        <w:t xml:space="preserve"> و</w:t>
      </w:r>
      <w:r w:rsidR="00AC71BA" w:rsidRPr="00AC71BA">
        <w:rPr>
          <w:lang w:val="en-GB" w:bidi="ar-EG"/>
        </w:rPr>
        <w:t>ITU-T Q.5055</w:t>
      </w:r>
      <w:r w:rsidR="00AC71BA">
        <w:rPr>
          <w:rFonts w:hint="cs"/>
          <w:rtl/>
          <w:lang w:val="en-GB" w:bidi="ar-EG"/>
        </w:rPr>
        <w:t xml:space="preserve"> </w:t>
      </w:r>
      <w:r w:rsidRPr="00056D7A">
        <w:rPr>
          <w:rtl/>
        </w:rPr>
        <w:t>في صيغتها السابقة للنشر في الموقع الإلكتروني لقطاع تقييس الاتصالات في العنوان</w:t>
      </w:r>
      <w:r>
        <w:rPr>
          <w:rFonts w:hint="cs"/>
          <w:rtl/>
        </w:rPr>
        <w:t>:</w:t>
      </w:r>
      <w:r w:rsidR="00AC71BA">
        <w:rPr>
          <w:rFonts w:hint="cs"/>
          <w:rtl/>
        </w:rPr>
        <w:t xml:space="preserve"> </w:t>
      </w:r>
      <w:r>
        <w:t>.</w:t>
      </w:r>
      <w:hyperlink r:id="rId21" w:history="1">
        <w:r w:rsidRPr="00A943B8">
          <w:rPr>
            <w:rStyle w:val="Hyperlink"/>
          </w:rPr>
          <w:t>https://www.itu.int/itu-t/recommendations/</w:t>
        </w:r>
      </w:hyperlink>
      <w:hyperlink r:id="rId22" w:history="1"/>
    </w:p>
    <w:p w14:paraId="15115E20" w14:textId="47838AC1" w:rsidR="0020142B" w:rsidRDefault="0020142B" w:rsidP="00AC71BA">
      <w:pPr>
        <w:rPr>
          <w:rtl/>
        </w:rPr>
      </w:pPr>
      <w:r w:rsidRPr="00056D7A">
        <w:rPr>
          <w:rtl/>
        </w:rPr>
        <w:t>4</w:t>
      </w:r>
      <w:r w:rsidRPr="00056D7A">
        <w:rPr>
          <w:rtl/>
        </w:rPr>
        <w:tab/>
        <w:t>وسوف ينشر الاتحاد نصوص التوصيات</w:t>
      </w:r>
      <w:r w:rsidR="00AC71BA">
        <w:rPr>
          <w:rFonts w:hint="cs"/>
          <w:rtl/>
        </w:rPr>
        <w:t xml:space="preserve"> </w:t>
      </w:r>
      <w:r w:rsidR="00AC71BA" w:rsidRPr="00AC71BA">
        <w:rPr>
          <w:lang w:val="en-GB"/>
        </w:rPr>
        <w:t>ITU-T Q.5015</w:t>
      </w:r>
      <w:r w:rsidR="00AC71BA" w:rsidRPr="00AC71BA">
        <w:rPr>
          <w:rFonts w:hint="cs"/>
          <w:rtl/>
          <w:lang w:bidi="ar-EG"/>
        </w:rPr>
        <w:t xml:space="preserve"> و</w:t>
      </w:r>
      <w:r w:rsidR="00AC71BA" w:rsidRPr="00AC71BA">
        <w:rPr>
          <w:lang w:val="en-GB"/>
        </w:rPr>
        <w:t>ITU-T Q.5036</w:t>
      </w:r>
      <w:r w:rsidR="00AC71BA" w:rsidRPr="00AC71BA">
        <w:rPr>
          <w:rFonts w:hint="cs"/>
          <w:rtl/>
          <w:lang w:bidi="ar-EG"/>
        </w:rPr>
        <w:t xml:space="preserve"> و</w:t>
      </w:r>
      <w:r w:rsidR="00AC71BA" w:rsidRPr="00AC71BA">
        <w:rPr>
          <w:lang w:val="en-GB"/>
        </w:rPr>
        <w:t>ITU-T Q.5055</w:t>
      </w:r>
      <w:r w:rsidRPr="00056D7A">
        <w:rPr>
          <w:rtl/>
        </w:rPr>
        <w:t xml:space="preserve"> الموافَق عليها في أقرب وقت ممكن</w:t>
      </w:r>
      <w:r>
        <w:rPr>
          <w:rFonts w:hint="cs"/>
          <w:rtl/>
        </w:rPr>
        <w:t>.</w:t>
      </w:r>
    </w:p>
    <w:p w14:paraId="3F88A2C1" w14:textId="59EC42CA" w:rsidR="00E84438" w:rsidRPr="00D517B2" w:rsidRDefault="005029F8" w:rsidP="00891703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605BF726" wp14:editId="542A3F70">
            <wp:simplePos x="0" y="0"/>
            <wp:positionH relativeFrom="column">
              <wp:posOffset>5309235</wp:posOffset>
            </wp:positionH>
            <wp:positionV relativeFrom="paragraph">
              <wp:posOffset>304800</wp:posOffset>
            </wp:positionV>
            <wp:extent cx="768389" cy="368319"/>
            <wp:effectExtent l="0" t="0" r="0" b="0"/>
            <wp:wrapNone/>
            <wp:docPr id="2034832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32076" name="Picture 203483207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D517B2">
        <w:rPr>
          <w:rFonts w:hint="cs"/>
          <w:rtl/>
          <w:lang w:bidi="ar-EG"/>
        </w:rPr>
        <w:t>وتفضلوا بقبول فائق التقدير والاحترام.</w:t>
      </w:r>
    </w:p>
    <w:p w14:paraId="4C40C807" w14:textId="6B5FEBF7" w:rsidR="00E84438" w:rsidRPr="00D517B2" w:rsidRDefault="00807031" w:rsidP="00BB0BAC">
      <w:pPr>
        <w:spacing w:before="720"/>
        <w:jc w:val="left"/>
        <w:rPr>
          <w:rtl/>
        </w:rPr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24"/>
      <w:footerReference w:type="first" r:id="rId2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45A9" w14:textId="77777777" w:rsidR="00D425E4" w:rsidRDefault="00D425E4" w:rsidP="006C3242">
      <w:pPr>
        <w:spacing w:before="0" w:line="240" w:lineRule="auto"/>
      </w:pPr>
      <w:r>
        <w:separator/>
      </w:r>
    </w:p>
  </w:endnote>
  <w:endnote w:type="continuationSeparator" w:id="0">
    <w:p w14:paraId="7585F0F0" w14:textId="77777777" w:rsidR="00D425E4" w:rsidRDefault="00D425E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4560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87F9" w14:textId="77777777" w:rsidR="00D425E4" w:rsidRDefault="00D425E4" w:rsidP="006C3242">
      <w:pPr>
        <w:spacing w:before="0" w:line="240" w:lineRule="auto"/>
      </w:pPr>
      <w:r>
        <w:separator/>
      </w:r>
    </w:p>
  </w:footnote>
  <w:footnote w:type="continuationSeparator" w:id="0">
    <w:p w14:paraId="2728A0C2" w14:textId="77777777" w:rsidR="00D425E4" w:rsidRDefault="00D425E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4742" w14:textId="63C69A60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20142B">
      <w:rPr>
        <w:sz w:val="20"/>
        <w:szCs w:val="20"/>
        <w:lang w:bidi="ar-EG"/>
      </w:rPr>
      <w:t>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5210581">
    <w:abstractNumId w:val="9"/>
  </w:num>
  <w:num w:numId="2" w16cid:durableId="484393025">
    <w:abstractNumId w:val="7"/>
  </w:num>
  <w:num w:numId="3" w16cid:durableId="594169722">
    <w:abstractNumId w:val="6"/>
  </w:num>
  <w:num w:numId="4" w16cid:durableId="223570059">
    <w:abstractNumId w:val="5"/>
  </w:num>
  <w:num w:numId="5" w16cid:durableId="442307597">
    <w:abstractNumId w:val="4"/>
  </w:num>
  <w:num w:numId="6" w16cid:durableId="1239942007">
    <w:abstractNumId w:val="8"/>
  </w:num>
  <w:num w:numId="7" w16cid:durableId="1622957661">
    <w:abstractNumId w:val="3"/>
  </w:num>
  <w:num w:numId="8" w16cid:durableId="299699376">
    <w:abstractNumId w:val="2"/>
  </w:num>
  <w:num w:numId="9" w16cid:durableId="1603219034">
    <w:abstractNumId w:val="1"/>
  </w:num>
  <w:num w:numId="10" w16cid:durableId="2040423159">
    <w:abstractNumId w:val="0"/>
  </w:num>
  <w:num w:numId="11" w16cid:durableId="1166048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FE"/>
    <w:rsid w:val="00002A63"/>
    <w:rsid w:val="0006468A"/>
    <w:rsid w:val="00090574"/>
    <w:rsid w:val="000C1C0E"/>
    <w:rsid w:val="000C548A"/>
    <w:rsid w:val="000E327F"/>
    <w:rsid w:val="000E5903"/>
    <w:rsid w:val="00146FE2"/>
    <w:rsid w:val="001609FE"/>
    <w:rsid w:val="001C0169"/>
    <w:rsid w:val="001D1D50"/>
    <w:rsid w:val="001D6680"/>
    <w:rsid w:val="001D6745"/>
    <w:rsid w:val="001E2788"/>
    <w:rsid w:val="001E446E"/>
    <w:rsid w:val="001F4353"/>
    <w:rsid w:val="0020142B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63D62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029F8"/>
    <w:rsid w:val="00525DDD"/>
    <w:rsid w:val="005409AC"/>
    <w:rsid w:val="0055516A"/>
    <w:rsid w:val="005731DD"/>
    <w:rsid w:val="0058491B"/>
    <w:rsid w:val="00591247"/>
    <w:rsid w:val="00592EA5"/>
    <w:rsid w:val="00595B52"/>
    <w:rsid w:val="00596808"/>
    <w:rsid w:val="005A3170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707D7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4223C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C71BA"/>
    <w:rsid w:val="00AF6B5C"/>
    <w:rsid w:val="00B03099"/>
    <w:rsid w:val="00B05BC8"/>
    <w:rsid w:val="00B64B47"/>
    <w:rsid w:val="00B916A7"/>
    <w:rsid w:val="00BB0BAC"/>
    <w:rsid w:val="00BB0F08"/>
    <w:rsid w:val="00C002DE"/>
    <w:rsid w:val="00C53BF8"/>
    <w:rsid w:val="00C66157"/>
    <w:rsid w:val="00C674FE"/>
    <w:rsid w:val="00C67501"/>
    <w:rsid w:val="00C75633"/>
    <w:rsid w:val="00C94A4F"/>
    <w:rsid w:val="00CE1C08"/>
    <w:rsid w:val="00CE2EE1"/>
    <w:rsid w:val="00CE3349"/>
    <w:rsid w:val="00CE36E5"/>
    <w:rsid w:val="00CF27F5"/>
    <w:rsid w:val="00CF3FFD"/>
    <w:rsid w:val="00D10CCF"/>
    <w:rsid w:val="00D22846"/>
    <w:rsid w:val="00D425E4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971A2"/>
  <w15:chartTrackingRefBased/>
  <w15:docId w15:val="{699CA385-46C2-4155-A048-4CD4AA58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text">
    <w:name w:val="Table_text"/>
    <w:basedOn w:val="Normal"/>
    <w:link w:val="TabletextChar"/>
    <w:qFormat/>
    <w:rsid w:val="0020142B"/>
    <w:pPr>
      <w:tabs>
        <w:tab w:val="left" w:pos="284"/>
        <w:tab w:val="left" w:pos="567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character" w:customStyle="1" w:styleId="TabletextChar">
    <w:name w:val="Table_text Char"/>
    <w:link w:val="Tabletext"/>
    <w:qFormat/>
    <w:locked/>
    <w:rsid w:val="0020142B"/>
    <w:rPr>
      <w:rFonts w:ascii="Times New Roman" w:eastAsia="Times New Roman" w:hAnsi="CG Times" w:cs="Simplified Arabic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TSB-CIR-0095/en" TargetMode="External"/><Relationship Id="rId18" Type="http://schemas.openxmlformats.org/officeDocument/2006/relationships/hyperlink" Target="https://www.itu.int/myworkspace/t-wp/item?isn=20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itu-t/recommendati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94/en" TargetMode="External"/><Relationship Id="rId17" Type="http://schemas.openxmlformats.org/officeDocument/2006/relationships/hyperlink" Target="https://www.itu.int/myworkspace/t-wp/item?isn=2092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yworkspace/t-wp/item?isn=20956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95/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yworkspace/t-wp/item?isn=20929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itu.int/md/T25-TSB-CIR-0094/en" TargetMode="External"/><Relationship Id="rId19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myworkspace/t-wp/item?isn=20895" TargetMode="External"/><Relationship Id="rId22" Type="http://schemas.openxmlformats.org/officeDocument/2006/relationships/hyperlink" Target="https://www.itu.int/itu-t/recommendations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158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Braud, Olivia</cp:lastModifiedBy>
  <cp:revision>5</cp:revision>
  <cp:lastPrinted>2026-04-13T13:46:00Z</cp:lastPrinted>
  <dcterms:created xsi:type="dcterms:W3CDTF">2026-04-08T09:18:00Z</dcterms:created>
  <dcterms:modified xsi:type="dcterms:W3CDTF">2026-04-13T13:47:00Z</dcterms:modified>
</cp:coreProperties>
</file>