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18E405E9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196009F8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D5604D9" wp14:editId="5804B3B9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146B383A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7058C755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7D455549" w14:textId="77777777" w:rsidTr="00303D62">
        <w:trPr>
          <w:cantSplit/>
          <w:trHeight w:val="340"/>
        </w:trPr>
        <w:tc>
          <w:tcPr>
            <w:tcW w:w="993" w:type="dxa"/>
          </w:tcPr>
          <w:p w14:paraId="7EC38333" w14:textId="77777777" w:rsidR="007B6316" w:rsidRP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</w:rPr>
            </w:pPr>
          </w:p>
        </w:tc>
        <w:tc>
          <w:tcPr>
            <w:tcW w:w="3884" w:type="dxa"/>
            <w:gridSpan w:val="2"/>
          </w:tcPr>
          <w:p w14:paraId="2D8D2747" w14:textId="77777777" w:rsidR="007B6316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</w:p>
        </w:tc>
        <w:tc>
          <w:tcPr>
            <w:tcW w:w="5329" w:type="dxa"/>
          </w:tcPr>
          <w:p w14:paraId="1B288A10" w14:textId="17F45AE7" w:rsidR="007B6316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</w:pPr>
            <w:r w:rsidRPr="00081FE5">
              <w:rPr>
                <w:szCs w:val="24"/>
              </w:rPr>
              <w:t>Ginebra,</w:t>
            </w:r>
            <w:r w:rsidR="00626F69">
              <w:rPr>
                <w:szCs w:val="24"/>
              </w:rPr>
              <w:t xml:space="preserve"> 31 de marzo de 2026</w:t>
            </w:r>
          </w:p>
        </w:tc>
      </w:tr>
      <w:tr w:rsidR="001350B9" w14:paraId="52316140" w14:textId="77777777" w:rsidTr="00303D62">
        <w:trPr>
          <w:cantSplit/>
          <w:trHeight w:val="340"/>
        </w:trPr>
        <w:tc>
          <w:tcPr>
            <w:tcW w:w="993" w:type="dxa"/>
          </w:tcPr>
          <w:p w14:paraId="67E5CAAD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Ref.:</w:t>
            </w:r>
          </w:p>
          <w:p w14:paraId="759D441C" w14:textId="77777777" w:rsidR="001350B9" w:rsidRPr="001350B9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</w:p>
        </w:tc>
        <w:tc>
          <w:tcPr>
            <w:tcW w:w="3884" w:type="dxa"/>
            <w:gridSpan w:val="2"/>
          </w:tcPr>
          <w:p w14:paraId="6A33313F" w14:textId="6F34AA8B" w:rsidR="001350B9" w:rsidRPr="00626F69" w:rsidRDefault="001350B9" w:rsidP="00626F69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 xml:space="preserve">Circular TSB </w:t>
            </w:r>
            <w:r w:rsidR="00626F69">
              <w:rPr>
                <w:b/>
              </w:rPr>
              <w:t>123</w:t>
            </w:r>
            <w:r w:rsidR="00626F69">
              <w:rPr>
                <w:b/>
              </w:rPr>
              <w:br/>
            </w:r>
            <w:r w:rsidR="00626F69" w:rsidRPr="00626F69">
              <w:t>SG2/MCB</w:t>
            </w:r>
          </w:p>
        </w:tc>
        <w:tc>
          <w:tcPr>
            <w:tcW w:w="5329" w:type="dxa"/>
            <w:vMerge w:val="restart"/>
          </w:tcPr>
          <w:p w14:paraId="0704FD57" w14:textId="7C72FFE3" w:rsidR="00E34D83" w:rsidRPr="00E34D83" w:rsidRDefault="00E34D83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</w:rPr>
            </w:pPr>
            <w:bookmarkStart w:id="0" w:name="Addressee_S"/>
            <w:bookmarkEnd w:id="0"/>
            <w:r>
              <w:rPr>
                <w:b/>
                <w:bCs/>
              </w:rPr>
              <w:t>A:</w:t>
            </w:r>
          </w:p>
          <w:p w14:paraId="48F53F70" w14:textId="64F430E7" w:rsidR="001350B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</w:r>
            <w:r w:rsidR="00E34D83" w:rsidRPr="00E34D83">
              <w:t>Administraciones de los Estados Miembros de la Unión;</w:t>
            </w:r>
          </w:p>
          <w:p w14:paraId="6D0BA33C" w14:textId="2DA9C4EB" w:rsidR="00E34D83" w:rsidRDefault="00E34D83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E34D83">
              <w:t>-</w:t>
            </w:r>
            <w:r w:rsidRPr="00E34D83">
              <w:tab/>
              <w:t>Estado de Palestina (Res. 99 (Rev. Dubái, 2018))</w:t>
            </w:r>
          </w:p>
          <w:p w14:paraId="038F87B4" w14:textId="10102D71" w:rsidR="001350B9" w:rsidRPr="00E34D83" w:rsidRDefault="00E34D83" w:rsidP="00303D62">
            <w:pPr>
              <w:tabs>
                <w:tab w:val="left" w:pos="4111"/>
              </w:tabs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Copia a:</w:t>
            </w:r>
          </w:p>
          <w:p w14:paraId="2E56B152" w14:textId="77777777" w:rsidR="00E34D83" w:rsidRDefault="00E34D83" w:rsidP="00E34D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Miembros de Sector del UIT-T;</w:t>
            </w:r>
          </w:p>
          <w:p w14:paraId="4EDD5906" w14:textId="77777777" w:rsidR="00E34D83" w:rsidRDefault="00E34D83" w:rsidP="00E34D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 xml:space="preserve">Asociados de la Comisión de Estudio 2 del UIT-T; </w:t>
            </w:r>
          </w:p>
          <w:p w14:paraId="1CAD2AE6" w14:textId="77777777" w:rsidR="00E34D83" w:rsidRDefault="00E34D83" w:rsidP="00E34D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Instituciones Académicas de la UIT;</w:t>
            </w:r>
          </w:p>
          <w:p w14:paraId="3A538CBA" w14:textId="77777777" w:rsidR="00E34D83" w:rsidRDefault="00E34D83" w:rsidP="00E34D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Presidente y Vicepresidentes de la Comisión de Estudio 2 del UIT-T;</w:t>
            </w:r>
          </w:p>
          <w:p w14:paraId="324A86E0" w14:textId="77777777" w:rsidR="00E34D83" w:rsidRDefault="00E34D83" w:rsidP="00E34D83">
            <w:pPr>
              <w:tabs>
                <w:tab w:val="clear" w:pos="794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Director de la Oficina de Desarrollo de las Telecomunicaciones;</w:t>
            </w:r>
          </w:p>
          <w:p w14:paraId="702507E7" w14:textId="77777777" w:rsidR="00E34D83" w:rsidRDefault="00E34D83" w:rsidP="00E34D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Director de la Oficina de Radiocomunicaciones;</w:t>
            </w:r>
          </w:p>
          <w:p w14:paraId="57AD2287" w14:textId="77777777" w:rsidR="00E34D83" w:rsidRDefault="00E34D83" w:rsidP="00E34D83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18" w:hanging="218"/>
            </w:pPr>
            <w:r>
              <w:t>-</w:t>
            </w:r>
            <w:r>
              <w:tab/>
              <w:t>Comisión de Arquitectura de Internet c/o IETF;</w:t>
            </w:r>
          </w:p>
          <w:p w14:paraId="05D186EA" w14:textId="28126764" w:rsidR="001350B9" w:rsidRDefault="00E34D83" w:rsidP="00E34D83">
            <w:pPr>
              <w:tabs>
                <w:tab w:val="left" w:pos="226"/>
                <w:tab w:val="left" w:pos="510"/>
              </w:tabs>
              <w:spacing w:before="0"/>
              <w:ind w:left="218" w:hanging="218"/>
            </w:pPr>
            <w:r>
              <w:t>-</w:t>
            </w:r>
            <w:r>
              <w:tab/>
              <w:t>RIPE NCC</w:t>
            </w:r>
          </w:p>
        </w:tc>
      </w:tr>
      <w:tr w:rsidR="001350B9" w14:paraId="58C12B10" w14:textId="77777777" w:rsidTr="00303D62">
        <w:trPr>
          <w:cantSplit/>
        </w:trPr>
        <w:tc>
          <w:tcPr>
            <w:tcW w:w="993" w:type="dxa"/>
          </w:tcPr>
          <w:p w14:paraId="4B6CAE77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236DD962" w14:textId="2644EF59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</w:t>
            </w:r>
            <w:r w:rsidR="00626F69">
              <w:t xml:space="preserve"> 5901</w:t>
            </w:r>
          </w:p>
        </w:tc>
        <w:tc>
          <w:tcPr>
            <w:tcW w:w="5329" w:type="dxa"/>
            <w:vMerge/>
          </w:tcPr>
          <w:p w14:paraId="48394963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4561EEE8" w14:textId="77777777" w:rsidTr="00303D62">
        <w:trPr>
          <w:cantSplit/>
        </w:trPr>
        <w:tc>
          <w:tcPr>
            <w:tcW w:w="993" w:type="dxa"/>
          </w:tcPr>
          <w:p w14:paraId="059DE553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157352D5" w14:textId="77777777" w:rsidR="001350B9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</w:rPr>
            </w:pPr>
            <w:r>
              <w:t>+41 22 730 5853</w:t>
            </w:r>
          </w:p>
        </w:tc>
        <w:tc>
          <w:tcPr>
            <w:tcW w:w="5329" w:type="dxa"/>
            <w:vMerge/>
          </w:tcPr>
          <w:p w14:paraId="043D7945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328C1843" w14:textId="77777777" w:rsidTr="00303D62">
        <w:trPr>
          <w:cantSplit/>
        </w:trPr>
        <w:tc>
          <w:tcPr>
            <w:tcW w:w="993" w:type="dxa"/>
          </w:tcPr>
          <w:p w14:paraId="591725E1" w14:textId="77777777" w:rsidR="001350B9" w:rsidRPr="001350B9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6814FC48" w14:textId="77777777" w:rsidR="001350B9" w:rsidRDefault="000E2CAE" w:rsidP="00303D62">
            <w:pPr>
              <w:tabs>
                <w:tab w:val="left" w:pos="4111"/>
              </w:tabs>
              <w:spacing w:before="0"/>
              <w:ind w:left="57"/>
            </w:pPr>
            <w:hyperlink r:id="rId9" w:history="1">
              <w:r w:rsidR="001350B9" w:rsidRPr="00831546">
                <w:rPr>
                  <w:rStyle w:val="Hyperlink"/>
                </w:rPr>
                <w:t>tsbsg..@itu.int</w:t>
              </w:r>
            </w:hyperlink>
            <w:r w:rsidR="001350B9">
              <w:t xml:space="preserve"> </w:t>
            </w:r>
          </w:p>
        </w:tc>
        <w:tc>
          <w:tcPr>
            <w:tcW w:w="5329" w:type="dxa"/>
            <w:vMerge/>
          </w:tcPr>
          <w:p w14:paraId="081F444E" w14:textId="77777777" w:rsidR="001350B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7B6316" w14:paraId="7066DC7B" w14:textId="77777777" w:rsidTr="00DA30ED">
        <w:trPr>
          <w:cantSplit/>
        </w:trPr>
        <w:tc>
          <w:tcPr>
            <w:tcW w:w="993" w:type="dxa"/>
          </w:tcPr>
          <w:p w14:paraId="4C0D7BB9" w14:textId="77777777" w:rsidR="007B6316" w:rsidRPr="001350B9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350B9">
              <w:rPr>
                <w:sz w:val="22"/>
              </w:rPr>
              <w:t>Asunto:</w:t>
            </w:r>
          </w:p>
        </w:tc>
        <w:tc>
          <w:tcPr>
            <w:tcW w:w="9213" w:type="dxa"/>
            <w:gridSpan w:val="3"/>
          </w:tcPr>
          <w:p w14:paraId="3C505202" w14:textId="029465EA" w:rsidR="007B6316" w:rsidRDefault="00626F69" w:rsidP="00303D62">
            <w:pPr>
              <w:tabs>
                <w:tab w:val="left" w:pos="4111"/>
              </w:tabs>
              <w:spacing w:before="0"/>
              <w:rPr>
                <w:b/>
              </w:rPr>
            </w:pPr>
            <w:r w:rsidRPr="00626F69">
              <w:rPr>
                <w:b/>
              </w:rPr>
              <w:t>Consulta a los Estados Miembros sobre la clausura de la delegación de indicativos de país E.164 en el sistema de nombres de dominio en e164.arpa</w:t>
            </w:r>
          </w:p>
        </w:tc>
      </w:tr>
    </w:tbl>
    <w:p w14:paraId="35255F02" w14:textId="32821001" w:rsidR="00C34772" w:rsidRDefault="00C34772" w:rsidP="00E34D83">
      <w:pPr>
        <w:pStyle w:val="Normalaftertitle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mía/Muy Señor mío:</w:t>
      </w:r>
    </w:p>
    <w:p w14:paraId="3F521A37" w14:textId="204ED676" w:rsidR="00E34D83" w:rsidRPr="00A547DF" w:rsidRDefault="00E34D83" w:rsidP="00E34D83">
      <w:pPr>
        <w:rPr>
          <w:sz w:val="22"/>
          <w:szCs w:val="22"/>
          <w:lang w:val="es-ES"/>
        </w:rPr>
      </w:pPr>
      <w:r w:rsidRPr="00A547DF">
        <w:rPr>
          <w:sz w:val="22"/>
          <w:szCs w:val="22"/>
          <w:lang w:val="es-ES"/>
        </w:rPr>
        <w:t>1</w:t>
      </w:r>
      <w:r w:rsidRPr="00A547DF">
        <w:rPr>
          <w:sz w:val="22"/>
          <w:szCs w:val="22"/>
          <w:lang w:val="es-ES"/>
        </w:rPr>
        <w:tab/>
        <w:t>En 2002 el Sector de Normalización de las Telecomunicaciones (UIT-T) de la Unión Internacional de Tel</w:t>
      </w:r>
      <w:r w:rsidR="000E2CAE">
        <w:rPr>
          <w:sz w:val="22"/>
          <w:szCs w:val="22"/>
          <w:lang w:val="es-ES"/>
        </w:rPr>
        <w:t>e</w:t>
      </w:r>
      <w:r w:rsidRPr="00A547DF">
        <w:rPr>
          <w:sz w:val="22"/>
          <w:szCs w:val="22"/>
          <w:lang w:val="es-ES"/>
        </w:rPr>
        <w:t>comunicaciones y el Centro de Coordinación de Redes Réseaux IP Européens (RIPE NCC) establ</w:t>
      </w:r>
      <w:r>
        <w:rPr>
          <w:sz w:val="22"/>
          <w:szCs w:val="22"/>
          <w:lang w:val="es-ES"/>
        </w:rPr>
        <w:t>ecieron un procedimiento conjunto para desplegar</w:t>
      </w:r>
      <w:r w:rsidRPr="00A547DF">
        <w:rPr>
          <w:sz w:val="22"/>
          <w:szCs w:val="22"/>
          <w:lang w:val="es-ES"/>
        </w:rPr>
        <w:t xml:space="preserve"> ENUM –</w:t>
      </w:r>
      <w:r w:rsidR="002A1CE7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sistema que permite la delegación de indicativos de país</w:t>
      </w:r>
      <w:r w:rsidRPr="00A547DF">
        <w:rPr>
          <w:sz w:val="22"/>
          <w:szCs w:val="22"/>
          <w:lang w:val="es-ES"/>
        </w:rPr>
        <w:t xml:space="preserve"> E.164 </w:t>
      </w:r>
      <w:r>
        <w:rPr>
          <w:sz w:val="22"/>
          <w:szCs w:val="22"/>
          <w:lang w:val="es-ES"/>
        </w:rPr>
        <w:t>dentro del sistema de nombres de dominio</w:t>
      </w:r>
      <w:r w:rsidRPr="00A547DF">
        <w:rPr>
          <w:sz w:val="22"/>
          <w:szCs w:val="22"/>
          <w:lang w:val="es-ES"/>
        </w:rPr>
        <w:t xml:space="preserve"> (DNS) </w:t>
      </w:r>
      <w:r>
        <w:rPr>
          <w:sz w:val="22"/>
          <w:szCs w:val="22"/>
          <w:lang w:val="es-ES"/>
        </w:rPr>
        <w:t xml:space="preserve">bajo la autoridad de los Estados Miembros de la UIT. </w:t>
      </w:r>
      <w:r w:rsidRPr="00A547DF">
        <w:rPr>
          <w:sz w:val="22"/>
          <w:szCs w:val="22"/>
          <w:lang w:val="es-ES"/>
        </w:rPr>
        <w:t>El procedimiento fue definido conjuntamente por RIPE NCC y la Comisión de</w:t>
      </w:r>
      <w:r>
        <w:rPr>
          <w:sz w:val="22"/>
          <w:szCs w:val="22"/>
          <w:lang w:val="es-ES"/>
        </w:rPr>
        <w:t xml:space="preserve"> Estudio 2 del UIT-T, siendo el primero responsable del funcionamiento de la zona ápex del sistema</w:t>
      </w:r>
      <w:r w:rsidRPr="00A547DF">
        <w:rPr>
          <w:sz w:val="22"/>
          <w:szCs w:val="22"/>
          <w:lang w:val="es-ES"/>
        </w:rPr>
        <w:t>, e.164.arpa.</w:t>
      </w:r>
    </w:p>
    <w:p w14:paraId="4BC484A6" w14:textId="77777777" w:rsidR="00E34D83" w:rsidRPr="00F57C5A" w:rsidRDefault="00E34D83" w:rsidP="00E34D83">
      <w:pPr>
        <w:rPr>
          <w:sz w:val="22"/>
          <w:szCs w:val="22"/>
          <w:lang w:val="es-ES"/>
        </w:rPr>
      </w:pPr>
      <w:r w:rsidRPr="00F57C5A">
        <w:rPr>
          <w:sz w:val="22"/>
          <w:szCs w:val="22"/>
          <w:lang w:val="es-ES"/>
        </w:rPr>
        <w:t xml:space="preserve">En </w:t>
      </w:r>
      <w:hyperlink r:id="rId10" w:history="1">
        <w:r w:rsidRPr="00F57C5A">
          <w:rPr>
            <w:rStyle w:val="Hyperlink"/>
            <w:sz w:val="22"/>
            <w:szCs w:val="22"/>
            <w:lang w:val="es-ES"/>
          </w:rPr>
          <w:t>https://itu.int/en/IT</w:t>
        </w:r>
        <w:r w:rsidRPr="00F57C5A">
          <w:rPr>
            <w:rStyle w:val="Hyperlink"/>
            <w:sz w:val="22"/>
            <w:szCs w:val="22"/>
            <w:lang w:val="es-ES"/>
          </w:rPr>
          <w:t>U</w:t>
        </w:r>
        <w:r w:rsidRPr="00F57C5A">
          <w:rPr>
            <w:rStyle w:val="Hyperlink"/>
            <w:sz w:val="22"/>
            <w:szCs w:val="22"/>
            <w:lang w:val="es-ES"/>
          </w:rPr>
          <w:t>-T/inr/enum</w:t>
        </w:r>
      </w:hyperlink>
      <w:r w:rsidRPr="00F57C5A">
        <w:rPr>
          <w:lang w:val="es-ES"/>
        </w:rPr>
        <w:t xml:space="preserve"> </w:t>
      </w:r>
      <w:r w:rsidRPr="00F57C5A">
        <w:rPr>
          <w:sz w:val="22"/>
          <w:szCs w:val="22"/>
          <w:lang w:val="es-ES"/>
        </w:rPr>
        <w:t xml:space="preserve">puede encontrarse toda la documentación de antecedentes y el procedimiento de delegación </w:t>
      </w:r>
      <w:r>
        <w:rPr>
          <w:sz w:val="22"/>
          <w:szCs w:val="22"/>
          <w:lang w:val="es-ES"/>
        </w:rPr>
        <w:t>completo, incluida una lista de los Estados Miembros que han recurrido al procedimiento en</w:t>
      </w:r>
      <w:r w:rsidRPr="00F57C5A">
        <w:rPr>
          <w:sz w:val="22"/>
          <w:szCs w:val="22"/>
          <w:lang w:val="es-ES"/>
        </w:rPr>
        <w:t xml:space="preserve"> </w:t>
      </w:r>
      <w:hyperlink r:id="rId11" w:history="1">
        <w:r w:rsidRPr="00F57C5A">
          <w:rPr>
            <w:rStyle w:val="Hyperlink"/>
            <w:sz w:val="22"/>
            <w:szCs w:val="22"/>
            <w:lang w:val="es-ES"/>
          </w:rPr>
          <w:t>https://itu.int/en/ITU-T/in</w:t>
        </w:r>
        <w:r w:rsidRPr="00F57C5A">
          <w:rPr>
            <w:rStyle w:val="Hyperlink"/>
            <w:sz w:val="22"/>
            <w:szCs w:val="22"/>
            <w:lang w:val="es-ES"/>
          </w:rPr>
          <w:t>r</w:t>
        </w:r>
        <w:r w:rsidRPr="00F57C5A">
          <w:rPr>
            <w:rStyle w:val="Hyperlink"/>
            <w:sz w:val="22"/>
            <w:szCs w:val="22"/>
            <w:lang w:val="es-ES"/>
          </w:rPr>
          <w:t>/enum/Pages/delegations.aspx</w:t>
        </w:r>
      </w:hyperlink>
      <w:r w:rsidRPr="00F57C5A">
        <w:rPr>
          <w:sz w:val="22"/>
          <w:szCs w:val="22"/>
          <w:lang w:val="es-ES"/>
        </w:rPr>
        <w:t xml:space="preserve">. </w:t>
      </w:r>
    </w:p>
    <w:p w14:paraId="4D21B7E2" w14:textId="77777777" w:rsidR="00E34D83" w:rsidRPr="00F57C5A" w:rsidRDefault="00E34D83" w:rsidP="00E34D83">
      <w:pPr>
        <w:rPr>
          <w:sz w:val="22"/>
          <w:szCs w:val="22"/>
          <w:lang w:val="es-ES"/>
        </w:rPr>
      </w:pPr>
      <w:r w:rsidRPr="00F57C5A">
        <w:rPr>
          <w:sz w:val="22"/>
          <w:szCs w:val="22"/>
          <w:lang w:val="es-ES"/>
        </w:rPr>
        <w:t>2</w:t>
      </w:r>
      <w:r w:rsidRPr="00F57C5A">
        <w:rPr>
          <w:sz w:val="22"/>
          <w:szCs w:val="22"/>
          <w:lang w:val="es-ES"/>
        </w:rPr>
        <w:tab/>
        <w:t xml:space="preserve">Aunque el sistema se ha mantenido desde 2002, en los últimos años se ha constatado fehacientemente que el sistema ya no se utiliza: el tráfico DNS dirigido a servidores del RIPE NCC </w:t>
      </w:r>
      <w:r>
        <w:rPr>
          <w:sz w:val="22"/>
          <w:szCs w:val="22"/>
          <w:lang w:val="es-ES"/>
        </w:rPr>
        <w:t>ha sido inapreciable durante años, algunas delegaciones de indicativos de país</w:t>
      </w:r>
      <w:r w:rsidRPr="00F57C5A">
        <w:rPr>
          <w:sz w:val="22"/>
          <w:szCs w:val="22"/>
          <w:lang w:val="es-ES"/>
        </w:rPr>
        <w:t xml:space="preserve"> E.164 </w:t>
      </w:r>
      <w:r>
        <w:rPr>
          <w:sz w:val="22"/>
          <w:szCs w:val="22"/>
          <w:lang w:val="es-ES"/>
        </w:rPr>
        <w:t xml:space="preserve">no son plenamente funcionales y ningún servicio existente o planificado ha manifestado su interés por utilizar el sistema. </w:t>
      </w:r>
      <w:r w:rsidRPr="00F57C5A">
        <w:rPr>
          <w:sz w:val="22"/>
          <w:szCs w:val="22"/>
          <w:lang w:val="es-ES"/>
        </w:rPr>
        <w:t>De anteriores interacciones entre la TSB-UIT y los Estados Miembros sobr</w:t>
      </w:r>
      <w:r>
        <w:rPr>
          <w:sz w:val="22"/>
          <w:szCs w:val="22"/>
          <w:lang w:val="es-ES"/>
        </w:rPr>
        <w:t>e delegaciones disfuncionales se desprende que no hay voluntad de mantener el marco vigente</w:t>
      </w:r>
      <w:r w:rsidRPr="00F57C5A">
        <w:rPr>
          <w:sz w:val="22"/>
          <w:szCs w:val="22"/>
          <w:lang w:val="es-ES"/>
        </w:rPr>
        <w:t>.</w:t>
      </w:r>
    </w:p>
    <w:p w14:paraId="2198424E" w14:textId="77777777" w:rsidR="00E34D83" w:rsidRPr="00F57C5A" w:rsidRDefault="00E34D83" w:rsidP="00E34D83">
      <w:pPr>
        <w:rPr>
          <w:sz w:val="22"/>
          <w:szCs w:val="22"/>
          <w:lang w:val="es-ES"/>
        </w:rPr>
      </w:pPr>
      <w:r w:rsidRPr="00F57C5A">
        <w:rPr>
          <w:sz w:val="22"/>
          <w:szCs w:val="22"/>
          <w:lang w:val="es-ES"/>
        </w:rPr>
        <w:t>3</w:t>
      </w:r>
      <w:r w:rsidRPr="00F57C5A">
        <w:rPr>
          <w:sz w:val="22"/>
          <w:szCs w:val="22"/>
          <w:lang w:val="es-ES"/>
        </w:rPr>
        <w:tab/>
        <w:t>En su última reunión (Ginebra, 4-13 de febrero de 2026), la Comisión de Estudio 2 y RIPE NCC e</w:t>
      </w:r>
      <w:r>
        <w:rPr>
          <w:sz w:val="22"/>
          <w:szCs w:val="22"/>
          <w:lang w:val="es-ES"/>
        </w:rPr>
        <w:t xml:space="preserve">xaminaron la situación y consideraron el coste que supone mantener y actualizar un sistema inutilizado. </w:t>
      </w:r>
      <w:r w:rsidRPr="00F57C5A">
        <w:rPr>
          <w:sz w:val="22"/>
          <w:szCs w:val="22"/>
          <w:lang w:val="es-ES"/>
        </w:rPr>
        <w:t>El objetivo de esta circular es recabar la opinión de los Estados Miem</w:t>
      </w:r>
      <w:r>
        <w:rPr>
          <w:sz w:val="22"/>
          <w:szCs w:val="22"/>
          <w:lang w:val="es-ES"/>
        </w:rPr>
        <w:t>bros sobre la posible clausura del sistema ENUM en</w:t>
      </w:r>
      <w:r w:rsidRPr="00F57C5A">
        <w:rPr>
          <w:sz w:val="22"/>
          <w:szCs w:val="22"/>
          <w:lang w:val="es-ES"/>
        </w:rPr>
        <w:t xml:space="preserve"> e164.arpa. </w:t>
      </w:r>
      <w:r>
        <w:rPr>
          <w:sz w:val="22"/>
          <w:szCs w:val="22"/>
          <w:lang w:val="es-ES"/>
        </w:rPr>
        <w:t xml:space="preserve">Se solicita a los Estados Miembros que cumplimenten y devuelvan el formulario del </w:t>
      </w:r>
      <w:r>
        <w:rPr>
          <w:b/>
          <w:bCs/>
          <w:sz w:val="22"/>
          <w:szCs w:val="22"/>
          <w:lang w:val="es-ES"/>
        </w:rPr>
        <w:t xml:space="preserve">Anexo 1 </w:t>
      </w:r>
      <w:r>
        <w:rPr>
          <w:sz w:val="22"/>
          <w:szCs w:val="22"/>
          <w:lang w:val="es-ES"/>
        </w:rPr>
        <w:t xml:space="preserve">al Director de la TSB </w:t>
      </w:r>
      <w:r>
        <w:rPr>
          <w:b/>
          <w:bCs/>
          <w:sz w:val="22"/>
          <w:szCs w:val="22"/>
          <w:lang w:val="es-ES"/>
        </w:rPr>
        <w:t>a más tardar el 15 de agosto de</w:t>
      </w:r>
      <w:r w:rsidRPr="00F57C5A">
        <w:rPr>
          <w:sz w:val="22"/>
          <w:szCs w:val="22"/>
          <w:lang w:val="es-ES"/>
        </w:rPr>
        <w:t>.</w:t>
      </w:r>
    </w:p>
    <w:p w14:paraId="69345EB5" w14:textId="6523A07B" w:rsidR="00E34D83" w:rsidRPr="00F57C5A" w:rsidRDefault="00E34D83" w:rsidP="00E34D83">
      <w:pPr>
        <w:keepNext/>
        <w:keepLines/>
        <w:rPr>
          <w:sz w:val="22"/>
          <w:szCs w:val="22"/>
          <w:lang w:val="es-ES"/>
        </w:rPr>
      </w:pPr>
      <w:r w:rsidRPr="00F57C5A">
        <w:rPr>
          <w:sz w:val="22"/>
          <w:szCs w:val="22"/>
          <w:lang w:val="es-ES"/>
        </w:rPr>
        <w:lastRenderedPageBreak/>
        <w:t>4</w:t>
      </w:r>
      <w:r w:rsidRPr="00F57C5A">
        <w:rPr>
          <w:sz w:val="22"/>
          <w:szCs w:val="22"/>
          <w:lang w:val="es-ES"/>
        </w:rPr>
        <w:tab/>
        <w:t xml:space="preserve">La Comisión de Estudio 2 también revisó los procedimientos interinos ENUM (disponibles en </w:t>
      </w:r>
      <w:hyperlink r:id="rId12" w:history="1">
        <w:r w:rsidR="002A1CE7">
          <w:rPr>
            <w:rStyle w:val="Hyperlink"/>
            <w:sz w:val="22"/>
            <w:szCs w:val="22"/>
            <w:lang w:val="es-ES"/>
          </w:rPr>
          <w:t>https://www.itu.int/md/T25-SG02-2602</w:t>
        </w:r>
        <w:r w:rsidR="002A1CE7">
          <w:rPr>
            <w:rStyle w:val="Hyperlink"/>
            <w:sz w:val="22"/>
            <w:szCs w:val="22"/>
            <w:lang w:val="es-ES"/>
          </w:rPr>
          <w:t>0</w:t>
        </w:r>
        <w:r w:rsidR="002A1CE7">
          <w:rPr>
            <w:rStyle w:val="Hyperlink"/>
            <w:sz w:val="22"/>
            <w:szCs w:val="22"/>
            <w:lang w:val="es-ES"/>
          </w:rPr>
          <w:t>4-TD-PLEN-0423/eS</w:t>
        </w:r>
      </w:hyperlink>
      <w:r w:rsidRPr="00F57C5A">
        <w:rPr>
          <w:sz w:val="22"/>
          <w:szCs w:val="22"/>
          <w:lang w:val="es-ES"/>
        </w:rPr>
        <w:t>) y acordó que entrarían en vi</w:t>
      </w:r>
      <w:r>
        <w:rPr>
          <w:sz w:val="22"/>
          <w:szCs w:val="22"/>
          <w:lang w:val="es-ES"/>
        </w:rPr>
        <w:t>gor en la próxima reunión de la Comisión de Estudio 2 (9-18 de septiembre de 2026) con sujeción a las conclusiones que se deriven de las respuestas a la presente circular</w:t>
      </w:r>
      <w:r w:rsidRPr="00F57C5A">
        <w:rPr>
          <w:sz w:val="22"/>
          <w:szCs w:val="22"/>
          <w:lang w:val="es-ES"/>
        </w:rPr>
        <w:t>.</w:t>
      </w:r>
    </w:p>
    <w:p w14:paraId="192244AF" w14:textId="77777777" w:rsidR="00E34D83" w:rsidRPr="00F57C5A" w:rsidRDefault="00E34D83" w:rsidP="00E34D83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spacing w:before="0" w:after="120"/>
        <w:rPr>
          <w:sz w:val="22"/>
          <w:szCs w:val="22"/>
          <w:lang w:val="es-ES"/>
        </w:rPr>
      </w:pPr>
      <w:r w:rsidRPr="00F57C5A">
        <w:rPr>
          <w:sz w:val="22"/>
          <w:szCs w:val="22"/>
          <w:lang w:val="es-ES"/>
        </w:rPr>
        <w:t xml:space="preserve">Le agradeceremos que nos comunique su opinión al </w:t>
      </w:r>
      <w:r>
        <w:rPr>
          <w:sz w:val="22"/>
          <w:szCs w:val="22"/>
          <w:lang w:val="es-ES"/>
        </w:rPr>
        <w:t>respecto</w:t>
      </w:r>
      <w:r w:rsidRPr="00F57C5A">
        <w:rPr>
          <w:sz w:val="22"/>
          <w:szCs w:val="22"/>
          <w:lang w:val="es-ES"/>
        </w:rPr>
        <w:t>.</w:t>
      </w:r>
    </w:p>
    <w:p w14:paraId="2DF4691E" w14:textId="77777777" w:rsidR="007B6316" w:rsidRPr="00081FE5" w:rsidRDefault="007B6316" w:rsidP="007B6316">
      <w:r w:rsidRPr="00081FE5">
        <w:t>Atentamente,</w:t>
      </w:r>
    </w:p>
    <w:p w14:paraId="14717C77" w14:textId="77777777" w:rsidR="007B6316" w:rsidRPr="00081FE5" w:rsidRDefault="007B6316" w:rsidP="007B6316">
      <w:pPr>
        <w:spacing w:before="480" w:line="480" w:lineRule="auto"/>
        <w:rPr>
          <w:sz w:val="28"/>
          <w:szCs w:val="22"/>
        </w:rPr>
      </w:pPr>
      <w:r w:rsidRPr="00081FE5">
        <w:rPr>
          <w:i/>
          <w:iCs/>
          <w:szCs w:val="24"/>
        </w:rPr>
        <w:t>(firmado)</w:t>
      </w:r>
    </w:p>
    <w:p w14:paraId="60C0AF87" w14:textId="77777777" w:rsidR="007B6316" w:rsidRPr="00081FE5" w:rsidRDefault="001350B9" w:rsidP="007B6316">
      <w:pPr>
        <w:spacing w:before="360"/>
      </w:pPr>
      <w:r w:rsidRPr="001350B9">
        <w:rPr>
          <w:rFonts w:cstheme="minorHAnsi"/>
          <w:szCs w:val="22"/>
          <w:lang w:val="es-ES"/>
        </w:rPr>
        <w:t>Seizo Onoe</w:t>
      </w:r>
      <w:r w:rsidR="007B6316" w:rsidRPr="00081FE5">
        <w:br/>
        <w:t xml:space="preserve">Director de la Oficina de </w:t>
      </w:r>
      <w:r w:rsidR="007B6316" w:rsidRPr="00081FE5">
        <w:br/>
        <w:t>Normalización de las Telecomunicaciones</w:t>
      </w:r>
    </w:p>
    <w:p w14:paraId="5B1AC720" w14:textId="0B0DAA0A" w:rsidR="00401C20" w:rsidRDefault="00597A3D" w:rsidP="00597A3D">
      <w:pPr>
        <w:spacing w:before="8160"/>
        <w:ind w:right="92"/>
        <w:rPr>
          <w:lang w:val="es-ES"/>
        </w:rPr>
      </w:pPr>
      <w:r>
        <w:rPr>
          <w:b/>
          <w:bCs/>
          <w:lang w:val="es-ES"/>
        </w:rPr>
        <w:t>Anexo</w:t>
      </w:r>
      <w:r>
        <w:rPr>
          <w:lang w:val="es-ES"/>
        </w:rPr>
        <w:t>: 1</w:t>
      </w:r>
    </w:p>
    <w:p w14:paraId="2640E5FA" w14:textId="22C35EF8" w:rsidR="00597A3D" w:rsidRDefault="00597A3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3C1F1DF2" w14:textId="2CBD90BF" w:rsidR="00597A3D" w:rsidRDefault="00597A3D" w:rsidP="00597A3D">
      <w:pPr>
        <w:pStyle w:val="AnnexNotitle"/>
        <w:rPr>
          <w:lang w:val="es-ES"/>
        </w:rPr>
      </w:pPr>
      <w:r>
        <w:rPr>
          <w:lang w:val="es-ES"/>
        </w:rPr>
        <w:lastRenderedPageBreak/>
        <w:t>Anexo 1</w:t>
      </w:r>
      <w:r>
        <w:rPr>
          <w:lang w:val="es-ES"/>
        </w:rPr>
        <w:br/>
      </w:r>
      <w:r>
        <w:rPr>
          <w:lang w:val="es-ES"/>
        </w:rPr>
        <w:br/>
        <w:t xml:space="preserve">Asunto: </w:t>
      </w:r>
      <w:r w:rsidRPr="00597A3D">
        <w:rPr>
          <w:lang w:val="es-ES"/>
        </w:rPr>
        <w:t>Respuesta de los Estados Miembros a la Circular TSB 123:</w:t>
      </w:r>
      <w:r>
        <w:rPr>
          <w:lang w:val="es-ES"/>
        </w:rPr>
        <w:t xml:space="preserve"> </w:t>
      </w:r>
      <w:r w:rsidRPr="00597A3D">
        <w:rPr>
          <w:lang w:val="es-ES"/>
        </w:rPr>
        <w:t>Opiniones</w:t>
      </w:r>
      <w:r>
        <w:rPr>
          <w:lang w:val="es-ES"/>
        </w:rPr>
        <w:br/>
      </w:r>
      <w:r w:rsidRPr="00597A3D">
        <w:rPr>
          <w:lang w:val="es-ES"/>
        </w:rPr>
        <w:t>sobre la posible clausura del sistema ENUM en e164.arpa</w:t>
      </w:r>
    </w:p>
    <w:p w14:paraId="7F66A867" w14:textId="555C327F" w:rsidR="00597A3D" w:rsidRDefault="00597A3D" w:rsidP="00597A3D">
      <w:pPr>
        <w:pStyle w:val="AnnexRef"/>
        <w:rPr>
          <w:lang w:val="es-ES"/>
        </w:rPr>
      </w:pPr>
      <w:r>
        <w:rPr>
          <w:lang w:val="es-ES"/>
        </w:rPr>
        <w:t>Debe devolverse al Director de la TSB antes del 15 de agosto de 2026</w:t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2"/>
        <w:gridCol w:w="1134"/>
        <w:gridCol w:w="3203"/>
      </w:tblGrid>
      <w:tr w:rsidR="00597A3D" w:rsidRPr="007D7E25" w14:paraId="7BBA4567" w14:textId="77777777" w:rsidTr="00597A3D">
        <w:tc>
          <w:tcPr>
            <w:tcW w:w="1050" w:type="dxa"/>
          </w:tcPr>
          <w:p w14:paraId="0788722E" w14:textId="77777777" w:rsidR="00597A3D" w:rsidRPr="00A767F3" w:rsidRDefault="00597A3D" w:rsidP="004F5CC6">
            <w:pPr>
              <w:ind w:left="-57" w:right="-57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  <w:lang w:val="es-ES"/>
              </w:rPr>
              <w:t>A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14:paraId="1890F48D" w14:textId="77777777" w:rsidR="00597A3D" w:rsidRPr="00A8033F" w:rsidRDefault="00597A3D" w:rsidP="004F5CC6">
            <w:pPr>
              <w:ind w:right="-57"/>
              <w:rPr>
                <w:szCs w:val="24"/>
                <w:lang w:val="es-ES"/>
              </w:rPr>
            </w:pPr>
            <w:r w:rsidRPr="00A8033F">
              <w:rPr>
                <w:szCs w:val="24"/>
                <w:lang w:val="es-ES"/>
              </w:rPr>
              <w:t xml:space="preserve">Director de la Oficina de </w:t>
            </w:r>
            <w:r w:rsidRPr="00A8033F">
              <w:rPr>
                <w:szCs w:val="24"/>
                <w:lang w:val="es-ES"/>
              </w:rPr>
              <w:br/>
            </w:r>
            <w:r>
              <w:rPr>
                <w:szCs w:val="24"/>
                <w:lang w:val="es-ES"/>
              </w:rPr>
              <w:t>Normalización de las Telecomunicaciones</w:t>
            </w:r>
            <w:r w:rsidRPr="00A8033F">
              <w:rPr>
                <w:szCs w:val="24"/>
                <w:lang w:val="es-ES"/>
              </w:rPr>
              <w:t>,</w:t>
            </w:r>
          </w:p>
          <w:p w14:paraId="0C0294A6" w14:textId="77777777" w:rsidR="00597A3D" w:rsidRPr="007D7E25" w:rsidRDefault="00597A3D" w:rsidP="004F5CC6">
            <w:pPr>
              <w:spacing w:before="0"/>
              <w:ind w:right="-57"/>
              <w:rPr>
                <w:szCs w:val="24"/>
                <w:lang w:val="es-ES"/>
              </w:rPr>
            </w:pPr>
            <w:r w:rsidRPr="007D7E25">
              <w:rPr>
                <w:szCs w:val="24"/>
                <w:lang w:val="es-ES"/>
              </w:rPr>
              <w:t>Unión Internacional de Telecomunicaciones</w:t>
            </w:r>
          </w:p>
          <w:p w14:paraId="5A0D6C76" w14:textId="77777777" w:rsidR="00597A3D" w:rsidRPr="007D7E25" w:rsidRDefault="00597A3D" w:rsidP="004F5CC6">
            <w:pPr>
              <w:spacing w:before="0"/>
              <w:ind w:right="-57"/>
              <w:rPr>
                <w:szCs w:val="24"/>
                <w:lang w:val="es-ES"/>
              </w:rPr>
            </w:pPr>
            <w:r w:rsidRPr="007D7E25">
              <w:rPr>
                <w:szCs w:val="24"/>
                <w:lang w:val="es-ES"/>
              </w:rPr>
              <w:t>Place des Nations</w:t>
            </w:r>
          </w:p>
          <w:p w14:paraId="5006C1A2" w14:textId="77777777" w:rsidR="00597A3D" w:rsidRPr="00A767F3" w:rsidRDefault="00597A3D" w:rsidP="004F5CC6">
            <w:pPr>
              <w:spacing w:before="0"/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>CH 1211 G</w:t>
            </w:r>
            <w:r>
              <w:rPr>
                <w:szCs w:val="24"/>
              </w:rPr>
              <w:t>inebra</w:t>
            </w:r>
            <w:r w:rsidRPr="00A767F3">
              <w:rPr>
                <w:szCs w:val="24"/>
              </w:rPr>
              <w:t xml:space="preserve"> 20, S</w:t>
            </w:r>
            <w:r>
              <w:rPr>
                <w:szCs w:val="24"/>
              </w:rPr>
              <w:t>uiza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E3F4ABB" w14:textId="77777777" w:rsidR="00597A3D" w:rsidRPr="00A767F3" w:rsidRDefault="00597A3D" w:rsidP="004F5CC6">
            <w:pPr>
              <w:ind w:left="-57" w:right="-57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De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3203" w:type="dxa"/>
          </w:tcPr>
          <w:p w14:paraId="4D22AA78" w14:textId="77777777" w:rsidR="00597A3D" w:rsidRPr="00A8033F" w:rsidRDefault="00597A3D" w:rsidP="004F5CC6">
            <w:pPr>
              <w:rPr>
                <w:szCs w:val="24"/>
                <w:highlight w:val="green"/>
                <w:lang w:val="es-ES"/>
              </w:rPr>
            </w:pPr>
            <w:r w:rsidRPr="00A8033F">
              <w:rPr>
                <w:szCs w:val="24"/>
                <w:highlight w:val="green"/>
                <w:lang w:val="es-ES"/>
              </w:rPr>
              <w:t>[Nombre]</w:t>
            </w:r>
          </w:p>
          <w:p w14:paraId="45F2A2D2" w14:textId="77777777" w:rsidR="00597A3D" w:rsidRPr="00A8033F" w:rsidRDefault="00597A3D" w:rsidP="004F5CC6">
            <w:pPr>
              <w:spacing w:before="0"/>
              <w:rPr>
                <w:szCs w:val="24"/>
                <w:highlight w:val="green"/>
                <w:lang w:val="es-ES"/>
              </w:rPr>
            </w:pPr>
            <w:r w:rsidRPr="00A8033F">
              <w:rPr>
                <w:szCs w:val="24"/>
                <w:highlight w:val="green"/>
                <w:lang w:val="es-ES"/>
              </w:rPr>
              <w:t>[Cargo oficial/título]</w:t>
            </w:r>
          </w:p>
          <w:p w14:paraId="085D3B58" w14:textId="77777777" w:rsidR="00597A3D" w:rsidRPr="007D7E25" w:rsidRDefault="00597A3D" w:rsidP="004F5CC6">
            <w:pPr>
              <w:spacing w:before="0"/>
              <w:rPr>
                <w:szCs w:val="24"/>
                <w:lang w:val="es-ES"/>
              </w:rPr>
            </w:pPr>
            <w:r w:rsidRPr="007D7E25">
              <w:rPr>
                <w:szCs w:val="24"/>
                <w:highlight w:val="green"/>
                <w:lang w:val="es-ES"/>
              </w:rPr>
              <w:t>[Dirección]</w:t>
            </w:r>
          </w:p>
        </w:tc>
      </w:tr>
      <w:tr w:rsidR="00597A3D" w:rsidRPr="00A8033F" w14:paraId="5C469D4C" w14:textId="77777777" w:rsidTr="00597A3D">
        <w:tc>
          <w:tcPr>
            <w:tcW w:w="1050" w:type="dxa"/>
          </w:tcPr>
          <w:p w14:paraId="34058797" w14:textId="77777777" w:rsidR="00597A3D" w:rsidRPr="00A767F3" w:rsidRDefault="00597A3D" w:rsidP="004F5CC6">
            <w:pPr>
              <w:spacing w:before="0"/>
              <w:ind w:left="-57" w:right="-57"/>
              <w:jc w:val="right"/>
              <w:rPr>
                <w:szCs w:val="24"/>
              </w:rPr>
            </w:pPr>
            <w:r w:rsidRPr="00A767F3">
              <w:rPr>
                <w:b/>
                <w:bCs/>
                <w:szCs w:val="24"/>
              </w:rPr>
              <w:t>Fax</w:t>
            </w:r>
            <w:r w:rsidRPr="00A767F3">
              <w:rPr>
                <w:szCs w:val="24"/>
              </w:rPr>
              <w:t>:</w:t>
            </w:r>
          </w:p>
          <w:p w14:paraId="532F7968" w14:textId="77777777" w:rsidR="00597A3D" w:rsidRPr="00A767F3" w:rsidRDefault="00597A3D" w:rsidP="004F5CC6">
            <w:pPr>
              <w:spacing w:before="0"/>
              <w:ind w:left="-57" w:right="-57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Correo-e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14:paraId="5F51648B" w14:textId="77777777" w:rsidR="00597A3D" w:rsidRPr="00A767F3" w:rsidRDefault="00597A3D" w:rsidP="004F5CC6">
            <w:pPr>
              <w:spacing w:before="0"/>
              <w:ind w:right="-57"/>
              <w:rPr>
                <w:szCs w:val="24"/>
              </w:rPr>
            </w:pPr>
            <w:r w:rsidRPr="00A767F3">
              <w:rPr>
                <w:szCs w:val="24"/>
              </w:rPr>
              <w:t>+41-22-730-5853</w:t>
            </w:r>
          </w:p>
          <w:p w14:paraId="508B1990" w14:textId="77777777" w:rsidR="00597A3D" w:rsidRPr="00A767F3" w:rsidRDefault="00597A3D" w:rsidP="004F5CC6">
            <w:pPr>
              <w:spacing w:before="0"/>
              <w:ind w:right="-57"/>
              <w:rPr>
                <w:szCs w:val="24"/>
              </w:rPr>
            </w:pPr>
            <w:hyperlink r:id="rId13" w:history="1">
              <w:r w:rsidRPr="00A767F3">
                <w:rPr>
                  <w:rStyle w:val="Hyperlink"/>
                  <w:szCs w:val="24"/>
                </w:rPr>
                <w:t>tsbdir@itu.int</w:t>
              </w:r>
            </w:hyperlink>
            <w:r w:rsidRPr="00A767F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36086D4" w14:textId="77777777" w:rsidR="00597A3D" w:rsidRPr="00A8033F" w:rsidRDefault="00597A3D" w:rsidP="004F5CC6">
            <w:pPr>
              <w:spacing w:before="0"/>
              <w:ind w:left="-57" w:right="-57"/>
              <w:jc w:val="right"/>
              <w:rPr>
                <w:szCs w:val="24"/>
                <w:lang w:val="es-ES"/>
              </w:rPr>
            </w:pPr>
            <w:r w:rsidRPr="00A8033F">
              <w:rPr>
                <w:b/>
                <w:bCs/>
                <w:szCs w:val="24"/>
                <w:lang w:val="es-ES"/>
              </w:rPr>
              <w:t>Fax</w:t>
            </w:r>
            <w:r w:rsidRPr="00A8033F">
              <w:rPr>
                <w:szCs w:val="24"/>
                <w:lang w:val="es-ES"/>
              </w:rPr>
              <w:t>:</w:t>
            </w:r>
          </w:p>
          <w:p w14:paraId="29211A81" w14:textId="77777777" w:rsidR="00597A3D" w:rsidRPr="00A8033F" w:rsidRDefault="00597A3D" w:rsidP="004F5CC6">
            <w:pPr>
              <w:spacing w:before="0"/>
              <w:ind w:left="-57" w:right="-57"/>
              <w:jc w:val="right"/>
              <w:rPr>
                <w:szCs w:val="24"/>
                <w:lang w:val="es-ES"/>
              </w:rPr>
            </w:pPr>
            <w:r w:rsidRPr="00A8033F">
              <w:rPr>
                <w:b/>
                <w:bCs/>
                <w:szCs w:val="24"/>
                <w:lang w:val="es-ES"/>
              </w:rPr>
              <w:t>Correo-e</w:t>
            </w:r>
            <w:r w:rsidRPr="00A8033F">
              <w:rPr>
                <w:szCs w:val="24"/>
                <w:lang w:val="es-ES"/>
              </w:rPr>
              <w:t>:</w:t>
            </w:r>
          </w:p>
        </w:tc>
        <w:tc>
          <w:tcPr>
            <w:tcW w:w="3203" w:type="dxa"/>
          </w:tcPr>
          <w:p w14:paraId="76029622" w14:textId="77777777" w:rsidR="00597A3D" w:rsidRPr="00A8033F" w:rsidRDefault="00597A3D" w:rsidP="004F5CC6">
            <w:pPr>
              <w:spacing w:before="0"/>
              <w:rPr>
                <w:szCs w:val="24"/>
                <w:lang w:val="es-ES"/>
              </w:rPr>
            </w:pPr>
          </w:p>
        </w:tc>
      </w:tr>
      <w:tr w:rsidR="00597A3D" w:rsidRPr="00A767F3" w14:paraId="7E5DFB69" w14:textId="77777777" w:rsidTr="00597A3D">
        <w:tc>
          <w:tcPr>
            <w:tcW w:w="1050" w:type="dxa"/>
          </w:tcPr>
          <w:p w14:paraId="1C0D4BB2" w14:textId="77777777" w:rsidR="00597A3D" w:rsidRPr="00A8033F" w:rsidRDefault="00597A3D" w:rsidP="004F5CC6">
            <w:pPr>
              <w:spacing w:before="0"/>
              <w:ind w:left="-57" w:right="-57"/>
              <w:jc w:val="right"/>
              <w:rPr>
                <w:szCs w:val="24"/>
                <w:lang w:val="es-ES"/>
              </w:rPr>
            </w:pPr>
          </w:p>
        </w:tc>
        <w:tc>
          <w:tcPr>
            <w:tcW w:w="4252" w:type="dxa"/>
            <w:tcBorders>
              <w:right w:val="single" w:sz="8" w:space="0" w:color="auto"/>
            </w:tcBorders>
          </w:tcPr>
          <w:p w14:paraId="451DB265" w14:textId="77777777" w:rsidR="00597A3D" w:rsidRPr="00A8033F" w:rsidRDefault="00597A3D" w:rsidP="004F5CC6">
            <w:pPr>
              <w:spacing w:before="0"/>
              <w:rPr>
                <w:szCs w:val="24"/>
                <w:lang w:val="es-ES"/>
              </w:rPr>
            </w:pP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F51B884" w14:textId="77777777" w:rsidR="00597A3D" w:rsidRPr="00A767F3" w:rsidRDefault="00597A3D" w:rsidP="004F5CC6">
            <w:pPr>
              <w:spacing w:before="0"/>
              <w:ind w:left="-57" w:right="-57"/>
              <w:jc w:val="right"/>
              <w:rPr>
                <w:szCs w:val="24"/>
              </w:rPr>
            </w:pPr>
            <w:r>
              <w:rPr>
                <w:b/>
                <w:bCs/>
                <w:szCs w:val="24"/>
              </w:rPr>
              <w:t>Fecha</w:t>
            </w:r>
            <w:r w:rsidRPr="00A767F3">
              <w:rPr>
                <w:szCs w:val="24"/>
              </w:rPr>
              <w:t>:</w:t>
            </w:r>
          </w:p>
        </w:tc>
        <w:tc>
          <w:tcPr>
            <w:tcW w:w="3203" w:type="dxa"/>
          </w:tcPr>
          <w:p w14:paraId="1D20620B" w14:textId="77777777" w:rsidR="00597A3D" w:rsidRPr="00A767F3" w:rsidRDefault="00597A3D" w:rsidP="004F5CC6">
            <w:pPr>
              <w:spacing w:before="0"/>
              <w:rPr>
                <w:szCs w:val="24"/>
              </w:rPr>
            </w:pPr>
            <w:r w:rsidRPr="00A767F3">
              <w:rPr>
                <w:szCs w:val="24"/>
                <w:highlight w:val="green"/>
              </w:rPr>
              <w:t>[</w:t>
            </w:r>
            <w:r>
              <w:rPr>
                <w:szCs w:val="24"/>
                <w:highlight w:val="green"/>
              </w:rPr>
              <w:t>Lugar</w:t>
            </w:r>
            <w:r w:rsidRPr="00A767F3">
              <w:rPr>
                <w:szCs w:val="24"/>
                <w:highlight w:val="green"/>
              </w:rPr>
              <w:t>,] [</w:t>
            </w:r>
            <w:r>
              <w:rPr>
                <w:szCs w:val="24"/>
                <w:highlight w:val="green"/>
              </w:rPr>
              <w:t>Fecha</w:t>
            </w:r>
            <w:r w:rsidRPr="00A767F3">
              <w:rPr>
                <w:szCs w:val="24"/>
                <w:highlight w:val="green"/>
              </w:rPr>
              <w:t>]</w:t>
            </w:r>
          </w:p>
        </w:tc>
      </w:tr>
    </w:tbl>
    <w:p w14:paraId="3198F5FD" w14:textId="77777777" w:rsidR="00597A3D" w:rsidRPr="00A8033F" w:rsidRDefault="00597A3D" w:rsidP="00597A3D">
      <w:pPr>
        <w:spacing w:before="240"/>
        <w:rPr>
          <w:szCs w:val="24"/>
          <w:lang w:val="es-ES"/>
        </w:rPr>
      </w:pPr>
      <w:r w:rsidRPr="00A547DF">
        <w:rPr>
          <w:sz w:val="22"/>
          <w:szCs w:val="22"/>
          <w:lang w:val="es-ES"/>
        </w:rPr>
        <w:t>Muy Señora mía/Muy Señor mío:</w:t>
      </w:r>
    </w:p>
    <w:p w14:paraId="5421B22B" w14:textId="77777777" w:rsidR="00597A3D" w:rsidRPr="00A8033F" w:rsidRDefault="00597A3D" w:rsidP="00597A3D">
      <w:pPr>
        <w:spacing w:after="120"/>
        <w:ind w:right="-194"/>
        <w:rPr>
          <w:szCs w:val="24"/>
          <w:lang w:val="es-ES"/>
        </w:rPr>
      </w:pPr>
      <w:r w:rsidRPr="00A8033F">
        <w:rPr>
          <w:szCs w:val="24"/>
          <w:lang w:val="es-ES"/>
        </w:rPr>
        <w:t>En lo que respecta a la consulta a los Estados Miembros sobre la posible clausura del sistema ENUM en e164.arpa que figura en la Circular 123 de la TSB, deseo informarle de la opinión de</w:t>
      </w:r>
      <w:r>
        <w:rPr>
          <w:szCs w:val="24"/>
          <w:lang w:val="es-ES"/>
        </w:rPr>
        <w:t xml:space="preserve"> esta Administración, que se refleja en el siguiente cuadro</w:t>
      </w:r>
      <w:r w:rsidRPr="00A8033F">
        <w:rPr>
          <w:szCs w:val="24"/>
          <w:lang w:val="es-ES"/>
        </w:rPr>
        <w:t>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97A3D" w:rsidRPr="007D7E25" w14:paraId="7AF304FA" w14:textId="77777777" w:rsidTr="00DA1C37">
        <w:trPr>
          <w:cantSplit/>
          <w:tblHeader/>
        </w:trPr>
        <w:tc>
          <w:tcPr>
            <w:tcW w:w="9639" w:type="dxa"/>
            <w:vAlign w:val="center"/>
          </w:tcPr>
          <w:p w14:paraId="07664F0B" w14:textId="77777777" w:rsidR="00597A3D" w:rsidRPr="007D7E25" w:rsidRDefault="00597A3D" w:rsidP="004F5CC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after="120"/>
              <w:ind w:left="459" w:hanging="459"/>
              <w:jc w:val="center"/>
              <w:rPr>
                <w:b/>
                <w:bCs/>
                <w:szCs w:val="24"/>
                <w:lang w:val="es-ES"/>
              </w:rPr>
            </w:pPr>
            <w:r w:rsidRPr="007D7E25">
              <w:rPr>
                <w:b/>
                <w:bCs/>
                <w:szCs w:val="24"/>
                <w:lang w:val="es-ES"/>
              </w:rPr>
              <w:t>Seleccione una de las dos casillas</w:t>
            </w:r>
          </w:p>
        </w:tc>
      </w:tr>
      <w:tr w:rsidR="00597A3D" w:rsidRPr="007D7E25" w14:paraId="66A44FF6" w14:textId="77777777" w:rsidTr="00DA1C37">
        <w:trPr>
          <w:cantSplit/>
          <w:trHeight w:val="748"/>
        </w:trPr>
        <w:tc>
          <w:tcPr>
            <w:tcW w:w="9639" w:type="dxa"/>
            <w:vAlign w:val="center"/>
          </w:tcPr>
          <w:p w14:paraId="5812DC8F" w14:textId="77777777" w:rsidR="00597A3D" w:rsidRPr="00A8033F" w:rsidRDefault="00597A3D" w:rsidP="004F5CC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ind w:left="459" w:hanging="459"/>
              <w:rPr>
                <w:rFonts w:cstheme="minorHAnsi"/>
                <w:szCs w:val="24"/>
                <w:lang w:val="es-ES"/>
              </w:rPr>
            </w:pPr>
            <w:sdt>
              <w:sdtPr>
                <w:rPr>
                  <w:rFonts w:cstheme="minorHAnsi"/>
                  <w:szCs w:val="24"/>
                  <w:lang w:val="es-ES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33F">
                  <w:rPr>
                    <w:rFonts w:ascii="Segoe UI Symbol" w:eastAsia="MS Gothic" w:hAnsi="Segoe UI Symbol" w:cs="Segoe UI Symbol"/>
                    <w:szCs w:val="24"/>
                    <w:lang w:val="es-ES"/>
                  </w:rPr>
                  <w:t>☐</w:t>
                </w:r>
              </w:sdtContent>
            </w:sdt>
            <w:r w:rsidRPr="00A8033F">
              <w:rPr>
                <w:rFonts w:cstheme="minorHAnsi"/>
                <w:szCs w:val="24"/>
                <w:lang w:val="es-ES"/>
              </w:rPr>
              <w:tab/>
            </w:r>
            <w:r w:rsidRPr="00A8033F">
              <w:rPr>
                <w:rFonts w:cstheme="minorHAnsi"/>
                <w:b/>
                <w:bCs/>
                <w:szCs w:val="24"/>
                <w:lang w:val="es-ES"/>
              </w:rPr>
              <w:t xml:space="preserve">accede </w:t>
            </w:r>
            <w:r w:rsidRPr="00A8033F">
              <w:rPr>
                <w:rFonts w:cstheme="minorHAnsi"/>
                <w:szCs w:val="24"/>
                <w:lang w:val="es-ES"/>
              </w:rPr>
              <w:t>a la clausura del sistema ENUM en e164.arpa</w:t>
            </w:r>
          </w:p>
        </w:tc>
      </w:tr>
      <w:tr w:rsidR="00597A3D" w:rsidRPr="007D7E25" w14:paraId="341EDF5E" w14:textId="77777777" w:rsidTr="00DA1C37">
        <w:trPr>
          <w:cantSplit/>
          <w:trHeight w:val="747"/>
        </w:trPr>
        <w:tc>
          <w:tcPr>
            <w:tcW w:w="9639" w:type="dxa"/>
            <w:vAlign w:val="center"/>
          </w:tcPr>
          <w:p w14:paraId="489C6D6E" w14:textId="77777777" w:rsidR="00597A3D" w:rsidRPr="00A8033F" w:rsidRDefault="00597A3D" w:rsidP="004F5CC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50"/>
              </w:tabs>
              <w:spacing w:before="60" w:after="60"/>
              <w:ind w:left="459" w:hanging="459"/>
              <w:rPr>
                <w:rFonts w:cstheme="minorHAnsi"/>
                <w:szCs w:val="24"/>
                <w:lang w:val="es-ES"/>
              </w:rPr>
            </w:pPr>
            <w:sdt>
              <w:sdtPr>
                <w:rPr>
                  <w:rFonts w:cstheme="minorHAnsi"/>
                  <w:szCs w:val="24"/>
                  <w:lang w:val="es-ES"/>
                </w:rPr>
                <w:id w:val="-176738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033F">
                  <w:rPr>
                    <w:rFonts w:ascii="Segoe UI Symbol" w:eastAsia="MS Gothic" w:hAnsi="Segoe UI Symbol" w:cs="Segoe UI Symbol"/>
                    <w:szCs w:val="24"/>
                    <w:lang w:val="es-ES"/>
                  </w:rPr>
                  <w:t>☐</w:t>
                </w:r>
              </w:sdtContent>
            </w:sdt>
            <w:r w:rsidRPr="00A8033F">
              <w:rPr>
                <w:rFonts w:cstheme="minorHAnsi"/>
                <w:szCs w:val="24"/>
                <w:lang w:val="es-ES"/>
              </w:rPr>
              <w:tab/>
            </w:r>
            <w:r w:rsidRPr="00A8033F">
              <w:rPr>
                <w:rFonts w:cstheme="minorHAnsi"/>
                <w:szCs w:val="24"/>
                <w:lang w:val="es-ES"/>
              </w:rPr>
              <w:tab/>
            </w:r>
            <w:r w:rsidRPr="00A8033F">
              <w:rPr>
                <w:rFonts w:cstheme="minorHAnsi"/>
                <w:b/>
                <w:bCs/>
                <w:szCs w:val="24"/>
                <w:lang w:val="es-ES"/>
              </w:rPr>
              <w:t xml:space="preserve">no accede </w:t>
            </w:r>
            <w:r w:rsidRPr="00A8033F">
              <w:rPr>
                <w:rFonts w:cstheme="minorHAnsi"/>
                <w:szCs w:val="24"/>
                <w:lang w:val="es-ES"/>
              </w:rPr>
              <w:t>a la clausura del sistema ENUM en e164.arpa</w:t>
            </w:r>
          </w:p>
        </w:tc>
      </w:tr>
      <w:tr w:rsidR="00597A3D" w:rsidRPr="007D7E25" w14:paraId="07B52F5C" w14:textId="77777777" w:rsidTr="00DA1C37">
        <w:trPr>
          <w:cantSplit/>
          <w:trHeight w:val="748"/>
        </w:trPr>
        <w:tc>
          <w:tcPr>
            <w:tcW w:w="9639" w:type="dxa"/>
            <w:vAlign w:val="center"/>
          </w:tcPr>
          <w:p w14:paraId="1F6BDACA" w14:textId="77777777" w:rsidR="00597A3D" w:rsidRPr="00A8033F" w:rsidRDefault="00597A3D" w:rsidP="004F5CC6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59" w:hanging="459"/>
              <w:jc w:val="center"/>
              <w:rPr>
                <w:rFonts w:cstheme="minorHAnsi"/>
                <w:szCs w:val="24"/>
                <w:lang w:val="es-ES"/>
              </w:rPr>
            </w:pPr>
            <w:r w:rsidRPr="00A8033F">
              <w:rPr>
                <w:b/>
                <w:bCs/>
                <w:szCs w:val="24"/>
                <w:lang w:val="es-ES"/>
              </w:rPr>
              <w:t>Añada sus comentarios (en su caso) en el recuadro si</w:t>
            </w:r>
            <w:r>
              <w:rPr>
                <w:b/>
                <w:bCs/>
                <w:szCs w:val="24"/>
                <w:lang w:val="es-ES"/>
              </w:rPr>
              <w:t>guiente</w:t>
            </w:r>
          </w:p>
        </w:tc>
      </w:tr>
      <w:tr w:rsidR="00DA1C37" w:rsidRPr="007D7E25" w14:paraId="5C75B90B" w14:textId="77777777" w:rsidTr="00DA1C37">
        <w:trPr>
          <w:cantSplit/>
          <w:trHeight w:val="4538"/>
        </w:trPr>
        <w:tc>
          <w:tcPr>
            <w:tcW w:w="9639" w:type="dxa"/>
          </w:tcPr>
          <w:p w14:paraId="02E313A8" w14:textId="77777777" w:rsidR="00DA1C37" w:rsidRPr="00A8033F" w:rsidRDefault="00DA1C37" w:rsidP="00DA1C37">
            <w:pPr>
              <w:rPr>
                <w:lang w:val="es-ES"/>
              </w:rPr>
            </w:pPr>
          </w:p>
        </w:tc>
      </w:tr>
    </w:tbl>
    <w:p w14:paraId="4D0A2826" w14:textId="72FC6B09" w:rsidR="00597A3D" w:rsidRDefault="00597A3D" w:rsidP="00597A3D">
      <w:pPr>
        <w:rPr>
          <w:lang w:val="es-ES"/>
        </w:rPr>
      </w:pPr>
    </w:p>
    <w:p w14:paraId="58A33CAB" w14:textId="4369855A" w:rsidR="00597A3D" w:rsidRPr="00597A3D" w:rsidRDefault="00597A3D" w:rsidP="00597A3D">
      <w:pPr>
        <w:spacing w:before="0"/>
        <w:jc w:val="center"/>
        <w:rPr>
          <w:sz w:val="22"/>
          <w:szCs w:val="18"/>
        </w:rPr>
      </w:pPr>
      <w:r>
        <w:rPr>
          <w:sz w:val="22"/>
          <w:szCs w:val="18"/>
        </w:rPr>
        <w:t>________________</w:t>
      </w:r>
    </w:p>
    <w:sectPr w:rsidR="00597A3D" w:rsidRPr="00597A3D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95B41" w14:textId="77777777" w:rsidR="00626F69" w:rsidRDefault="00626F69">
      <w:r>
        <w:separator/>
      </w:r>
    </w:p>
  </w:endnote>
  <w:endnote w:type="continuationSeparator" w:id="0">
    <w:p w14:paraId="1EC1A818" w14:textId="77777777" w:rsidR="00626F69" w:rsidRDefault="0062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E01E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21D14" w14:textId="77777777" w:rsidR="00626F69" w:rsidRDefault="00626F69">
      <w:r>
        <w:t>____________________</w:t>
      </w:r>
    </w:p>
  </w:footnote>
  <w:footnote w:type="continuationSeparator" w:id="0">
    <w:p w14:paraId="070C0DBA" w14:textId="77777777" w:rsidR="00626F69" w:rsidRDefault="00626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E216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69"/>
    <w:rsid w:val="00002529"/>
    <w:rsid w:val="00085662"/>
    <w:rsid w:val="000C382F"/>
    <w:rsid w:val="000E2CAE"/>
    <w:rsid w:val="001173CC"/>
    <w:rsid w:val="001350B9"/>
    <w:rsid w:val="0014464D"/>
    <w:rsid w:val="001A54CC"/>
    <w:rsid w:val="00257FB4"/>
    <w:rsid w:val="002A1CE7"/>
    <w:rsid w:val="002E496E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5719E"/>
    <w:rsid w:val="00597A3D"/>
    <w:rsid w:val="00626F69"/>
    <w:rsid w:val="006969B4"/>
    <w:rsid w:val="006E4F7B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C17AD"/>
    <w:rsid w:val="008D02CD"/>
    <w:rsid w:val="0091370C"/>
    <w:rsid w:val="0095172A"/>
    <w:rsid w:val="009A0BA0"/>
    <w:rsid w:val="00A54E47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A1C37"/>
    <w:rsid w:val="00DD77C9"/>
    <w:rsid w:val="00DF3538"/>
    <w:rsid w:val="00E34D83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77546F"/>
  <w15:docId w15:val="{0B482F58-D52B-4176-AA76-5880F9A9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超链接1,Style 58,超????,하이퍼링크2,超?级链"/>
    <w:basedOn w:val="DefaultParagraphFont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bdir@itu.int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T25-SG02-260204-TD-PLEN-0423/e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u.int/en/ITU-T/inr/enum/Pages/delegation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tu.int/en/ITU-T/inr/enu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tsbsg..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irez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31A4DE-2495-4F54-8AD4-F7AE5C91BD6A}"/>
</file>

<file path=customXml/itemProps3.xml><?xml version="1.0" encoding="utf-8"?>
<ds:datastoreItem xmlns:ds="http://schemas.openxmlformats.org/officeDocument/2006/customXml" ds:itemID="{E961A347-545A-4B92-99F3-2562119AC091}"/>
</file>

<file path=customXml/itemProps4.xml><?xml version="1.0" encoding="utf-8"?>
<ds:datastoreItem xmlns:ds="http://schemas.openxmlformats.org/officeDocument/2006/customXml" ds:itemID="{AF4F891D-66A0-4337-BEED-3D51DBE3BABB}"/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36</TotalTime>
  <Pages>3</Pages>
  <Words>675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4611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Spanish</cp:lastModifiedBy>
  <cp:revision>4</cp:revision>
  <cp:lastPrinted>2011-04-15T08:24:00Z</cp:lastPrinted>
  <dcterms:created xsi:type="dcterms:W3CDTF">2026-03-31T12:35:00Z</dcterms:created>
  <dcterms:modified xsi:type="dcterms:W3CDTF">2026-03-31T13:13:00Z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