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130"/>
        <w:gridCol w:w="5320"/>
      </w:tblGrid>
      <w:tr w:rsidR="00EF6A23" w:rsidRPr="00B60868" w14:paraId="3FDAE1F3" w14:textId="77777777" w:rsidTr="003F083D">
        <w:trPr>
          <w:cantSplit/>
        </w:trPr>
        <w:tc>
          <w:tcPr>
            <w:tcW w:w="0" w:type="auto"/>
            <w:vAlign w:val="center"/>
          </w:tcPr>
          <w:p w14:paraId="3DE42CAA" w14:textId="77777777" w:rsidR="00EF6A23" w:rsidRPr="00B60868" w:rsidRDefault="00EF6A23" w:rsidP="00D14F31">
            <w:pPr>
              <w:tabs>
                <w:tab w:val="right" w:pos="8732"/>
              </w:tabs>
              <w:spacing w:before="0"/>
              <w:rPr>
                <w:b/>
                <w:bCs/>
                <w:iCs/>
                <w:color w:val="FFFFFF"/>
                <w:sz w:val="30"/>
                <w:szCs w:val="30"/>
              </w:rPr>
            </w:pPr>
            <w:r w:rsidRPr="00B60868">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B60868" w:rsidRDefault="00EF6A23" w:rsidP="00EF6A23">
            <w:pPr>
              <w:spacing w:before="0"/>
              <w:rPr>
                <w:rFonts w:cs="Times New Roman Bold"/>
                <w:b/>
                <w:bCs/>
                <w:iCs/>
                <w:smallCaps/>
                <w:sz w:val="34"/>
                <w:szCs w:val="34"/>
              </w:rPr>
            </w:pPr>
            <w:r w:rsidRPr="00B60868">
              <w:rPr>
                <w:rFonts w:cs="Times New Roman Bold"/>
                <w:b/>
                <w:bCs/>
                <w:iCs/>
                <w:smallCaps/>
                <w:sz w:val="34"/>
                <w:szCs w:val="34"/>
              </w:rPr>
              <w:t>Union internationale des télécommunications</w:t>
            </w:r>
          </w:p>
          <w:p w14:paraId="089E66D0" w14:textId="77777777" w:rsidR="00EF6A23" w:rsidRPr="00B60868" w:rsidRDefault="00EF6A23" w:rsidP="00EF6A23">
            <w:pPr>
              <w:spacing w:before="0"/>
              <w:rPr>
                <w:color w:val="FFFFFF"/>
                <w:sz w:val="26"/>
                <w:szCs w:val="26"/>
              </w:rPr>
            </w:pPr>
            <w:r w:rsidRPr="00B60868">
              <w:rPr>
                <w:rFonts w:cs="Times New Roman Bold"/>
                <w:b/>
                <w:bCs/>
                <w:iCs/>
                <w:smallCaps/>
                <w:sz w:val="28"/>
                <w:szCs w:val="28"/>
              </w:rPr>
              <w:t>B</w:t>
            </w:r>
            <w:r w:rsidRPr="00B60868">
              <w:rPr>
                <w:b/>
                <w:bCs/>
                <w:iCs/>
                <w:smallCaps/>
                <w:sz w:val="28"/>
                <w:szCs w:val="28"/>
              </w:rPr>
              <w:t>ureau de la Normalisation des Télécommunications</w:t>
            </w:r>
          </w:p>
        </w:tc>
      </w:tr>
      <w:tr w:rsidR="00036F4F" w:rsidRPr="00B60868" w14:paraId="18B25741" w14:textId="77777777" w:rsidTr="00653E4B">
        <w:trPr>
          <w:cantSplit/>
        </w:trPr>
        <w:tc>
          <w:tcPr>
            <w:tcW w:w="0" w:type="auto"/>
          </w:tcPr>
          <w:p w14:paraId="4B1AFD72" w14:textId="77777777" w:rsidR="00036F4F" w:rsidRPr="00B60868" w:rsidRDefault="00036F4F" w:rsidP="00A5280F">
            <w:pPr>
              <w:tabs>
                <w:tab w:val="left" w:pos="4111"/>
              </w:tabs>
              <w:spacing w:before="10"/>
              <w:ind w:left="57"/>
            </w:pPr>
          </w:p>
        </w:tc>
        <w:tc>
          <w:tcPr>
            <w:tcW w:w="3163" w:type="dxa"/>
          </w:tcPr>
          <w:p w14:paraId="6579D3E8" w14:textId="77777777" w:rsidR="00036F4F" w:rsidRPr="00B60868" w:rsidRDefault="00036F4F" w:rsidP="00A5280F">
            <w:pPr>
              <w:tabs>
                <w:tab w:val="left" w:pos="4111"/>
              </w:tabs>
              <w:spacing w:before="10"/>
              <w:ind w:left="57"/>
              <w:rPr>
                <w:b/>
              </w:rPr>
            </w:pPr>
          </w:p>
        </w:tc>
        <w:tc>
          <w:tcPr>
            <w:tcW w:w="5287" w:type="dxa"/>
          </w:tcPr>
          <w:p w14:paraId="0DC34ECA" w14:textId="61C3DEA3" w:rsidR="00036F4F" w:rsidRPr="00B60868" w:rsidRDefault="00095223" w:rsidP="00A5645A">
            <w:pPr>
              <w:tabs>
                <w:tab w:val="clear" w:pos="794"/>
                <w:tab w:val="clear" w:pos="1191"/>
                <w:tab w:val="clear" w:pos="1588"/>
                <w:tab w:val="clear" w:pos="1985"/>
                <w:tab w:val="left" w:pos="284"/>
              </w:tabs>
              <w:spacing w:after="120"/>
              <w:ind w:left="284" w:hanging="227"/>
            </w:pPr>
            <w:r w:rsidRPr="00095223">
              <w:t>Genève, le 31 mars 2026</w:t>
            </w:r>
          </w:p>
        </w:tc>
      </w:tr>
      <w:tr w:rsidR="00653E4B" w:rsidRPr="00B60868" w14:paraId="16CDDFEF" w14:textId="77777777" w:rsidTr="00653E4B">
        <w:trPr>
          <w:cantSplit/>
          <w:trHeight w:val="340"/>
        </w:trPr>
        <w:tc>
          <w:tcPr>
            <w:tcW w:w="0" w:type="auto"/>
          </w:tcPr>
          <w:p w14:paraId="3EFF375D" w14:textId="58556577" w:rsidR="00653E4B" w:rsidRPr="00B60868" w:rsidRDefault="00653E4B" w:rsidP="00307FB4">
            <w:pPr>
              <w:tabs>
                <w:tab w:val="left" w:pos="4111"/>
              </w:tabs>
              <w:spacing w:before="10"/>
              <w:ind w:left="57"/>
              <w:rPr>
                <w:b/>
                <w:bCs/>
              </w:rPr>
            </w:pPr>
            <w:r w:rsidRPr="00B60868">
              <w:rPr>
                <w:b/>
                <w:bCs/>
              </w:rPr>
              <w:t>Réf.:</w:t>
            </w:r>
          </w:p>
        </w:tc>
        <w:tc>
          <w:tcPr>
            <w:tcW w:w="3163" w:type="dxa"/>
          </w:tcPr>
          <w:p w14:paraId="5FFBBC9B" w14:textId="1626BB6D" w:rsidR="00653E4B" w:rsidRPr="00B60868" w:rsidRDefault="00653E4B" w:rsidP="00A5280F">
            <w:pPr>
              <w:tabs>
                <w:tab w:val="left" w:pos="4111"/>
              </w:tabs>
              <w:spacing w:before="10"/>
              <w:ind w:left="57"/>
              <w:rPr>
                <w:b/>
              </w:rPr>
            </w:pPr>
            <w:r w:rsidRPr="00B60868">
              <w:rPr>
                <w:b/>
              </w:rPr>
              <w:t xml:space="preserve">Circulaire TSB </w:t>
            </w:r>
            <w:r>
              <w:rPr>
                <w:b/>
              </w:rPr>
              <w:t>123</w:t>
            </w:r>
          </w:p>
          <w:p w14:paraId="577F6DA2" w14:textId="62EA2A50" w:rsidR="00653E4B" w:rsidRPr="00095223" w:rsidRDefault="00653E4B" w:rsidP="00307FB4">
            <w:pPr>
              <w:tabs>
                <w:tab w:val="left" w:pos="4111"/>
              </w:tabs>
              <w:spacing w:before="10"/>
              <w:ind w:left="57"/>
            </w:pPr>
            <w:r w:rsidRPr="00095223">
              <w:t>CE 2/MCB</w:t>
            </w:r>
          </w:p>
        </w:tc>
        <w:tc>
          <w:tcPr>
            <w:tcW w:w="5287" w:type="dxa"/>
            <w:vMerge w:val="restart"/>
          </w:tcPr>
          <w:p w14:paraId="35271D8E" w14:textId="3A22F6F4" w:rsidR="00653E4B" w:rsidRPr="00B60868" w:rsidRDefault="00653E4B" w:rsidP="00307FB4">
            <w:pPr>
              <w:tabs>
                <w:tab w:val="left" w:pos="4111"/>
              </w:tabs>
              <w:spacing w:before="0"/>
              <w:ind w:left="426" w:hanging="426"/>
            </w:pPr>
            <w:bookmarkStart w:id="0" w:name="Addressee_F"/>
            <w:bookmarkEnd w:id="0"/>
            <w:r w:rsidRPr="00B60868">
              <w:t>–</w:t>
            </w:r>
            <w:r w:rsidRPr="00B60868">
              <w:tab/>
            </w:r>
            <w:r>
              <w:t xml:space="preserve">Aux </w:t>
            </w:r>
            <w:r w:rsidRPr="00B60868">
              <w:t>Administrations des États Membres de l'Union;</w:t>
            </w:r>
          </w:p>
          <w:p w14:paraId="457C4894" w14:textId="77777777" w:rsidR="00653E4B" w:rsidRPr="00B60868" w:rsidRDefault="00653E4B" w:rsidP="00307FB4">
            <w:pPr>
              <w:tabs>
                <w:tab w:val="left" w:pos="4111"/>
              </w:tabs>
              <w:spacing w:before="0"/>
              <w:ind w:left="426" w:hanging="426"/>
            </w:pPr>
            <w:r w:rsidRPr="00B60868">
              <w:t>–</w:t>
            </w:r>
            <w:r w:rsidRPr="00B60868">
              <w:tab/>
            </w:r>
            <w:r w:rsidRPr="00095223">
              <w:t>À l'État de Palestine (Rés. 99 (Rév. Dubaï, 2018))</w:t>
            </w:r>
          </w:p>
          <w:p w14:paraId="4BF92A49" w14:textId="77777777" w:rsidR="00653E4B" w:rsidRPr="00B60868" w:rsidRDefault="00653E4B" w:rsidP="00307FB4">
            <w:pPr>
              <w:tabs>
                <w:tab w:val="clear" w:pos="794"/>
                <w:tab w:val="left" w:pos="226"/>
                <w:tab w:val="left" w:pos="4111"/>
              </w:tabs>
              <w:spacing w:before="0"/>
              <w:ind w:left="226" w:hanging="226"/>
              <w:rPr>
                <w:b/>
                <w:bCs/>
              </w:rPr>
            </w:pPr>
            <w:r w:rsidRPr="00B60868">
              <w:rPr>
                <w:b/>
                <w:bCs/>
              </w:rPr>
              <w:t>Copie:</w:t>
            </w:r>
          </w:p>
          <w:p w14:paraId="30D8082A" w14:textId="77777777" w:rsidR="00653E4B" w:rsidRPr="00B60868" w:rsidRDefault="00653E4B" w:rsidP="00307FB4">
            <w:pPr>
              <w:tabs>
                <w:tab w:val="clear" w:pos="794"/>
                <w:tab w:val="left" w:pos="4111"/>
              </w:tabs>
              <w:spacing w:before="0"/>
              <w:ind w:left="426" w:hanging="426"/>
            </w:pPr>
            <w:r w:rsidRPr="00B60868">
              <w:t>–</w:t>
            </w:r>
            <w:r w:rsidRPr="00B60868">
              <w:tab/>
            </w:r>
            <w:r>
              <w:t>A</w:t>
            </w:r>
            <w:r>
              <w:rPr>
                <w:color w:val="000000"/>
              </w:rPr>
              <w:t>ux Membres du Secteur de l'UIT-T;</w:t>
            </w:r>
          </w:p>
          <w:p w14:paraId="6ABDFE55" w14:textId="77777777" w:rsidR="00653E4B" w:rsidRPr="00B60868" w:rsidRDefault="00653E4B" w:rsidP="00307FB4">
            <w:pPr>
              <w:tabs>
                <w:tab w:val="clear" w:pos="794"/>
                <w:tab w:val="left" w:pos="4111"/>
              </w:tabs>
              <w:spacing w:before="0"/>
              <w:ind w:left="426" w:hanging="426"/>
            </w:pPr>
            <w:r w:rsidRPr="00B60868">
              <w:t>–</w:t>
            </w:r>
            <w:r w:rsidRPr="00B60868">
              <w:tab/>
            </w:r>
            <w:r>
              <w:t>A</w:t>
            </w:r>
            <w:r w:rsidRPr="00095223">
              <w:t>ux Associés de l'UIT-T participant aux travaux de la Commission d'études 2;</w:t>
            </w:r>
          </w:p>
          <w:p w14:paraId="15D3033C" w14:textId="77777777" w:rsidR="00653E4B" w:rsidRDefault="00653E4B" w:rsidP="00307FB4">
            <w:pPr>
              <w:tabs>
                <w:tab w:val="clear" w:pos="794"/>
                <w:tab w:val="left" w:pos="4111"/>
              </w:tabs>
              <w:spacing w:before="0"/>
              <w:ind w:left="426" w:hanging="426"/>
            </w:pPr>
            <w:r w:rsidRPr="00B60868">
              <w:t>–</w:t>
            </w:r>
            <w:r w:rsidRPr="00B60868">
              <w:tab/>
            </w:r>
            <w:r>
              <w:t>A</w:t>
            </w:r>
            <w:r w:rsidRPr="00095223">
              <w:t>ux établissements universitaires participant aux travaux de l'UIT;</w:t>
            </w:r>
          </w:p>
          <w:p w14:paraId="5B2FCE0A" w14:textId="77777777" w:rsidR="00653E4B" w:rsidRDefault="00653E4B" w:rsidP="00095223">
            <w:pPr>
              <w:tabs>
                <w:tab w:val="clear" w:pos="794"/>
                <w:tab w:val="left" w:pos="4111"/>
              </w:tabs>
              <w:spacing w:before="0"/>
              <w:ind w:left="426" w:hanging="426"/>
            </w:pPr>
            <w:r w:rsidRPr="00B60868">
              <w:t>–</w:t>
            </w:r>
            <w:r w:rsidRPr="00B60868">
              <w:tab/>
            </w:r>
            <w:r>
              <w:t>Au Président et aux Vice-Présidents de la Commission d'études 2 de l'UIT-T;</w:t>
            </w:r>
          </w:p>
          <w:p w14:paraId="54004D24" w14:textId="77777777" w:rsidR="00653E4B" w:rsidRDefault="00653E4B" w:rsidP="00095223">
            <w:pPr>
              <w:tabs>
                <w:tab w:val="clear" w:pos="794"/>
                <w:tab w:val="left" w:pos="4111"/>
              </w:tabs>
              <w:spacing w:before="0"/>
              <w:ind w:left="426" w:hanging="426"/>
            </w:pPr>
            <w:r w:rsidRPr="00B60868">
              <w:t>–</w:t>
            </w:r>
            <w:r w:rsidRPr="00B60868">
              <w:tab/>
            </w:r>
            <w:r>
              <w:t>Au Directeur du Bureau de développement des télécommunications;</w:t>
            </w:r>
          </w:p>
          <w:p w14:paraId="2A9C536B" w14:textId="77777777" w:rsidR="00653E4B" w:rsidRDefault="00653E4B" w:rsidP="00095223">
            <w:pPr>
              <w:tabs>
                <w:tab w:val="clear" w:pos="794"/>
                <w:tab w:val="left" w:pos="4111"/>
              </w:tabs>
              <w:spacing w:before="0"/>
              <w:ind w:left="426" w:hanging="426"/>
            </w:pPr>
            <w:r w:rsidRPr="00B60868">
              <w:t>–</w:t>
            </w:r>
            <w:r w:rsidRPr="00B60868">
              <w:tab/>
            </w:r>
            <w:r>
              <w:t>Au Directeur du Bureau des radiocommunications;</w:t>
            </w:r>
          </w:p>
          <w:p w14:paraId="4A38F494" w14:textId="77777777" w:rsidR="00653E4B" w:rsidRDefault="00653E4B" w:rsidP="00095223">
            <w:pPr>
              <w:tabs>
                <w:tab w:val="clear" w:pos="794"/>
                <w:tab w:val="left" w:pos="4111"/>
              </w:tabs>
              <w:spacing w:before="0"/>
              <w:ind w:left="426" w:hanging="426"/>
            </w:pPr>
            <w:r w:rsidRPr="00B60868">
              <w:t>–</w:t>
            </w:r>
            <w:r w:rsidRPr="00B60868">
              <w:tab/>
            </w:r>
            <w:r>
              <w:t>Au Comité d'architecture de l'Internet, c/o Groupe de travail sur l'ingénierie Internet;</w:t>
            </w:r>
          </w:p>
          <w:p w14:paraId="461460AE" w14:textId="060BC143" w:rsidR="00653E4B" w:rsidRPr="00B60868" w:rsidRDefault="00653E4B" w:rsidP="00095223">
            <w:pPr>
              <w:tabs>
                <w:tab w:val="left" w:pos="4111"/>
              </w:tabs>
              <w:spacing w:before="0"/>
              <w:ind w:left="426" w:hanging="426"/>
            </w:pPr>
            <w:r w:rsidRPr="00B60868">
              <w:t>–</w:t>
            </w:r>
            <w:r w:rsidRPr="00B60868">
              <w:tab/>
            </w:r>
            <w:r>
              <w:t>Au Centre de coordination des réseaux IP Européens</w:t>
            </w:r>
          </w:p>
        </w:tc>
      </w:tr>
      <w:tr w:rsidR="00653E4B" w:rsidRPr="00B60868" w14:paraId="06A3F0E7" w14:textId="77777777" w:rsidTr="00653E4B">
        <w:trPr>
          <w:cantSplit/>
          <w:trHeight w:val="274"/>
        </w:trPr>
        <w:tc>
          <w:tcPr>
            <w:tcW w:w="0" w:type="auto"/>
          </w:tcPr>
          <w:p w14:paraId="5CF43A7B" w14:textId="0CB1F145" w:rsidR="00653E4B" w:rsidRPr="00095223" w:rsidRDefault="00653E4B" w:rsidP="00A5280F">
            <w:pPr>
              <w:tabs>
                <w:tab w:val="left" w:pos="4111"/>
              </w:tabs>
              <w:spacing w:before="10"/>
              <w:ind w:left="57"/>
            </w:pPr>
            <w:r w:rsidRPr="00B60868">
              <w:rPr>
                <w:b/>
                <w:bCs/>
              </w:rPr>
              <w:t>Tél.:</w:t>
            </w:r>
          </w:p>
        </w:tc>
        <w:tc>
          <w:tcPr>
            <w:tcW w:w="3163" w:type="dxa"/>
          </w:tcPr>
          <w:p w14:paraId="2074781F" w14:textId="0C08E209" w:rsidR="00653E4B" w:rsidRPr="00095223" w:rsidRDefault="00653E4B" w:rsidP="00A5280F">
            <w:pPr>
              <w:tabs>
                <w:tab w:val="left" w:pos="4111"/>
              </w:tabs>
              <w:spacing w:before="0"/>
              <w:ind w:left="57"/>
            </w:pPr>
            <w:r w:rsidRPr="00095223">
              <w:t>+41 22 730 5901</w:t>
            </w:r>
          </w:p>
        </w:tc>
        <w:tc>
          <w:tcPr>
            <w:tcW w:w="5287" w:type="dxa"/>
            <w:vMerge/>
          </w:tcPr>
          <w:p w14:paraId="2F310545" w14:textId="2294E75B" w:rsidR="00653E4B" w:rsidRPr="00B60868" w:rsidRDefault="00653E4B" w:rsidP="00095223">
            <w:pPr>
              <w:tabs>
                <w:tab w:val="left" w:pos="4111"/>
              </w:tabs>
              <w:spacing w:before="0"/>
              <w:ind w:left="426" w:hanging="426"/>
            </w:pPr>
          </w:p>
        </w:tc>
      </w:tr>
      <w:tr w:rsidR="00653E4B" w:rsidRPr="00B60868" w14:paraId="030F9AE5" w14:textId="77777777" w:rsidTr="00653E4B">
        <w:trPr>
          <w:cantSplit/>
          <w:trHeight w:val="249"/>
        </w:trPr>
        <w:tc>
          <w:tcPr>
            <w:tcW w:w="0" w:type="auto"/>
          </w:tcPr>
          <w:p w14:paraId="7B417C4C" w14:textId="77777777" w:rsidR="00653E4B" w:rsidRPr="00B60868" w:rsidRDefault="00653E4B" w:rsidP="00A5280F">
            <w:pPr>
              <w:tabs>
                <w:tab w:val="left" w:pos="4111"/>
              </w:tabs>
              <w:spacing w:before="10"/>
              <w:ind w:left="57"/>
              <w:rPr>
                <w:b/>
                <w:bCs/>
                <w:sz w:val="20"/>
              </w:rPr>
            </w:pPr>
            <w:r w:rsidRPr="00B60868">
              <w:rPr>
                <w:b/>
                <w:bCs/>
              </w:rPr>
              <w:t>Télécopie:</w:t>
            </w:r>
          </w:p>
        </w:tc>
        <w:tc>
          <w:tcPr>
            <w:tcW w:w="3163" w:type="dxa"/>
          </w:tcPr>
          <w:p w14:paraId="1A4A5F7B" w14:textId="77777777" w:rsidR="00653E4B" w:rsidRPr="00B60868" w:rsidRDefault="00653E4B" w:rsidP="00A5280F">
            <w:pPr>
              <w:tabs>
                <w:tab w:val="left" w:pos="4111"/>
              </w:tabs>
              <w:spacing w:before="0"/>
              <w:ind w:left="57"/>
            </w:pPr>
            <w:r w:rsidRPr="00B60868">
              <w:t>+41 22 730 5853</w:t>
            </w:r>
          </w:p>
        </w:tc>
        <w:tc>
          <w:tcPr>
            <w:tcW w:w="5287" w:type="dxa"/>
            <w:vMerge/>
          </w:tcPr>
          <w:p w14:paraId="323DAC81" w14:textId="21F3C0AB" w:rsidR="00653E4B" w:rsidRPr="00B60868" w:rsidRDefault="00653E4B" w:rsidP="00095223">
            <w:pPr>
              <w:tabs>
                <w:tab w:val="left" w:pos="4111"/>
              </w:tabs>
              <w:spacing w:before="0"/>
              <w:ind w:left="426" w:hanging="426"/>
              <w:rPr>
                <w:b/>
              </w:rPr>
            </w:pPr>
          </w:p>
        </w:tc>
      </w:tr>
      <w:tr w:rsidR="00653E4B" w:rsidRPr="00B60868" w14:paraId="640FB6B9" w14:textId="77777777" w:rsidTr="00653E4B">
        <w:trPr>
          <w:cantSplit/>
        </w:trPr>
        <w:tc>
          <w:tcPr>
            <w:tcW w:w="0" w:type="auto"/>
          </w:tcPr>
          <w:p w14:paraId="15527369" w14:textId="0865F49A" w:rsidR="00653E4B" w:rsidRPr="00B60868" w:rsidRDefault="00653E4B" w:rsidP="00A5280F">
            <w:pPr>
              <w:tabs>
                <w:tab w:val="left" w:pos="4111"/>
              </w:tabs>
              <w:spacing w:before="10"/>
              <w:ind w:left="57"/>
              <w:rPr>
                <w:b/>
                <w:bCs/>
              </w:rPr>
            </w:pPr>
            <w:r w:rsidRPr="00B60868">
              <w:rPr>
                <w:b/>
                <w:bCs/>
              </w:rPr>
              <w:t>Courriel:</w:t>
            </w:r>
          </w:p>
        </w:tc>
        <w:tc>
          <w:tcPr>
            <w:tcW w:w="3163" w:type="dxa"/>
          </w:tcPr>
          <w:p w14:paraId="172249CE" w14:textId="69477073" w:rsidR="00653E4B" w:rsidRPr="00B60868" w:rsidRDefault="00653E4B" w:rsidP="00095223">
            <w:pPr>
              <w:tabs>
                <w:tab w:val="left" w:pos="4111"/>
              </w:tabs>
              <w:spacing w:before="0"/>
              <w:ind w:left="57"/>
            </w:pPr>
            <w:hyperlink r:id="rId9" w:history="1">
              <w:r w:rsidRPr="00BB0F7E">
                <w:rPr>
                  <w:rStyle w:val="Hyperlink"/>
                </w:rPr>
                <w:t>tsbsg2@itu.int</w:t>
              </w:r>
            </w:hyperlink>
          </w:p>
        </w:tc>
        <w:tc>
          <w:tcPr>
            <w:tcW w:w="5287" w:type="dxa"/>
            <w:vMerge/>
          </w:tcPr>
          <w:p w14:paraId="19762254" w14:textId="6542DD56" w:rsidR="00653E4B" w:rsidRPr="00B60868" w:rsidRDefault="00653E4B" w:rsidP="00095223">
            <w:pPr>
              <w:tabs>
                <w:tab w:val="clear" w:pos="794"/>
                <w:tab w:val="left" w:pos="4111"/>
              </w:tabs>
              <w:spacing w:before="0"/>
              <w:ind w:left="426" w:hanging="426"/>
            </w:pPr>
          </w:p>
        </w:tc>
      </w:tr>
      <w:tr w:rsidR="00517A03" w:rsidRPr="00B60868" w14:paraId="5435C04A" w14:textId="77777777" w:rsidTr="00C41B89">
        <w:trPr>
          <w:cantSplit/>
          <w:trHeight w:val="397"/>
        </w:trPr>
        <w:tc>
          <w:tcPr>
            <w:tcW w:w="0" w:type="auto"/>
          </w:tcPr>
          <w:p w14:paraId="2A0B9B4F" w14:textId="77777777" w:rsidR="00517A03" w:rsidRPr="00B60868" w:rsidRDefault="00517A03" w:rsidP="00307FB4">
            <w:pPr>
              <w:tabs>
                <w:tab w:val="left" w:pos="4111"/>
              </w:tabs>
              <w:ind w:left="57"/>
              <w:rPr>
                <w:b/>
                <w:bCs/>
                <w:szCs w:val="22"/>
              </w:rPr>
            </w:pPr>
            <w:r w:rsidRPr="00B60868">
              <w:rPr>
                <w:b/>
                <w:bCs/>
                <w:szCs w:val="22"/>
              </w:rPr>
              <w:t>Objet:</w:t>
            </w:r>
          </w:p>
        </w:tc>
        <w:tc>
          <w:tcPr>
            <w:tcW w:w="0" w:type="auto"/>
            <w:gridSpan w:val="2"/>
          </w:tcPr>
          <w:p w14:paraId="1A51EE75" w14:textId="53B26E0D" w:rsidR="00517A03" w:rsidRPr="00B60868" w:rsidRDefault="00095223" w:rsidP="0048088B">
            <w:pPr>
              <w:tabs>
                <w:tab w:val="left" w:pos="4111"/>
              </w:tabs>
              <w:spacing w:after="120"/>
              <w:ind w:left="57"/>
              <w:rPr>
                <w:b/>
                <w:bCs/>
                <w:szCs w:val="22"/>
              </w:rPr>
            </w:pPr>
            <w:r w:rsidRPr="00095223">
              <w:rPr>
                <w:b/>
                <w:bCs/>
                <w:szCs w:val="22"/>
              </w:rPr>
              <w:t>Consultation des États Membres au sujet de l</w:t>
            </w:r>
            <w:r w:rsidR="00CB7DE0">
              <w:rPr>
                <w:b/>
                <w:bCs/>
                <w:szCs w:val="22"/>
              </w:rPr>
              <w:t>'</w:t>
            </w:r>
            <w:r w:rsidRPr="00095223">
              <w:rPr>
                <w:b/>
                <w:bCs/>
                <w:szCs w:val="22"/>
              </w:rPr>
              <w:t>abandon de la délégation des indicatifs de pays E.164 dans le système des noms de domaine pour ce qui est du domaine e164.arpa</w:t>
            </w:r>
          </w:p>
        </w:tc>
      </w:tr>
    </w:tbl>
    <w:p w14:paraId="2D1EC328" w14:textId="77777777" w:rsidR="00517A03" w:rsidRPr="00B60868" w:rsidRDefault="00517A03" w:rsidP="0048088B">
      <w:pPr>
        <w:spacing w:before="360"/>
      </w:pPr>
      <w:bookmarkStart w:id="1" w:name="StartTyping_F"/>
      <w:bookmarkEnd w:id="1"/>
      <w:r w:rsidRPr="00B60868">
        <w:t>Madame, Monsieur,</w:t>
      </w:r>
    </w:p>
    <w:p w14:paraId="05356E8C" w14:textId="311DDFB6" w:rsidR="00095223" w:rsidRPr="00095223" w:rsidRDefault="00095223" w:rsidP="00095223">
      <w:pPr>
        <w:rPr>
          <w:bCs/>
        </w:rPr>
      </w:pPr>
      <w:r w:rsidRPr="00095223">
        <w:rPr>
          <w:bCs/>
        </w:rPr>
        <w:t>1</w:t>
      </w:r>
      <w:r w:rsidRPr="00095223">
        <w:rPr>
          <w:bCs/>
        </w:rPr>
        <w:tab/>
        <w:t>En 2002, le Secteur de la normalisation des télécommunications de l'Union</w:t>
      </w:r>
      <w:r w:rsidR="006C6415">
        <w:rPr>
          <w:bCs/>
        </w:rPr>
        <w:t> </w:t>
      </w:r>
      <w:r w:rsidRPr="00095223">
        <w:rPr>
          <w:bCs/>
        </w:rPr>
        <w:t>internationale</w:t>
      </w:r>
      <w:r w:rsidR="006C6415">
        <w:rPr>
          <w:bCs/>
        </w:rPr>
        <w:t> </w:t>
      </w:r>
      <w:r w:rsidRPr="00095223">
        <w:rPr>
          <w:bCs/>
        </w:rPr>
        <w:t>des télécommunications (UIT-T) et le Centre de coordination des réseaux IP Européens (RIPE NCC) ont établi une procédure commune visant à déployer le système ENUM, qui permet de déléguer les indicatifs de pays E.164 dans le système des noms de domaine (DNS) sous</w:t>
      </w:r>
      <w:r w:rsidR="006C6415">
        <w:rPr>
          <w:bCs/>
        </w:rPr>
        <w:t> </w:t>
      </w:r>
      <w:r w:rsidRPr="00095223">
        <w:rPr>
          <w:bCs/>
        </w:rPr>
        <w:t>l'autorité des États</w:t>
      </w:r>
      <w:r>
        <w:rPr>
          <w:bCs/>
        </w:rPr>
        <w:t> </w:t>
      </w:r>
      <w:r w:rsidRPr="00095223">
        <w:rPr>
          <w:bCs/>
        </w:rPr>
        <w:t>Membres de l'UIT. La procédure a été élaborée conjointement par le RIPE</w:t>
      </w:r>
      <w:r w:rsidR="006C6415">
        <w:rPr>
          <w:bCs/>
        </w:rPr>
        <w:t> </w:t>
      </w:r>
      <w:r w:rsidRPr="00095223">
        <w:rPr>
          <w:bCs/>
        </w:rPr>
        <w:t>NCC et la Commission d'études 2 de l'UIT-T, le RIPE NCC étant responsable de l'exploitation de la zone</w:t>
      </w:r>
      <w:r>
        <w:rPr>
          <w:bCs/>
        </w:rPr>
        <w:t> </w:t>
      </w:r>
      <w:r w:rsidRPr="00095223">
        <w:rPr>
          <w:bCs/>
        </w:rPr>
        <w:t>supérieure du système, à savoir le domaine e164.arpa.</w:t>
      </w:r>
    </w:p>
    <w:p w14:paraId="19F845B8" w14:textId="69458767" w:rsidR="00095223" w:rsidRDefault="00095223" w:rsidP="00095223">
      <w:pPr>
        <w:rPr>
          <w:bCs/>
        </w:rPr>
      </w:pPr>
      <w:r w:rsidRPr="00095223">
        <w:rPr>
          <w:bCs/>
        </w:rPr>
        <w:t xml:space="preserve">On trouvera des documents de référence et la procédure complète de délégation à l'adresse </w:t>
      </w:r>
      <w:hyperlink r:id="rId10" w:history="1">
        <w:r w:rsidRPr="00BB0F7E">
          <w:rPr>
            <w:rStyle w:val="Hyperlink"/>
            <w:bCs/>
          </w:rPr>
          <w:t>https://itu.int/en/ITU-T/inr/enum</w:t>
        </w:r>
      </w:hyperlink>
      <w:r w:rsidRPr="00095223">
        <w:rPr>
          <w:bCs/>
        </w:rPr>
        <w:t>, ainsi que la liste des États Membres ayant utilisé la procédure à</w:t>
      </w:r>
      <w:r w:rsidR="006C6415">
        <w:rPr>
          <w:bCs/>
        </w:rPr>
        <w:t> </w:t>
      </w:r>
      <w:r w:rsidRPr="00095223">
        <w:rPr>
          <w:bCs/>
        </w:rPr>
        <w:t xml:space="preserve">l'adresse </w:t>
      </w:r>
      <w:hyperlink r:id="rId11" w:history="1">
        <w:r w:rsidRPr="00BB0F7E">
          <w:rPr>
            <w:rStyle w:val="Hyperlink"/>
            <w:bCs/>
          </w:rPr>
          <w:t>https://itu.int/en/ITU-T/inr/enum/Pages/delegations.aspx</w:t>
        </w:r>
      </w:hyperlink>
      <w:r>
        <w:rPr>
          <w:bCs/>
        </w:rPr>
        <w:t>.</w:t>
      </w:r>
    </w:p>
    <w:p w14:paraId="0FA6FC30" w14:textId="456F0792" w:rsidR="00095223" w:rsidRPr="00095223" w:rsidRDefault="00095223" w:rsidP="00653E4B">
      <w:pPr>
        <w:keepLines/>
        <w:rPr>
          <w:bCs/>
        </w:rPr>
      </w:pPr>
      <w:r w:rsidRPr="00095223">
        <w:rPr>
          <w:bCs/>
        </w:rPr>
        <w:lastRenderedPageBreak/>
        <w:t>2</w:t>
      </w:r>
      <w:r w:rsidRPr="00095223">
        <w:rPr>
          <w:bCs/>
        </w:rPr>
        <w:tab/>
        <w:t>Bien que le système soit géré depuis 2002, les informations recueillies au cours des dernières années indiquent une véritable désuétude. En effet, le trafic DNS vers les serveurs exploités par le RIPE NCC est négligeable depuis plusieurs années, certaines délégations d'indicatifs de pays E.164 ne sont pas pleinement fonctionnelles et aucun intérêt n'a été manifesté pour l'utilisation de ce système par des services actuels ou prévus. Des courriers antérieurement adressés par le Bureau de la normalisation des télécommunications (TSB) aux États</w:t>
      </w:r>
      <w:r w:rsidR="005148DD">
        <w:rPr>
          <w:bCs/>
        </w:rPr>
        <w:t> </w:t>
      </w:r>
      <w:r w:rsidRPr="00095223">
        <w:rPr>
          <w:bCs/>
        </w:rPr>
        <w:t>Membres concernant le dysfonctionnement des délégations donnent en outre à penser qu'il n'y a pas lieu de maintenir le cadre actuel.</w:t>
      </w:r>
    </w:p>
    <w:p w14:paraId="142570C4" w14:textId="25F6618A" w:rsidR="00095223" w:rsidRPr="00095223" w:rsidRDefault="00095223" w:rsidP="00095223">
      <w:pPr>
        <w:rPr>
          <w:bCs/>
        </w:rPr>
      </w:pPr>
      <w:r w:rsidRPr="00095223">
        <w:rPr>
          <w:bCs/>
        </w:rPr>
        <w:t>3</w:t>
      </w:r>
      <w:r w:rsidRPr="00095223">
        <w:rPr>
          <w:bCs/>
        </w:rPr>
        <w:tab/>
        <w:t>Lors de sa dernière réunion (Genève, 4-13 février 2026), la Commission d'études 2, en collaboration avec le RIPE NCC, a examiné cette situation et le coût que supposerait la gestion et la mise à jour d'un système inutilisé. La présente circulaire a pour objet de solliciter l'avis des États</w:t>
      </w:r>
      <w:r w:rsidR="005148DD">
        <w:rPr>
          <w:bCs/>
        </w:rPr>
        <w:t> </w:t>
      </w:r>
      <w:r w:rsidRPr="00095223">
        <w:rPr>
          <w:bCs/>
        </w:rPr>
        <w:t>Membres sur l'abandon éventuel du système ENUM pour ce qui est du domaine</w:t>
      </w:r>
      <w:r w:rsidR="005148DD">
        <w:rPr>
          <w:bCs/>
        </w:rPr>
        <w:t> </w:t>
      </w:r>
      <w:r w:rsidRPr="00095223">
        <w:rPr>
          <w:bCs/>
        </w:rPr>
        <w:t>e164.arpa. Les États</w:t>
      </w:r>
      <w:r w:rsidR="005148DD">
        <w:rPr>
          <w:bCs/>
        </w:rPr>
        <w:t> </w:t>
      </w:r>
      <w:r w:rsidRPr="00095223">
        <w:rPr>
          <w:bCs/>
        </w:rPr>
        <w:t>Membres sont priés de remplir le formulaire de l'</w:t>
      </w:r>
      <w:r w:rsidRPr="005148DD">
        <w:rPr>
          <w:b/>
        </w:rPr>
        <w:t>Annexe 1</w:t>
      </w:r>
      <w:r w:rsidRPr="00095223">
        <w:rPr>
          <w:bCs/>
        </w:rPr>
        <w:t xml:space="preserve"> et de le renvoyer au Directeur</w:t>
      </w:r>
      <w:r w:rsidR="005148DD">
        <w:rPr>
          <w:bCs/>
        </w:rPr>
        <w:t> </w:t>
      </w:r>
      <w:r w:rsidRPr="00095223">
        <w:rPr>
          <w:bCs/>
        </w:rPr>
        <w:t xml:space="preserve">du TSB </w:t>
      </w:r>
      <w:r w:rsidRPr="005148DD">
        <w:rPr>
          <w:b/>
        </w:rPr>
        <w:t>d</w:t>
      </w:r>
      <w:r w:rsidR="00CB7DE0">
        <w:rPr>
          <w:b/>
        </w:rPr>
        <w:t>'</w:t>
      </w:r>
      <w:r w:rsidRPr="005148DD">
        <w:rPr>
          <w:b/>
        </w:rPr>
        <w:t>ici au 15 août 2026 à 23 h 59 (UTC)</w:t>
      </w:r>
      <w:r w:rsidRPr="00095223">
        <w:rPr>
          <w:bCs/>
        </w:rPr>
        <w:t>.</w:t>
      </w:r>
    </w:p>
    <w:p w14:paraId="7B63D2EF" w14:textId="4E27AE30" w:rsidR="00095223" w:rsidRPr="00095223" w:rsidRDefault="00095223" w:rsidP="00095223">
      <w:pPr>
        <w:rPr>
          <w:bCs/>
        </w:rPr>
      </w:pPr>
      <w:r w:rsidRPr="00095223">
        <w:rPr>
          <w:bCs/>
        </w:rPr>
        <w:t>4</w:t>
      </w:r>
      <w:r w:rsidRPr="00095223">
        <w:rPr>
          <w:bCs/>
        </w:rPr>
        <w:tab/>
        <w:t xml:space="preserve">La Commission d'études 2 a également révisé les procédures intérimaires relatives au système ENUM (disponibles à l'adresse </w:t>
      </w:r>
      <w:hyperlink r:id="rId12" w:history="1">
        <w:r w:rsidR="005148DD" w:rsidRPr="00BB0F7E">
          <w:rPr>
            <w:rStyle w:val="Hyperlink"/>
            <w:bCs/>
          </w:rPr>
          <w:t>https://www.itu.int/md/T25-SG02-260204-TD-PLEN-0423/en</w:t>
        </w:r>
      </w:hyperlink>
      <w:r w:rsidRPr="00095223">
        <w:rPr>
          <w:bCs/>
        </w:rPr>
        <w:t>) et a décidé qu'elles pourraient entrer en vigueur à sa prochaine réunion (9</w:t>
      </w:r>
      <w:r>
        <w:rPr>
          <w:bCs/>
        </w:rPr>
        <w:noBreakHyphen/>
      </w:r>
      <w:r w:rsidRPr="00095223">
        <w:rPr>
          <w:bCs/>
        </w:rPr>
        <w:t>18</w:t>
      </w:r>
      <w:r>
        <w:rPr>
          <w:bCs/>
        </w:rPr>
        <w:t> </w:t>
      </w:r>
      <w:r w:rsidRPr="00095223">
        <w:rPr>
          <w:bCs/>
        </w:rPr>
        <w:t>septembre</w:t>
      </w:r>
      <w:r>
        <w:rPr>
          <w:bCs/>
        </w:rPr>
        <w:t> </w:t>
      </w:r>
      <w:r w:rsidRPr="00095223">
        <w:rPr>
          <w:bCs/>
        </w:rPr>
        <w:t>2026), sous réserve des conclusions tirées des réponses à la présente circulaire.</w:t>
      </w:r>
    </w:p>
    <w:p w14:paraId="46F2C3C2" w14:textId="3FA022D2" w:rsidR="00307FB4" w:rsidRPr="00B60868" w:rsidRDefault="00095223" w:rsidP="00095223">
      <w:pPr>
        <w:rPr>
          <w:bCs/>
        </w:rPr>
      </w:pPr>
      <w:r w:rsidRPr="00095223">
        <w:rPr>
          <w:bCs/>
        </w:rPr>
        <w:t>Il serait bienvenu que les États Membres communiquent leurs vues sur cette question.</w:t>
      </w:r>
    </w:p>
    <w:p w14:paraId="6A4CD67F" w14:textId="77777777" w:rsidR="00307FB4" w:rsidRPr="00B60868" w:rsidRDefault="00307FB4" w:rsidP="00307FB4">
      <w:pPr>
        <w:rPr>
          <w:bCs/>
        </w:rPr>
      </w:pPr>
      <w:r w:rsidRPr="00B60868">
        <w:rPr>
          <w:bCs/>
        </w:rPr>
        <w:t>Veuillez agréer, Madame, Monsieur, l'assurance de ma considération distinguée.</w:t>
      </w:r>
    </w:p>
    <w:p w14:paraId="3A296738" w14:textId="5A5DBCDD" w:rsidR="00B60868" w:rsidRPr="00B60868" w:rsidRDefault="00B60868" w:rsidP="00B60868">
      <w:pPr>
        <w:spacing w:before="480" w:after="480"/>
        <w:rPr>
          <w:bCs/>
        </w:rPr>
      </w:pPr>
      <w:r w:rsidRPr="00B60868">
        <w:rPr>
          <w:bCs/>
        </w:rPr>
        <w:t>(</w:t>
      </w:r>
      <w:r w:rsidRPr="00B60868">
        <w:rPr>
          <w:bCs/>
          <w:i/>
        </w:rPr>
        <w:t>signé</w:t>
      </w:r>
      <w:r w:rsidRPr="00B60868">
        <w:rPr>
          <w:bCs/>
        </w:rPr>
        <w:t>)</w:t>
      </w:r>
    </w:p>
    <w:p w14:paraId="558FB742" w14:textId="175CD9BE" w:rsidR="002937DB" w:rsidRDefault="00307FB4" w:rsidP="00B60868">
      <w:pPr>
        <w:rPr>
          <w:bCs/>
        </w:rPr>
      </w:pPr>
      <w:r w:rsidRPr="00B60868">
        <w:rPr>
          <w:bCs/>
        </w:rPr>
        <w:t>Seizo Onoe</w:t>
      </w:r>
      <w:r w:rsidR="00B60868" w:rsidRPr="00B60868">
        <w:rPr>
          <w:bCs/>
        </w:rPr>
        <w:br/>
      </w:r>
      <w:r w:rsidRPr="00B60868">
        <w:rPr>
          <w:bCs/>
        </w:rPr>
        <w:t>Directeur du Bureau de la normalisation</w:t>
      </w:r>
      <w:r w:rsidR="00B60868" w:rsidRPr="00B60868">
        <w:rPr>
          <w:bCs/>
        </w:rPr>
        <w:br/>
      </w:r>
      <w:r w:rsidRPr="00B60868">
        <w:rPr>
          <w:bCs/>
        </w:rPr>
        <w:t>des télécommunications</w:t>
      </w:r>
    </w:p>
    <w:p w14:paraId="1854D4DF" w14:textId="4AE8F7E8" w:rsidR="00095223" w:rsidRDefault="00095223" w:rsidP="00EF0643">
      <w:pPr>
        <w:spacing w:before="1200"/>
        <w:rPr>
          <w:bCs/>
        </w:rPr>
      </w:pPr>
      <w:r>
        <w:rPr>
          <w:b/>
          <w:bCs/>
        </w:rPr>
        <w:t>Annexe</w:t>
      </w:r>
      <w:r>
        <w:t>:</w:t>
      </w:r>
      <w:r>
        <w:tab/>
        <w:t>1</w:t>
      </w:r>
    </w:p>
    <w:p w14:paraId="601A1E45" w14:textId="77777777" w:rsidR="002937DB" w:rsidRDefault="002937DB">
      <w:pPr>
        <w:tabs>
          <w:tab w:val="clear" w:pos="794"/>
          <w:tab w:val="clear" w:pos="1191"/>
          <w:tab w:val="clear" w:pos="1588"/>
          <w:tab w:val="clear" w:pos="1985"/>
        </w:tabs>
        <w:overflowPunct/>
        <w:autoSpaceDE/>
        <w:autoSpaceDN/>
        <w:adjustRightInd/>
        <w:spacing w:before="0"/>
        <w:textAlignment w:val="auto"/>
        <w:rPr>
          <w:bCs/>
        </w:rPr>
      </w:pPr>
      <w:r>
        <w:rPr>
          <w:bCs/>
        </w:rPr>
        <w:br w:type="page"/>
      </w:r>
    </w:p>
    <w:p w14:paraId="3ACA6F41" w14:textId="7F5785B8" w:rsidR="00095223" w:rsidRPr="005148DD" w:rsidRDefault="00095223" w:rsidP="00923E04">
      <w:pPr>
        <w:pStyle w:val="Annextitle0"/>
        <w:spacing w:after="240"/>
        <w:rPr>
          <w:lang w:val="fr-FR"/>
        </w:rPr>
      </w:pPr>
      <w:r w:rsidRPr="005148DD">
        <w:rPr>
          <w:lang w:val="fr-FR"/>
        </w:rPr>
        <w:lastRenderedPageBreak/>
        <w:t>Annexe 1</w:t>
      </w:r>
      <w:r w:rsidRPr="005148DD">
        <w:rPr>
          <w:lang w:val="fr-FR"/>
        </w:rPr>
        <w:br/>
        <w:t xml:space="preserve">Réponse des États </w:t>
      </w:r>
      <w:r w:rsidRPr="00CB7DE0">
        <w:rPr>
          <w:lang w:val="fr-FR"/>
        </w:rPr>
        <w:t>Membres</w:t>
      </w:r>
      <w:r w:rsidRPr="005148DD">
        <w:rPr>
          <w:lang w:val="fr-FR"/>
        </w:rPr>
        <w:t xml:space="preserve"> à la Circulaire TSB 123:</w:t>
      </w:r>
      <w:r w:rsidRPr="005148DD">
        <w:rPr>
          <w:lang w:val="fr-FR"/>
        </w:rPr>
        <w:br/>
        <w:t>Vues sur l</w:t>
      </w:r>
      <w:r w:rsidR="00CB7DE0">
        <w:rPr>
          <w:lang w:val="fr-FR"/>
        </w:rPr>
        <w:t>'</w:t>
      </w:r>
      <w:r w:rsidRPr="005148DD">
        <w:rPr>
          <w:lang w:val="fr-FR"/>
        </w:rPr>
        <w:t xml:space="preserve">abandon éventuel du système ENUM </w:t>
      </w:r>
      <w:r w:rsidR="005148DD" w:rsidRPr="005148DD">
        <w:rPr>
          <w:lang w:val="fr-FR"/>
        </w:rPr>
        <w:br/>
      </w:r>
      <w:r w:rsidRPr="005148DD">
        <w:rPr>
          <w:lang w:val="fr-FR"/>
        </w:rPr>
        <w:t>pour ce qui est du domaine e164.arpa</w:t>
      </w:r>
    </w:p>
    <w:p w14:paraId="031AF0E6" w14:textId="77777777" w:rsidR="00095223" w:rsidRPr="00923E04" w:rsidRDefault="00095223" w:rsidP="00923E04">
      <w:pPr>
        <w:spacing w:after="120"/>
        <w:jc w:val="center"/>
      </w:pPr>
      <w:r>
        <w:t>À retourner au Directeur du TSB au plus tard le 15 août 2026</w:t>
      </w:r>
    </w:p>
    <w:tbl>
      <w:tblPr>
        <w:tblW w:w="10207" w:type="dxa"/>
        <w:tblInd w:w="-142" w:type="dxa"/>
        <w:tblLayout w:type="fixed"/>
        <w:tblLook w:val="04A0" w:firstRow="1" w:lastRow="0" w:firstColumn="1" w:lastColumn="0" w:noHBand="0" w:noVBand="1"/>
      </w:tblPr>
      <w:tblGrid>
        <w:gridCol w:w="1135"/>
        <w:gridCol w:w="3969"/>
        <w:gridCol w:w="1134"/>
        <w:gridCol w:w="3969"/>
      </w:tblGrid>
      <w:tr w:rsidR="00095223" w:rsidRPr="00C848C0" w14:paraId="7F25D655" w14:textId="77777777" w:rsidTr="005148DD">
        <w:tc>
          <w:tcPr>
            <w:tcW w:w="1135" w:type="dxa"/>
          </w:tcPr>
          <w:p w14:paraId="3B986AB1" w14:textId="77777777" w:rsidR="00095223" w:rsidRPr="00C848C0" w:rsidRDefault="00095223" w:rsidP="00F048C4">
            <w:pPr>
              <w:ind w:left="-57" w:right="-57"/>
              <w:jc w:val="right"/>
              <w:rPr>
                <w:szCs w:val="24"/>
              </w:rPr>
            </w:pPr>
          </w:p>
        </w:tc>
        <w:tc>
          <w:tcPr>
            <w:tcW w:w="3969" w:type="dxa"/>
            <w:tcBorders>
              <w:right w:val="single" w:sz="8" w:space="0" w:color="auto"/>
            </w:tcBorders>
          </w:tcPr>
          <w:p w14:paraId="6141D88D" w14:textId="77777777" w:rsidR="00095223" w:rsidRPr="00C848C0" w:rsidRDefault="00095223" w:rsidP="00F048C4">
            <w:pPr>
              <w:ind w:right="-57"/>
              <w:rPr>
                <w:szCs w:val="24"/>
              </w:rPr>
            </w:pPr>
            <w:r>
              <w:rPr>
                <w:color w:val="000000"/>
              </w:rPr>
              <w:t>Au Directeur du Bureau de la normalisation des télécommunications</w:t>
            </w:r>
          </w:p>
          <w:p w14:paraId="361D784F" w14:textId="77777777" w:rsidR="00095223" w:rsidRPr="00C848C0" w:rsidRDefault="00095223" w:rsidP="00F048C4">
            <w:pPr>
              <w:spacing w:before="0"/>
              <w:ind w:right="-57"/>
              <w:rPr>
                <w:szCs w:val="24"/>
              </w:rPr>
            </w:pPr>
            <w:r>
              <w:rPr>
                <w:color w:val="000000"/>
              </w:rPr>
              <w:t>Union internationale des télécommunications</w:t>
            </w:r>
          </w:p>
          <w:p w14:paraId="239D356F" w14:textId="77777777" w:rsidR="00095223" w:rsidRPr="00C848C0" w:rsidRDefault="00095223" w:rsidP="00F048C4">
            <w:pPr>
              <w:spacing w:before="0"/>
              <w:ind w:right="-57"/>
              <w:rPr>
                <w:szCs w:val="24"/>
              </w:rPr>
            </w:pPr>
            <w:r>
              <w:rPr>
                <w:color w:val="000000"/>
              </w:rPr>
              <w:t>Place des Nations</w:t>
            </w:r>
          </w:p>
          <w:p w14:paraId="6117A8C8" w14:textId="77777777" w:rsidR="00095223" w:rsidRPr="00A767F3" w:rsidRDefault="00095223" w:rsidP="00F048C4">
            <w:pPr>
              <w:spacing w:before="0"/>
              <w:ind w:right="-57"/>
              <w:rPr>
                <w:szCs w:val="24"/>
              </w:rPr>
            </w:pPr>
            <w:r>
              <w:rPr>
                <w:color w:val="000000"/>
              </w:rPr>
              <w:t>CH-1211 Genève 20, Suisse</w:t>
            </w:r>
          </w:p>
        </w:tc>
        <w:tc>
          <w:tcPr>
            <w:tcW w:w="1134" w:type="dxa"/>
            <w:tcBorders>
              <w:left w:val="single" w:sz="8" w:space="0" w:color="auto"/>
            </w:tcBorders>
          </w:tcPr>
          <w:p w14:paraId="63B2E91B" w14:textId="77777777" w:rsidR="00095223" w:rsidRPr="00A767F3" w:rsidRDefault="00095223" w:rsidP="00F048C4">
            <w:pPr>
              <w:ind w:left="-57" w:right="-57"/>
              <w:jc w:val="right"/>
              <w:rPr>
                <w:szCs w:val="24"/>
              </w:rPr>
            </w:pPr>
            <w:r>
              <w:rPr>
                <w:b/>
                <w:bCs/>
                <w:color w:val="000000"/>
              </w:rPr>
              <w:t>De</w:t>
            </w:r>
            <w:r>
              <w:rPr>
                <w:color w:val="000000"/>
              </w:rPr>
              <w:t>:</w:t>
            </w:r>
          </w:p>
        </w:tc>
        <w:tc>
          <w:tcPr>
            <w:tcW w:w="3969" w:type="dxa"/>
          </w:tcPr>
          <w:p w14:paraId="61A59297" w14:textId="77777777" w:rsidR="00095223" w:rsidRPr="00C848C0" w:rsidRDefault="00095223" w:rsidP="00F048C4">
            <w:pPr>
              <w:rPr>
                <w:szCs w:val="24"/>
                <w:highlight w:val="green"/>
              </w:rPr>
            </w:pPr>
            <w:r w:rsidRPr="00C848C0">
              <w:rPr>
                <w:color w:val="000000"/>
                <w:highlight w:val="green"/>
              </w:rPr>
              <w:t>[Nom]</w:t>
            </w:r>
          </w:p>
          <w:p w14:paraId="27F58645" w14:textId="77777777" w:rsidR="00095223" w:rsidRPr="00C848C0" w:rsidRDefault="00095223" w:rsidP="00F048C4">
            <w:pPr>
              <w:spacing w:before="0"/>
              <w:rPr>
                <w:szCs w:val="24"/>
                <w:highlight w:val="green"/>
              </w:rPr>
            </w:pPr>
            <w:r w:rsidRPr="00C848C0">
              <w:rPr>
                <w:color w:val="000000"/>
                <w:highlight w:val="green"/>
              </w:rPr>
              <w:t>[Rôle/titre officiel]</w:t>
            </w:r>
          </w:p>
          <w:p w14:paraId="112CCFA0" w14:textId="77777777" w:rsidR="00095223" w:rsidRPr="00C848C0" w:rsidRDefault="00095223" w:rsidP="00F048C4">
            <w:pPr>
              <w:spacing w:before="0"/>
              <w:rPr>
                <w:szCs w:val="24"/>
              </w:rPr>
            </w:pPr>
            <w:r w:rsidRPr="00C848C0">
              <w:rPr>
                <w:color w:val="000000"/>
                <w:highlight w:val="green"/>
              </w:rPr>
              <w:t>[Adresse]</w:t>
            </w:r>
          </w:p>
        </w:tc>
      </w:tr>
      <w:tr w:rsidR="00095223" w:rsidRPr="00A767F3" w14:paraId="0A98CB27" w14:textId="77777777" w:rsidTr="005148DD">
        <w:tc>
          <w:tcPr>
            <w:tcW w:w="1135" w:type="dxa"/>
          </w:tcPr>
          <w:p w14:paraId="699C7755" w14:textId="77777777" w:rsidR="00095223" w:rsidRPr="00A767F3" w:rsidRDefault="00095223" w:rsidP="00F048C4">
            <w:pPr>
              <w:spacing w:before="0"/>
              <w:ind w:left="-57" w:right="-57"/>
              <w:jc w:val="right"/>
              <w:rPr>
                <w:szCs w:val="24"/>
              </w:rPr>
            </w:pPr>
            <w:r>
              <w:rPr>
                <w:b/>
                <w:bCs/>
                <w:color w:val="000000"/>
              </w:rPr>
              <w:t>Télécopie</w:t>
            </w:r>
            <w:r>
              <w:rPr>
                <w:color w:val="000000"/>
              </w:rPr>
              <w:t>:</w:t>
            </w:r>
          </w:p>
          <w:p w14:paraId="329AECD8" w14:textId="77777777" w:rsidR="00095223" w:rsidRPr="00A767F3" w:rsidRDefault="00095223" w:rsidP="00F048C4">
            <w:pPr>
              <w:spacing w:before="0"/>
              <w:ind w:left="-57" w:right="-57"/>
              <w:jc w:val="right"/>
              <w:rPr>
                <w:szCs w:val="24"/>
              </w:rPr>
            </w:pPr>
            <w:r>
              <w:rPr>
                <w:b/>
                <w:bCs/>
                <w:color w:val="000000"/>
              </w:rPr>
              <w:t>Courriel</w:t>
            </w:r>
            <w:r>
              <w:rPr>
                <w:color w:val="000000"/>
              </w:rPr>
              <w:t>:</w:t>
            </w:r>
          </w:p>
        </w:tc>
        <w:tc>
          <w:tcPr>
            <w:tcW w:w="3969" w:type="dxa"/>
            <w:tcBorders>
              <w:right w:val="single" w:sz="8" w:space="0" w:color="auto"/>
            </w:tcBorders>
          </w:tcPr>
          <w:p w14:paraId="7C7CE2B2" w14:textId="77777777" w:rsidR="00095223" w:rsidRPr="00A767F3" w:rsidRDefault="00095223" w:rsidP="00F048C4">
            <w:pPr>
              <w:spacing w:before="0"/>
              <w:ind w:right="-57"/>
              <w:rPr>
                <w:szCs w:val="24"/>
              </w:rPr>
            </w:pPr>
            <w:r>
              <w:rPr>
                <w:color w:val="000000"/>
              </w:rPr>
              <w:t>+41-22-730-5853</w:t>
            </w:r>
          </w:p>
          <w:p w14:paraId="5E11CAC3" w14:textId="4CE5F7CA" w:rsidR="005148DD" w:rsidRPr="005148DD" w:rsidRDefault="00095223" w:rsidP="005148DD">
            <w:pPr>
              <w:spacing w:before="0"/>
              <w:ind w:right="-57"/>
              <w:rPr>
                <w:rStyle w:val="Hyperlink"/>
              </w:rPr>
            </w:pPr>
            <w:hyperlink r:id="rId13" w:history="1">
              <w:r w:rsidRPr="005148DD">
                <w:rPr>
                  <w:rStyle w:val="Hyperlink"/>
                </w:rPr>
                <w:t>tsbdir@itu.int</w:t>
              </w:r>
            </w:hyperlink>
          </w:p>
        </w:tc>
        <w:tc>
          <w:tcPr>
            <w:tcW w:w="1134" w:type="dxa"/>
            <w:tcBorders>
              <w:left w:val="single" w:sz="8" w:space="0" w:color="auto"/>
            </w:tcBorders>
          </w:tcPr>
          <w:p w14:paraId="6B9C7DAB" w14:textId="77777777" w:rsidR="00095223" w:rsidRPr="00A767F3" w:rsidRDefault="00095223" w:rsidP="00F048C4">
            <w:pPr>
              <w:spacing w:before="0"/>
              <w:ind w:left="-57" w:right="-57"/>
              <w:jc w:val="right"/>
              <w:rPr>
                <w:szCs w:val="24"/>
              </w:rPr>
            </w:pPr>
            <w:r>
              <w:rPr>
                <w:b/>
                <w:bCs/>
                <w:color w:val="000000"/>
              </w:rPr>
              <w:t>Télécopie</w:t>
            </w:r>
            <w:r>
              <w:rPr>
                <w:color w:val="000000"/>
              </w:rPr>
              <w:t>:</w:t>
            </w:r>
          </w:p>
          <w:p w14:paraId="6D8DF95C" w14:textId="77777777" w:rsidR="00095223" w:rsidRPr="00A767F3" w:rsidRDefault="00095223" w:rsidP="00F048C4">
            <w:pPr>
              <w:spacing w:before="0"/>
              <w:ind w:left="-57" w:right="-57"/>
              <w:jc w:val="right"/>
              <w:rPr>
                <w:szCs w:val="24"/>
              </w:rPr>
            </w:pPr>
            <w:r>
              <w:rPr>
                <w:b/>
                <w:bCs/>
                <w:color w:val="000000"/>
              </w:rPr>
              <w:t>Courriel</w:t>
            </w:r>
            <w:r>
              <w:rPr>
                <w:color w:val="000000"/>
              </w:rPr>
              <w:t>:</w:t>
            </w:r>
          </w:p>
        </w:tc>
        <w:tc>
          <w:tcPr>
            <w:tcW w:w="3969" w:type="dxa"/>
          </w:tcPr>
          <w:p w14:paraId="7AA44284" w14:textId="77777777" w:rsidR="00095223" w:rsidRPr="00A767F3" w:rsidRDefault="00095223" w:rsidP="00F048C4">
            <w:pPr>
              <w:spacing w:before="0"/>
              <w:rPr>
                <w:szCs w:val="24"/>
              </w:rPr>
            </w:pPr>
          </w:p>
        </w:tc>
      </w:tr>
      <w:tr w:rsidR="00095223" w:rsidRPr="00A767F3" w14:paraId="711D482D" w14:textId="77777777" w:rsidTr="005148DD">
        <w:tc>
          <w:tcPr>
            <w:tcW w:w="1135" w:type="dxa"/>
          </w:tcPr>
          <w:p w14:paraId="22B63AC3" w14:textId="77777777" w:rsidR="00095223" w:rsidRPr="00A767F3" w:rsidRDefault="00095223" w:rsidP="00F048C4">
            <w:pPr>
              <w:spacing w:before="0"/>
              <w:ind w:left="-57" w:right="-57"/>
              <w:jc w:val="right"/>
              <w:rPr>
                <w:szCs w:val="24"/>
              </w:rPr>
            </w:pPr>
          </w:p>
        </w:tc>
        <w:tc>
          <w:tcPr>
            <w:tcW w:w="3969" w:type="dxa"/>
            <w:tcBorders>
              <w:right w:val="single" w:sz="8" w:space="0" w:color="auto"/>
            </w:tcBorders>
          </w:tcPr>
          <w:p w14:paraId="43F90908" w14:textId="77777777" w:rsidR="00095223" w:rsidRPr="00A767F3" w:rsidRDefault="00095223" w:rsidP="00F048C4">
            <w:pPr>
              <w:spacing w:before="0"/>
              <w:rPr>
                <w:szCs w:val="24"/>
              </w:rPr>
            </w:pPr>
          </w:p>
        </w:tc>
        <w:tc>
          <w:tcPr>
            <w:tcW w:w="1134" w:type="dxa"/>
            <w:tcBorders>
              <w:left w:val="single" w:sz="8" w:space="0" w:color="auto"/>
            </w:tcBorders>
          </w:tcPr>
          <w:p w14:paraId="43DC489B" w14:textId="77777777" w:rsidR="00095223" w:rsidRPr="00A767F3" w:rsidRDefault="00095223" w:rsidP="00F048C4">
            <w:pPr>
              <w:spacing w:before="0"/>
              <w:ind w:left="-57" w:right="-57"/>
              <w:jc w:val="right"/>
              <w:rPr>
                <w:szCs w:val="24"/>
              </w:rPr>
            </w:pPr>
            <w:r>
              <w:rPr>
                <w:b/>
                <w:bCs/>
                <w:color w:val="000000"/>
              </w:rPr>
              <w:t>Date</w:t>
            </w:r>
            <w:r>
              <w:rPr>
                <w:color w:val="000000"/>
              </w:rPr>
              <w:t>:</w:t>
            </w:r>
          </w:p>
        </w:tc>
        <w:tc>
          <w:tcPr>
            <w:tcW w:w="3969" w:type="dxa"/>
          </w:tcPr>
          <w:p w14:paraId="74DA2DD5" w14:textId="77777777" w:rsidR="00095223" w:rsidRPr="00A767F3" w:rsidRDefault="00095223" w:rsidP="00F048C4">
            <w:pPr>
              <w:spacing w:before="0"/>
              <w:rPr>
                <w:szCs w:val="24"/>
              </w:rPr>
            </w:pPr>
            <w:r w:rsidRPr="00C848C0">
              <w:rPr>
                <w:color w:val="000000"/>
                <w:highlight w:val="green"/>
              </w:rPr>
              <w:t>[Lieu,] [Date]</w:t>
            </w:r>
          </w:p>
        </w:tc>
      </w:tr>
    </w:tbl>
    <w:p w14:paraId="0B66D3AC" w14:textId="77777777" w:rsidR="00095223" w:rsidRPr="00A767F3" w:rsidRDefault="00095223" w:rsidP="005148DD">
      <w:pPr>
        <w:rPr>
          <w:szCs w:val="24"/>
        </w:rPr>
      </w:pPr>
      <w:r>
        <w:t>Madame, Monsieur,</w:t>
      </w:r>
    </w:p>
    <w:p w14:paraId="02D32190" w14:textId="1CE194DD" w:rsidR="00095223" w:rsidRPr="00C848C0" w:rsidRDefault="00095223" w:rsidP="00923E04">
      <w:pPr>
        <w:spacing w:after="120"/>
        <w:rPr>
          <w:szCs w:val="24"/>
        </w:rPr>
      </w:pPr>
      <w:r>
        <w:t>Dans le cadre de la consultation des États Membres au sujet de l'abandon éventuel du système</w:t>
      </w:r>
      <w:r w:rsidR="005148DD">
        <w:t> </w:t>
      </w:r>
      <w:r>
        <w:t>ENUM pour ce qui est du domaine e164.arpa dont il est question dans la Circulaire</w:t>
      </w:r>
      <w:r w:rsidR="006C6415">
        <w:t> </w:t>
      </w:r>
      <w:r>
        <w:t>TSB</w:t>
      </w:r>
      <w:r w:rsidR="006C6415">
        <w:t> </w:t>
      </w:r>
      <w:r>
        <w:t xml:space="preserve">123, je vous indique par la présente l'opinion de mon </w:t>
      </w:r>
      <w:r w:rsidR="00923E04">
        <w:t>A</w:t>
      </w:r>
      <w:r>
        <w:t>dministration, qui figure dans le tableau ci</w:t>
      </w:r>
      <w:r w:rsidR="005148DD">
        <w:noBreakHyphen/>
      </w:r>
      <w:r>
        <w:t>après.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095223" w:rsidRPr="00C848C0" w14:paraId="44AC5B26" w14:textId="77777777" w:rsidTr="00F048C4">
        <w:trPr>
          <w:cantSplit/>
          <w:tblHeader/>
        </w:trPr>
        <w:tc>
          <w:tcPr>
            <w:tcW w:w="10060" w:type="dxa"/>
            <w:vAlign w:val="center"/>
          </w:tcPr>
          <w:p w14:paraId="78BB4E00" w14:textId="4FC911A9" w:rsidR="00095223" w:rsidRPr="00FD5D94" w:rsidRDefault="00095223" w:rsidP="005148DD">
            <w:pPr>
              <w:pStyle w:val="TableHead"/>
              <w:rPr>
                <w:sz w:val="24"/>
                <w:szCs w:val="24"/>
              </w:rPr>
            </w:pPr>
            <w:r w:rsidRPr="00FD5D94">
              <w:rPr>
                <w:sz w:val="24"/>
                <w:szCs w:val="24"/>
              </w:rPr>
              <w:t>Cochez l</w:t>
            </w:r>
            <w:r w:rsidR="00CB7DE0" w:rsidRPr="00FD5D94">
              <w:rPr>
                <w:sz w:val="24"/>
                <w:szCs w:val="24"/>
              </w:rPr>
              <w:t>'</w:t>
            </w:r>
            <w:r w:rsidRPr="00FD5D94">
              <w:rPr>
                <w:sz w:val="24"/>
                <w:szCs w:val="24"/>
              </w:rPr>
              <w:t>une des deux cases</w:t>
            </w:r>
          </w:p>
        </w:tc>
      </w:tr>
      <w:tr w:rsidR="00095223" w:rsidRPr="00731601" w14:paraId="432E64C8" w14:textId="77777777" w:rsidTr="00F048C4">
        <w:trPr>
          <w:cantSplit/>
          <w:trHeight w:val="748"/>
        </w:trPr>
        <w:tc>
          <w:tcPr>
            <w:tcW w:w="10060" w:type="dxa"/>
            <w:vAlign w:val="center"/>
          </w:tcPr>
          <w:p w14:paraId="2331A908" w14:textId="6B8FE366" w:rsidR="00095223" w:rsidRPr="00FD5D94" w:rsidRDefault="0032089B" w:rsidP="00923E04">
            <w:pPr>
              <w:pStyle w:val="TableText"/>
              <w:tabs>
                <w:tab w:val="clear" w:pos="284"/>
              </w:tabs>
              <w:rPr>
                <w:rFonts w:cstheme="minorHAnsi"/>
                <w:sz w:val="24"/>
                <w:szCs w:val="24"/>
              </w:rPr>
            </w:pPr>
            <w:sdt>
              <w:sdtPr>
                <w:rPr>
                  <w:rFonts w:cstheme="minorHAnsi"/>
                  <w:sz w:val="24"/>
                  <w:szCs w:val="24"/>
                </w:rPr>
                <w:id w:val="-705943451"/>
                <w14:checkbox>
                  <w14:checked w14:val="0"/>
                  <w14:checkedState w14:val="2612" w14:font="MS Gothic"/>
                  <w14:uncheckedState w14:val="2610" w14:font="MS Gothic"/>
                </w14:checkbox>
              </w:sdtPr>
              <w:sdtEndPr/>
              <w:sdtContent>
                <w:r w:rsidR="005148DD" w:rsidRPr="00FD5D94">
                  <w:rPr>
                    <w:rFonts w:ascii="MS Gothic" w:eastAsia="MS Gothic" w:hAnsi="MS Gothic" w:cstheme="minorHAnsi" w:hint="eastAsia"/>
                    <w:sz w:val="24"/>
                    <w:szCs w:val="24"/>
                  </w:rPr>
                  <w:t>☐</w:t>
                </w:r>
              </w:sdtContent>
            </w:sdt>
            <w:r w:rsidR="00095223" w:rsidRPr="00FD5D94">
              <w:rPr>
                <w:sz w:val="24"/>
                <w:szCs w:val="24"/>
              </w:rPr>
              <w:tab/>
            </w:r>
            <w:r w:rsidR="00FD5D94" w:rsidRPr="00FD5D94">
              <w:rPr>
                <w:b/>
                <w:bCs/>
                <w:sz w:val="24"/>
                <w:szCs w:val="24"/>
              </w:rPr>
              <w:t>A</w:t>
            </w:r>
            <w:r w:rsidR="00095223" w:rsidRPr="00FD5D94">
              <w:rPr>
                <w:b/>
                <w:bCs/>
                <w:sz w:val="24"/>
                <w:szCs w:val="24"/>
              </w:rPr>
              <w:t xml:space="preserve">ccepte </w:t>
            </w:r>
            <w:r w:rsidR="00095223" w:rsidRPr="00FD5D94">
              <w:rPr>
                <w:sz w:val="24"/>
                <w:szCs w:val="24"/>
              </w:rPr>
              <w:t>l'abandon du système ENUM pour ce qui est du domaine e164.arpa</w:t>
            </w:r>
          </w:p>
        </w:tc>
      </w:tr>
      <w:tr w:rsidR="00095223" w:rsidRPr="00731601" w14:paraId="72314FC0" w14:textId="77777777" w:rsidTr="00F048C4">
        <w:trPr>
          <w:cantSplit/>
          <w:trHeight w:val="747"/>
        </w:trPr>
        <w:tc>
          <w:tcPr>
            <w:tcW w:w="10060" w:type="dxa"/>
            <w:vAlign w:val="center"/>
          </w:tcPr>
          <w:p w14:paraId="65DD346E" w14:textId="2F737BCD" w:rsidR="00095223" w:rsidRPr="00FD5D94" w:rsidRDefault="0032089B" w:rsidP="00923E04">
            <w:pPr>
              <w:pStyle w:val="TableText"/>
              <w:tabs>
                <w:tab w:val="clear" w:pos="284"/>
              </w:tabs>
              <w:rPr>
                <w:rFonts w:cstheme="minorHAnsi"/>
                <w:sz w:val="24"/>
                <w:szCs w:val="24"/>
              </w:rPr>
            </w:pPr>
            <w:sdt>
              <w:sdtPr>
                <w:rPr>
                  <w:rFonts w:cstheme="minorHAnsi"/>
                  <w:sz w:val="24"/>
                  <w:szCs w:val="24"/>
                </w:rPr>
                <w:id w:val="-1767383137"/>
                <w14:checkbox>
                  <w14:checked w14:val="0"/>
                  <w14:checkedState w14:val="2612" w14:font="MS Gothic"/>
                  <w14:uncheckedState w14:val="2610" w14:font="MS Gothic"/>
                </w14:checkbox>
              </w:sdtPr>
              <w:sdtEndPr/>
              <w:sdtContent>
                <w:r w:rsidR="00095223" w:rsidRPr="00FD5D94">
                  <w:rPr>
                    <w:rFonts w:ascii="Segoe UI Symbol" w:eastAsia="MS Gothic" w:hAnsi="Segoe UI Symbol" w:cs="Segoe UI Symbol"/>
                    <w:sz w:val="24"/>
                    <w:szCs w:val="24"/>
                  </w:rPr>
                  <w:t>☐</w:t>
                </w:r>
              </w:sdtContent>
            </w:sdt>
            <w:r w:rsidR="00095223" w:rsidRPr="00FD5D94">
              <w:rPr>
                <w:sz w:val="24"/>
                <w:szCs w:val="24"/>
              </w:rPr>
              <w:tab/>
            </w:r>
            <w:r w:rsidR="00FD5D94" w:rsidRPr="00FD5D94">
              <w:rPr>
                <w:b/>
                <w:bCs/>
                <w:sz w:val="24"/>
                <w:szCs w:val="24"/>
              </w:rPr>
              <w:t>N</w:t>
            </w:r>
            <w:r w:rsidR="00CB7DE0" w:rsidRPr="00FD5D94">
              <w:rPr>
                <w:b/>
                <w:bCs/>
                <w:sz w:val="24"/>
                <w:szCs w:val="24"/>
              </w:rPr>
              <w:t>'</w:t>
            </w:r>
            <w:r w:rsidR="00095223" w:rsidRPr="00FD5D94">
              <w:rPr>
                <w:b/>
                <w:bCs/>
                <w:sz w:val="24"/>
                <w:szCs w:val="24"/>
              </w:rPr>
              <w:t>accepte pas</w:t>
            </w:r>
            <w:r w:rsidR="00095223" w:rsidRPr="00FD5D94">
              <w:rPr>
                <w:sz w:val="24"/>
                <w:szCs w:val="24"/>
              </w:rPr>
              <w:t xml:space="preserve"> l'abandon du système ENUM pour ce qui est du domaine e164.arpa</w:t>
            </w:r>
          </w:p>
        </w:tc>
      </w:tr>
      <w:tr w:rsidR="00095223" w:rsidRPr="00731601" w14:paraId="2DB179DF" w14:textId="77777777" w:rsidTr="00F048C4">
        <w:trPr>
          <w:cantSplit/>
          <w:trHeight w:val="748"/>
        </w:trPr>
        <w:tc>
          <w:tcPr>
            <w:tcW w:w="10060" w:type="dxa"/>
            <w:vAlign w:val="center"/>
          </w:tcPr>
          <w:p w14:paraId="68CD7940" w14:textId="77777777" w:rsidR="00095223" w:rsidRPr="00FD5D94" w:rsidRDefault="00095223" w:rsidP="006C6415">
            <w:pPr>
              <w:pStyle w:val="TableText"/>
              <w:jc w:val="center"/>
              <w:rPr>
                <w:rFonts w:cstheme="minorHAnsi"/>
                <w:sz w:val="24"/>
                <w:szCs w:val="24"/>
              </w:rPr>
            </w:pPr>
            <w:r w:rsidRPr="00FD5D94">
              <w:rPr>
                <w:b/>
                <w:bCs/>
                <w:color w:val="000000"/>
                <w:sz w:val="24"/>
                <w:szCs w:val="24"/>
              </w:rPr>
              <w:t>Veuillez ajouter des commentaires (le cas échéant) dans la case ci-dessous</w:t>
            </w:r>
          </w:p>
        </w:tc>
      </w:tr>
      <w:tr w:rsidR="00095223" w:rsidRPr="00731601" w14:paraId="0542E312" w14:textId="77777777" w:rsidTr="00923E04">
        <w:trPr>
          <w:cantSplit/>
          <w:trHeight w:val="4827"/>
        </w:trPr>
        <w:tc>
          <w:tcPr>
            <w:tcW w:w="10060" w:type="dxa"/>
          </w:tcPr>
          <w:p w14:paraId="0C9D2FE4" w14:textId="77777777" w:rsidR="00095223" w:rsidRPr="00FD5D94" w:rsidRDefault="00095223" w:rsidP="005148DD">
            <w:pPr>
              <w:pStyle w:val="TableText"/>
              <w:rPr>
                <w:rFonts w:cstheme="minorHAnsi"/>
                <w:sz w:val="24"/>
                <w:szCs w:val="24"/>
              </w:rPr>
            </w:pPr>
          </w:p>
        </w:tc>
      </w:tr>
    </w:tbl>
    <w:p w14:paraId="3B647157" w14:textId="45158986" w:rsidR="00517A03" w:rsidRPr="00095223" w:rsidRDefault="00095223" w:rsidP="00095223">
      <w:pPr>
        <w:spacing w:before="0"/>
        <w:jc w:val="center"/>
        <w:rPr>
          <w:sz w:val="22"/>
          <w:szCs w:val="18"/>
        </w:rPr>
      </w:pPr>
      <w:r>
        <w:t>________________</w:t>
      </w:r>
    </w:p>
    <w:sectPr w:rsidR="00517A03" w:rsidRPr="00095223" w:rsidSect="00A15179">
      <w:headerReference w:type="defaul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5E14477E" w:rsidR="00697BC1" w:rsidRPr="00697BC1" w:rsidRDefault="0032089B"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095223">
      <w:rPr>
        <w:noProof/>
        <w:sz w:val="18"/>
        <w:szCs w:val="16"/>
      </w:rPr>
      <w:t>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95223"/>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937DB"/>
    <w:rsid w:val="002E395D"/>
    <w:rsid w:val="00307FB4"/>
    <w:rsid w:val="003131F0"/>
    <w:rsid w:val="0032089B"/>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48DD"/>
    <w:rsid w:val="00517A03"/>
    <w:rsid w:val="005A3DD9"/>
    <w:rsid w:val="005B1DFC"/>
    <w:rsid w:val="00601682"/>
    <w:rsid w:val="00603470"/>
    <w:rsid w:val="00625E79"/>
    <w:rsid w:val="006333F7"/>
    <w:rsid w:val="006427A1"/>
    <w:rsid w:val="00644741"/>
    <w:rsid w:val="00653E4B"/>
    <w:rsid w:val="00697BC1"/>
    <w:rsid w:val="006A6FFE"/>
    <w:rsid w:val="006C5A91"/>
    <w:rsid w:val="006C6415"/>
    <w:rsid w:val="006D0204"/>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23E04"/>
    <w:rsid w:val="00935AA8"/>
    <w:rsid w:val="00971C9A"/>
    <w:rsid w:val="009D51FA"/>
    <w:rsid w:val="009F1E23"/>
    <w:rsid w:val="00A15179"/>
    <w:rsid w:val="00A2590F"/>
    <w:rsid w:val="00A51537"/>
    <w:rsid w:val="00A5280F"/>
    <w:rsid w:val="00A5645A"/>
    <w:rsid w:val="00A60FC1"/>
    <w:rsid w:val="00A97C37"/>
    <w:rsid w:val="00AA131B"/>
    <w:rsid w:val="00AC37B5"/>
    <w:rsid w:val="00AD752F"/>
    <w:rsid w:val="00AF08A4"/>
    <w:rsid w:val="00AF0D7D"/>
    <w:rsid w:val="00B033DC"/>
    <w:rsid w:val="00B27B41"/>
    <w:rsid w:val="00B31255"/>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B7DE0"/>
    <w:rsid w:val="00CD042E"/>
    <w:rsid w:val="00CF2560"/>
    <w:rsid w:val="00CF5B46"/>
    <w:rsid w:val="00D46B68"/>
    <w:rsid w:val="00D542A5"/>
    <w:rsid w:val="00DC3D47"/>
    <w:rsid w:val="00DD77DA"/>
    <w:rsid w:val="00E06C61"/>
    <w:rsid w:val="00E13DB3"/>
    <w:rsid w:val="00E2408B"/>
    <w:rsid w:val="00E62CEA"/>
    <w:rsid w:val="00E72AE1"/>
    <w:rsid w:val="00ED6A7A"/>
    <w:rsid w:val="00EE4C36"/>
    <w:rsid w:val="00EF0643"/>
    <w:rsid w:val="00EF6A23"/>
    <w:rsid w:val="00F346CE"/>
    <w:rsid w:val="00F34F98"/>
    <w:rsid w:val="00F40540"/>
    <w:rsid w:val="00F67402"/>
    <w:rsid w:val="00F766A2"/>
    <w:rsid w:val="00F9451D"/>
    <w:rsid w:val="00FD579E"/>
    <w:rsid w:val="00FD5D94"/>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Annextitle0">
    <w:name w:val="Annex_title"/>
    <w:basedOn w:val="Normal"/>
    <w:next w:val="Normal"/>
    <w:rsid w:val="00095223"/>
    <w:pPr>
      <w:keepNext/>
      <w:keepLines/>
      <w:spacing w:before="240" w:after="280"/>
      <w:jc w:val="center"/>
    </w:pPr>
    <w:rPr>
      <w:rFonts w:ascii="Calibri" w:hAnsi="Calibri"/>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dir@itu.int"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T25-SG02-260204-TD-PLEN-0423/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en/ITU-T/inr/enum/Pages/delegation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u.int/en/ITU-T/inr/enu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3" ma:contentTypeDescription="Create a new document." ma:contentTypeScope="" ma:versionID="0f20bce1901f33acfe335412fc44138d">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e9f9ee9344ed2db78a2d65959b61a729"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customXml/itemProps2.xml><?xml version="1.0" encoding="utf-8"?>
<ds:datastoreItem xmlns:ds="http://schemas.openxmlformats.org/officeDocument/2006/customXml" ds:itemID="{7C91B7E9-F947-4926-81B3-825B9633B0F6}"/>
</file>

<file path=customXml/itemProps3.xml><?xml version="1.0" encoding="utf-8"?>
<ds:datastoreItem xmlns:ds="http://schemas.openxmlformats.org/officeDocument/2006/customXml" ds:itemID="{FBE70971-0A22-4716-820E-D1A6C10F446A}"/>
</file>

<file path=customXml/itemProps4.xml><?xml version="1.0" encoding="utf-8"?>
<ds:datastoreItem xmlns:ds="http://schemas.openxmlformats.org/officeDocument/2006/customXml" ds:itemID="{92A0AB04-50BA-47B2-8599-4D8B7B5857FC}"/>
</file>

<file path=docProps/app.xml><?xml version="1.0" encoding="utf-8"?>
<Properties xmlns="http://schemas.openxmlformats.org/officeDocument/2006/extended-properties" xmlns:vt="http://schemas.openxmlformats.org/officeDocument/2006/docPropsVTypes">
  <Template>Normal</Template>
  <TotalTime>57</TotalTime>
  <Pages>3</Pages>
  <Words>725</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5093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French</cp:lastModifiedBy>
  <cp:revision>7</cp:revision>
  <cp:lastPrinted>2011-04-15T08:01:00Z</cp:lastPrinted>
  <dcterms:created xsi:type="dcterms:W3CDTF">2026-03-31T10:53:00Z</dcterms:created>
  <dcterms:modified xsi:type="dcterms:W3CDTF">2026-03-31T12:46:00Z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