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36"/>
        <w:gridCol w:w="3508"/>
        <w:gridCol w:w="3119"/>
        <w:gridCol w:w="1984"/>
      </w:tblGrid>
      <w:tr w:rsidR="00FA46A0" w14:paraId="72921F52" w14:textId="77777777" w:rsidTr="008D2337">
        <w:trPr>
          <w:trHeight w:val="1260"/>
        </w:trPr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14:paraId="73534639" w14:textId="77777777" w:rsidR="00FA46A0" w:rsidRDefault="009747C5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DD3986A" wp14:editId="1F2D3F65">
                  <wp:extent cx="742950" cy="7429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7" w:type="dxa"/>
            <w:gridSpan w:val="2"/>
            <w:tcMar>
              <w:left w:w="142" w:type="dxa"/>
            </w:tcMar>
            <w:vAlign w:val="center"/>
          </w:tcPr>
          <w:p w14:paraId="5CB9F2B0" w14:textId="77777777" w:rsidR="00FA46A0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4A03F0C" w14:textId="77777777" w:rsidR="00FA46A0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729FABE3" w14:textId="77777777" w:rsidR="00FA46A0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AF0C38" w14:paraId="57D5A404" w14:textId="77777777" w:rsidTr="007D3CFE">
        <w:trPr>
          <w:cantSplit/>
          <w:trHeight w:val="528"/>
        </w:trPr>
        <w:tc>
          <w:tcPr>
            <w:tcW w:w="4678" w:type="dxa"/>
            <w:gridSpan w:val="3"/>
            <w:vAlign w:val="center"/>
          </w:tcPr>
          <w:p w14:paraId="6AC8705E" w14:textId="77777777" w:rsidR="00FA46A0" w:rsidRPr="00AF0C38" w:rsidRDefault="00FA46A0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268BAF6D" w14:textId="5CE8FD22" w:rsidR="00FA46A0" w:rsidRPr="00AF0C38" w:rsidRDefault="00B61012" w:rsidP="00B04914">
            <w:pPr>
              <w:pStyle w:val="Tabletext"/>
              <w:ind w:left="-115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3F61C4" w:rsidRPr="00AF0C3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A63A0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826E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6971"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  <w:r w:rsidR="00D121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353C" w:rsidRPr="00AF0C38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52697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F0C38" w:rsidRPr="00AF0C38" w14:paraId="1A68A98E" w14:textId="77777777" w:rsidTr="007D3CFE">
        <w:trPr>
          <w:cantSplit/>
          <w:trHeight w:val="421"/>
        </w:trPr>
        <w:tc>
          <w:tcPr>
            <w:tcW w:w="1134" w:type="dxa"/>
          </w:tcPr>
          <w:p w14:paraId="3A0208DE" w14:textId="77777777" w:rsidR="00AF0C38" w:rsidRPr="00AF0C38" w:rsidRDefault="00AF0C38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  <w:gridSpan w:val="2"/>
          </w:tcPr>
          <w:p w14:paraId="7B1AF733" w14:textId="5619B77E" w:rsidR="00AF0C38" w:rsidRPr="00AF0C38" w:rsidRDefault="00AF0C38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TSB Circular </w:t>
            </w:r>
            <w:r w:rsidR="009234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A63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9234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03" w:type="dxa"/>
            <w:gridSpan w:val="2"/>
            <w:vMerge w:val="restart"/>
          </w:tcPr>
          <w:p w14:paraId="548A5577" w14:textId="77777777" w:rsidR="00AF0C38" w:rsidRPr="00AF0C38" w:rsidRDefault="00AF0C38" w:rsidP="006A63A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59FD8C79" w14:textId="77777777" w:rsidR="00AF0C38" w:rsidRDefault="00AF0C38" w:rsidP="006A63A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Administrations of Member States of the Union;</w:t>
            </w:r>
          </w:p>
          <w:p w14:paraId="51DEF729" w14:textId="64E730A9" w:rsidR="00DF7FD6" w:rsidRPr="00DF7FD6" w:rsidRDefault="00DF7FD6" w:rsidP="006A63A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DF7FD6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-</w:t>
            </w:r>
            <w:r w:rsidR="00B04914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ab/>
            </w:r>
            <w:r w:rsidRPr="00DF7FD6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The State of Palestine (Res. 99 (Rev. Dubai, 2018));</w:t>
            </w:r>
          </w:p>
          <w:p w14:paraId="6F02DA6A" w14:textId="77777777" w:rsidR="00AF0C38" w:rsidRPr="00AF0C38" w:rsidRDefault="00AF0C38" w:rsidP="006A63A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>ITU-T Sector Members;</w:t>
            </w:r>
          </w:p>
          <w:p w14:paraId="5B821A41" w14:textId="77777777" w:rsidR="00AF0C38" w:rsidRPr="00AF0C38" w:rsidRDefault="00AF0C38" w:rsidP="006A63A0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  <w:lang w:val="fr-CH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  <w:lang w:val="fr-CH"/>
              </w:rPr>
              <w:tab/>
              <w:t>ITU-T Associates;</w:t>
            </w:r>
          </w:p>
          <w:p w14:paraId="7E400F6A" w14:textId="0EC278EA" w:rsidR="00AF0C38" w:rsidRPr="00AF0C38" w:rsidRDefault="00AF0C38" w:rsidP="006A63A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ITU Academia</w:t>
            </w:r>
          </w:p>
          <w:p w14:paraId="01C8EEFF" w14:textId="77777777" w:rsidR="00AF0C38" w:rsidRPr="00AF0C38" w:rsidRDefault="00AF0C38" w:rsidP="006A63A0">
            <w:pPr>
              <w:pStyle w:val="Tabletext"/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1485564D" w14:textId="77777777" w:rsidR="00AF0C38" w:rsidRPr="00AF0C38" w:rsidRDefault="00AF0C38" w:rsidP="006A63A0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The Chairs and Vice-Chairs of Study Groups;</w:t>
            </w:r>
          </w:p>
          <w:p w14:paraId="5A4C7B26" w14:textId="77777777" w:rsidR="00AF0C38" w:rsidRPr="00AF0C38" w:rsidRDefault="00AF0C38" w:rsidP="006A63A0">
            <w:pPr>
              <w:pStyle w:val="Tabletext"/>
              <w:tabs>
                <w:tab w:val="clear" w:pos="284"/>
              </w:tabs>
              <w:spacing w:before="0" w:after="20"/>
              <w:ind w:left="274" w:hanging="389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Telecommunication Development Bureau;</w:t>
            </w:r>
          </w:p>
          <w:p w14:paraId="2936124C" w14:textId="5CC75F40" w:rsidR="007611CC" w:rsidRPr="00AF0C38" w:rsidRDefault="00AF0C38" w:rsidP="006A63A0">
            <w:pPr>
              <w:pStyle w:val="Tabletext"/>
              <w:spacing w:before="0" w:after="20"/>
              <w:ind w:left="278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AF0C38" w:rsidRPr="00AF0C38" w14:paraId="734EBC5A" w14:textId="77777777" w:rsidTr="007D3CFE">
        <w:trPr>
          <w:cantSplit/>
          <w:trHeight w:val="221"/>
        </w:trPr>
        <w:tc>
          <w:tcPr>
            <w:tcW w:w="1134" w:type="dxa"/>
          </w:tcPr>
          <w:p w14:paraId="3C3D6C0D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544" w:type="dxa"/>
            <w:gridSpan w:val="2"/>
          </w:tcPr>
          <w:p w14:paraId="1B6702CB" w14:textId="690759FC" w:rsidR="00AF0C38" w:rsidRPr="00AF0C38" w:rsidRDefault="00AF0C38" w:rsidP="00C95BF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+41 22 730 5882</w:t>
            </w:r>
          </w:p>
        </w:tc>
        <w:tc>
          <w:tcPr>
            <w:tcW w:w="5103" w:type="dxa"/>
            <w:gridSpan w:val="2"/>
            <w:vMerge/>
          </w:tcPr>
          <w:p w14:paraId="59E2F7F1" w14:textId="23574B44" w:rsidR="00AF0C38" w:rsidRPr="00AF0C38" w:rsidRDefault="00AF0C38" w:rsidP="00196ED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C38" w:rsidRPr="00AF0C38" w14:paraId="2BB07C4F" w14:textId="77777777" w:rsidTr="007D3CFE">
        <w:trPr>
          <w:cantSplit/>
          <w:trHeight w:val="282"/>
        </w:trPr>
        <w:tc>
          <w:tcPr>
            <w:tcW w:w="1134" w:type="dxa"/>
          </w:tcPr>
          <w:p w14:paraId="2E9CC6CD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</w:tc>
        <w:tc>
          <w:tcPr>
            <w:tcW w:w="3544" w:type="dxa"/>
            <w:gridSpan w:val="2"/>
          </w:tcPr>
          <w:p w14:paraId="4F8374EC" w14:textId="77777777" w:rsidR="00AF0C38" w:rsidRPr="00AF0C38" w:rsidRDefault="00AF0C38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01296265" w14:textId="7BA60D23" w:rsidR="00AF0C38" w:rsidRPr="00AF0C38" w:rsidRDefault="00AF0C38" w:rsidP="00196ED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C38" w:rsidRPr="00AF0C38" w14:paraId="021D0984" w14:textId="77777777" w:rsidTr="007D3CFE">
        <w:trPr>
          <w:cantSplit/>
          <w:trHeight w:val="1766"/>
        </w:trPr>
        <w:tc>
          <w:tcPr>
            <w:tcW w:w="1134" w:type="dxa"/>
          </w:tcPr>
          <w:p w14:paraId="2C9D9E58" w14:textId="77777777" w:rsidR="00AF0C38" w:rsidRPr="00B04914" w:rsidRDefault="00AF0C38">
            <w:pPr>
              <w:pStyle w:val="Table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544" w:type="dxa"/>
            <w:gridSpan w:val="2"/>
          </w:tcPr>
          <w:p w14:paraId="35D06B6D" w14:textId="35C3FC09" w:rsidR="00AF0C38" w:rsidRPr="00AF0C38" w:rsidRDefault="00AF0C38" w:rsidP="00FC1C19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11" w:history="1">
              <w:r w:rsidRPr="00AF0C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alessia.magliarditi@itu.int</w:t>
              </w:r>
            </w:hyperlink>
            <w:r w:rsidRPr="00AF0C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  <w:vMerge/>
          </w:tcPr>
          <w:p w14:paraId="7AF773A9" w14:textId="261383D1" w:rsidR="00AF0C38" w:rsidRPr="00AF0C38" w:rsidRDefault="00AF0C38" w:rsidP="00963900">
            <w:pPr>
              <w:pStyle w:val="Tabletext"/>
              <w:tabs>
                <w:tab w:val="clear" w:pos="284"/>
              </w:tabs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AF0C38" w14:paraId="33F05B41" w14:textId="77777777" w:rsidTr="00AF0C38">
        <w:trPr>
          <w:cantSplit/>
          <w:trHeight w:val="368"/>
        </w:trPr>
        <w:tc>
          <w:tcPr>
            <w:tcW w:w="1134" w:type="dxa"/>
          </w:tcPr>
          <w:p w14:paraId="2F02CED1" w14:textId="77777777" w:rsidR="00FA46A0" w:rsidRPr="00AF0C38" w:rsidRDefault="00B61012" w:rsidP="00B04914">
            <w:pPr>
              <w:pStyle w:val="Tabletext"/>
              <w:spacing w:before="6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19C4F4CF" w14:textId="0DBBE6BC" w:rsidR="00FA0447" w:rsidRPr="00AF0C38" w:rsidRDefault="003422B7" w:rsidP="00B04914">
            <w:pPr>
              <w:pStyle w:val="Tabletext"/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ITU Journal </w:t>
            </w:r>
            <w:r w:rsidR="000102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Spring </w:t>
            </w:r>
            <w:r w:rsidR="00E7353C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Webinar</w:t>
            </w:r>
            <w:r w:rsidR="00FA314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7353C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Series</w:t>
            </w:r>
            <w:r w:rsidR="00E153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2026</w:t>
            </w:r>
            <w:r w:rsidR="009234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46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Fully </w:t>
            </w:r>
            <w:r w:rsidR="00626C26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irtual, </w:t>
            </w:r>
            <w:r w:rsidR="00526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March</w:t>
            </w:r>
            <w:r w:rsidR="00DB31B7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153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="00DB31B7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26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April </w:t>
            </w:r>
            <w:r w:rsidR="000C49CD" w:rsidRPr="00AF0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526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46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AF0C38" w:rsidRPr="00AF0C38" w14:paraId="3B882BB7" w14:textId="77777777" w:rsidTr="00A97F5A">
        <w:trPr>
          <w:cantSplit/>
          <w:trHeight w:val="368"/>
        </w:trPr>
        <w:tc>
          <w:tcPr>
            <w:tcW w:w="9781" w:type="dxa"/>
            <w:gridSpan w:val="5"/>
          </w:tcPr>
          <w:p w14:paraId="02CFFAD9" w14:textId="77777777" w:rsidR="00AF0C38" w:rsidRPr="008D2337" w:rsidRDefault="00AF0C38" w:rsidP="008D233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04914">
              <w:rPr>
                <w:rFonts w:asciiTheme="minorHAnsi" w:hAnsiTheme="minorHAnsi" w:cstheme="minorHAnsi"/>
                <w:sz w:val="22"/>
                <w:szCs w:val="22"/>
              </w:rPr>
              <w:t>Dear Sir/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Madam,</w:t>
            </w:r>
          </w:p>
          <w:p w14:paraId="7FD713F8" w14:textId="4EF13CB8" w:rsidR="00AF0C38" w:rsidRPr="008D2337" w:rsidRDefault="00AF0C38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</w:t>
            </w:r>
            <w:hyperlink r:id="rId12" w:history="1">
              <w:r w:rsidRPr="008D23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ITU Journal</w:t>
              </w:r>
            </w:hyperlink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continues to organise the </w:t>
            </w:r>
            <w:hyperlink r:id="rId13" w:history="1">
              <w:r w:rsidRPr="008D23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Webinars Series</w:t>
              </w:r>
            </w:hyperlink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to present insights and forward-looking research on future and evolving technologies.</w:t>
            </w:r>
            <w:r w:rsidR="000B3CB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01029F">
              <w:rPr>
                <w:rFonts w:asciiTheme="minorHAnsi" w:hAnsiTheme="minorHAnsi" w:cstheme="minorHAnsi"/>
                <w:sz w:val="22"/>
                <w:szCs w:val="22"/>
              </w:rPr>
              <w:t xml:space="preserve">Spring </w:t>
            </w:r>
            <w:r w:rsidR="000B3CB8" w:rsidRPr="008D2337">
              <w:rPr>
                <w:rFonts w:asciiTheme="minorHAnsi" w:hAnsiTheme="minorHAnsi" w:cstheme="minorHAnsi"/>
                <w:sz w:val="22"/>
                <w:szCs w:val="22"/>
              </w:rPr>
              <w:t>series will be</w:t>
            </w:r>
            <w:r w:rsidR="00C4742D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3CB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hosted on the </w:t>
            </w:r>
            <w:hyperlink r:id="rId14" w:history="1">
              <w:r w:rsidR="000B3CB8" w:rsidRPr="00E059E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AI for Good Neural Network</w:t>
              </w:r>
            </w:hyperlink>
            <w:r w:rsidR="000B3CB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platform</w:t>
            </w:r>
            <w:r w:rsidR="00431F1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as part of its Discovery programme.</w:t>
            </w:r>
          </w:p>
          <w:p w14:paraId="792619B0" w14:textId="265BEC21" w:rsidR="00AF0C38" w:rsidRPr="008D2337" w:rsidRDefault="00AF0C38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>The</w:t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upcoming sessions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will feature</w:t>
            </w:r>
            <w:r w:rsidR="00FE44DE" w:rsidRPr="008D2337">
              <w:rPr>
                <w:sz w:val="22"/>
                <w:szCs w:val="22"/>
              </w:rPr>
              <w:t xml:space="preserve"> </w:t>
            </w:r>
            <w:r w:rsidR="00FE44D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renowned professors who will share their pioneering </w:t>
            </w:r>
            <w:r w:rsidR="00AC2D86" w:rsidRPr="008D2337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r w:rsidR="00E1539A">
              <w:rPr>
                <w:rFonts w:asciiTheme="minorHAnsi" w:hAnsiTheme="minorHAnsi" w:cstheme="minorHAnsi"/>
                <w:sz w:val="22"/>
                <w:szCs w:val="22"/>
              </w:rPr>
              <w:t>, their</w:t>
            </w:r>
            <w:r w:rsidR="00FE44D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visions</w:t>
            </w:r>
            <w:r w:rsidR="00E1539A">
              <w:rPr>
                <w:rFonts w:asciiTheme="minorHAnsi" w:hAnsiTheme="minorHAnsi" w:cstheme="minorHAnsi"/>
                <w:sz w:val="22"/>
                <w:szCs w:val="22"/>
              </w:rPr>
              <w:t xml:space="preserve"> for the future</w:t>
            </w:r>
            <w:r w:rsidR="00FE44D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E1539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impactful life lessons they have learned</w:t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throughout their careers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76AB4B" w14:textId="201750C4" w:rsidR="006A67B4" w:rsidRDefault="00AF0C38" w:rsidP="00526971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</w:t>
            </w:r>
            <w:r w:rsidR="00F50857">
              <w:rPr>
                <w:rFonts w:asciiTheme="minorHAnsi" w:hAnsiTheme="minorHAnsi" w:cstheme="minorHAnsi"/>
                <w:sz w:val="22"/>
                <w:szCs w:val="22"/>
              </w:rPr>
              <w:t>webinars of this series will address the following topics:</w:t>
            </w:r>
          </w:p>
          <w:p w14:paraId="535FD1B6" w14:textId="2C1137B1" w:rsidR="00526971" w:rsidRDefault="00753997" w:rsidP="006A67B4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84CB9">
              <w:rPr>
                <w:sz w:val="22"/>
                <w:szCs w:val="22"/>
              </w:rPr>
              <w:t>“</w:t>
            </w:r>
            <w:hyperlink r:id="rId15" w:history="1">
              <w:r w:rsidR="00526971" w:rsidRPr="006A67B4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Quantum networking: Issues, challenges and opportunities</w:t>
              </w:r>
            </w:hyperlink>
            <w:r w:rsidRPr="00084CB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AF0C38" w:rsidRPr="006A67B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21C88" w:rsidRPr="00F21C88">
              <w:rPr>
                <w:rFonts w:asciiTheme="minorHAnsi" w:hAnsiTheme="minorHAnsi" w:cstheme="minorHAnsi"/>
                <w:sz w:val="22"/>
                <w:szCs w:val="22"/>
              </w:rPr>
              <w:t>on 24 March 2026 from 16:00 to 17:30 hours CET,</w:t>
            </w:r>
            <w:r w:rsidR="00F21C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C38" w:rsidRPr="006A67B4">
              <w:rPr>
                <w:rFonts w:asciiTheme="minorHAnsi" w:hAnsiTheme="minorHAnsi" w:cstheme="minorHAnsi"/>
                <w:sz w:val="22"/>
                <w:szCs w:val="22"/>
              </w:rPr>
              <w:t xml:space="preserve">presented by </w:t>
            </w:r>
            <w:r w:rsidR="00AF0C38" w:rsidRPr="006A6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Prof. </w:t>
            </w:r>
            <w:r w:rsidR="00526971" w:rsidRPr="006A6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Raj Jain</w:t>
            </w:r>
            <w:r w:rsidR="00AF0C38" w:rsidRPr="006A6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526971" w:rsidRPr="006A6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Washington University</w:t>
            </w:r>
            <w:r w:rsidR="007D525A" w:rsidRPr="006A6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C06EC1" w:rsidRPr="006A6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USA</w:t>
            </w:r>
            <w:r w:rsidR="00AF0C38" w:rsidRPr="006A67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AF0C38" w:rsidRPr="006A67B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0587B" w:rsidRPr="006A67B4">
              <w:rPr>
                <w:rFonts w:asciiTheme="minorHAnsi" w:hAnsiTheme="minorHAnsi" w:cstheme="minorHAnsi"/>
                <w:sz w:val="22"/>
                <w:szCs w:val="22"/>
              </w:rPr>
              <w:t>This talk will highlight the unique research opportunities and challenges presented by quantum computing, with a particular focus on quantum networking as a potential alternative to building large-scale quantum computers.</w:t>
            </w:r>
          </w:p>
          <w:p w14:paraId="78F7FE62" w14:textId="39822620" w:rsidR="0019418F" w:rsidRPr="0019418F" w:rsidRDefault="00084CB9" w:rsidP="0019418F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4CB9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hyperlink r:id="rId16" w:history="1">
              <w:r w:rsidR="0019418F" w:rsidRPr="0019418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Arrays of liquid antennas: Taking reconfigurability to the next level</w:t>
              </w:r>
            </w:hyperlink>
            <w:r w:rsidRPr="00084CB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on 14 April 2026 from 15</w:t>
            </w:r>
            <w:r w:rsidR="00584C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 to 16</w:t>
            </w:r>
            <w:r w:rsidR="00584C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584C9F">
              <w:rPr>
                <w:rFonts w:asciiTheme="minorHAnsi" w:hAnsiTheme="minorHAnsi" w:cstheme="minorHAnsi"/>
                <w:sz w:val="22"/>
                <w:szCs w:val="22"/>
              </w:rPr>
              <w:t xml:space="preserve"> hours CEST, presented by</w:t>
            </w:r>
            <w:r w:rsidR="006F22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22B9" w:rsidRPr="009022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Prof.</w:t>
            </w:r>
            <w:r w:rsidR="009022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2225" w:rsidRPr="009022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 García Armada, Universidad Carlos III of Madrid, Spain</w:t>
            </w:r>
            <w:r w:rsidR="009022B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806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539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806F9" w:rsidRPr="003806F9">
              <w:rPr>
                <w:rFonts w:asciiTheme="minorHAnsi" w:hAnsiTheme="minorHAnsi" w:cstheme="minorHAnsi"/>
                <w:sz w:val="22"/>
                <w:szCs w:val="22"/>
              </w:rPr>
              <w:t xml:space="preserve">he emerging concept of arrays of liquid antennas to obtain extreme reconfigurability, so that not only the size, but </w:t>
            </w:r>
            <w:r w:rsidR="00A32944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="003806F9" w:rsidRPr="003806F9">
              <w:rPr>
                <w:rFonts w:asciiTheme="minorHAnsi" w:hAnsiTheme="minorHAnsi" w:cstheme="minorHAnsi"/>
                <w:sz w:val="22"/>
                <w:szCs w:val="22"/>
              </w:rPr>
              <w:t>the shape of the radiating structure can be changed and adjusted to the needs of the communications system</w:t>
            </w:r>
            <w:r w:rsidR="00E1539A">
              <w:rPr>
                <w:rFonts w:asciiTheme="minorHAnsi" w:hAnsiTheme="minorHAnsi" w:cstheme="minorHAnsi"/>
                <w:sz w:val="22"/>
                <w:szCs w:val="22"/>
              </w:rPr>
              <w:t xml:space="preserve"> will be explored</w:t>
            </w:r>
            <w:r w:rsidR="003806F9" w:rsidRPr="003806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895640" w14:textId="50FD78EF" w:rsidR="00F21C88" w:rsidRPr="00584C9F" w:rsidRDefault="00584C9F" w:rsidP="00584C9F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4C9F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hyperlink r:id="rId17" w:history="1">
              <w:r w:rsidR="00084CB9" w:rsidRPr="00084CB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SLICES: Your scientific instrument to support 6G system research</w:t>
              </w:r>
            </w:hyperlink>
            <w:r w:rsidRPr="00084CB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on 1</w:t>
            </w:r>
            <w:r w:rsidR="009234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April 2026 from 1</w:t>
            </w:r>
            <w:r w:rsidR="0092343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:00 to 1</w:t>
            </w:r>
            <w:r w:rsidR="0092343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2343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hours CEST, presented by</w:t>
            </w:r>
            <w:r w:rsidR="00B03C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7AD" w:rsidRPr="009707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Prof. </w:t>
            </w:r>
            <w:r w:rsidR="00B03C82" w:rsidRPr="009707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Serge Fdida</w:t>
            </w:r>
            <w:r w:rsidR="009707AD" w:rsidRPr="009707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B03C82" w:rsidRPr="009707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Sorbonne Université, France</w:t>
            </w:r>
            <w:r w:rsidR="00B03C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974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539A">
              <w:rPr>
                <w:rFonts w:asciiTheme="minorHAnsi" w:hAnsiTheme="minorHAnsi" w:cstheme="minorHAnsi"/>
                <w:sz w:val="22"/>
                <w:szCs w:val="22"/>
              </w:rPr>
              <w:t xml:space="preserve">Presented during this session will be </w:t>
            </w:r>
            <w:r w:rsidR="00E9744D" w:rsidRPr="00E9744D">
              <w:rPr>
                <w:rFonts w:asciiTheme="minorHAnsi" w:hAnsiTheme="minorHAnsi" w:cstheme="minorHAnsi"/>
                <w:sz w:val="22"/>
                <w:szCs w:val="22"/>
              </w:rPr>
              <w:t>SLICES-RI</w:t>
            </w:r>
            <w:r w:rsidR="00747C75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E9744D" w:rsidRPr="00E974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7C75">
              <w:rPr>
                <w:rFonts w:asciiTheme="minorHAnsi" w:hAnsiTheme="minorHAnsi" w:cstheme="minorHAnsi"/>
                <w:sz w:val="22"/>
                <w:szCs w:val="22"/>
              </w:rPr>
              <w:t>the first</w:t>
            </w:r>
            <w:r w:rsidR="00E9744D" w:rsidRPr="00E9744D">
              <w:rPr>
                <w:rFonts w:asciiTheme="minorHAnsi" w:hAnsiTheme="minorHAnsi" w:cstheme="minorHAnsi"/>
                <w:sz w:val="22"/>
                <w:szCs w:val="22"/>
              </w:rPr>
              <w:t xml:space="preserve"> sustainable </w:t>
            </w:r>
            <w:r w:rsidR="00F1709F"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r w:rsidR="00E9744D" w:rsidRPr="00E9744D">
              <w:rPr>
                <w:rFonts w:asciiTheme="minorHAnsi" w:hAnsiTheme="minorHAnsi" w:cstheme="minorHAnsi"/>
                <w:sz w:val="22"/>
                <w:szCs w:val="22"/>
              </w:rPr>
              <w:t xml:space="preserve"> instrument designed to support the </w:t>
            </w:r>
            <w:r w:rsidR="00027429" w:rsidRPr="00027429">
              <w:rPr>
                <w:rFonts w:asciiTheme="minorHAnsi" w:hAnsiTheme="minorHAnsi" w:cstheme="minorHAnsi"/>
                <w:sz w:val="22"/>
                <w:szCs w:val="22"/>
              </w:rPr>
              <w:t>complete experimental research lifecycle</w:t>
            </w:r>
            <w:r w:rsidR="00747C75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027429" w:rsidRPr="000274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3AA5" w:rsidRPr="00B03AA5">
              <w:rPr>
                <w:rFonts w:asciiTheme="minorHAnsi" w:hAnsiTheme="minorHAnsi" w:cstheme="minorHAnsi"/>
                <w:sz w:val="22"/>
                <w:szCs w:val="22"/>
              </w:rPr>
              <w:t>its community, and its roadmap, highlighting its openness and strong potential for collaboration</w:t>
            </w:r>
            <w:r w:rsidR="00E9744D" w:rsidRPr="00E9744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FD1BE55" w14:textId="48ABF97C" w:rsidR="00AF0C38" w:rsidRPr="008D2337" w:rsidRDefault="00AF0C38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53997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Details of </w:t>
            </w:r>
            <w:r w:rsidR="0052697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webinars </w:t>
            </w:r>
            <w:r w:rsidR="00526971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6971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on the main </w:t>
            </w:r>
            <w:hyperlink r:id="rId18" w:history="1">
              <w:r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ITU</w:t>
              </w:r>
              <w:r w:rsidR="00CA3656"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r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Journal</w:t>
              </w:r>
              <w:r w:rsidR="00CA3656"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 </w:t>
              </w:r>
              <w:r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Webinars Series</w:t>
              </w:r>
            </w:hyperlink>
            <w:r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3656" w:rsidRPr="008D2337">
              <w:rPr>
                <w:rFonts w:asciiTheme="minorHAnsi" w:hAnsiTheme="minorHAnsi" w:cstheme="minorHAnsi"/>
                <w:sz w:val="22"/>
                <w:szCs w:val="22"/>
              </w:rPr>
              <w:t>web</w:t>
            </w: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page</w:t>
            </w:r>
            <w:r w:rsidR="00E1539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participants are encouraged to check for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latest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 information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C7F7442" w14:textId="1FA45E8A" w:rsidR="00AF0C38" w:rsidRPr="008D2337" w:rsidRDefault="00B04914" w:rsidP="008D2337">
            <w:pPr>
              <w:keepNext/>
              <w:keepLines/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All relevant 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>material</w:t>
            </w:r>
            <w:r w:rsidR="007D3CF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including speaker details, registration and participation instructions, will be available on each webinar’s dedicated webpage</w:t>
            </w:r>
            <w:r w:rsidR="002B0A79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6504E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which will be </w:t>
            </w:r>
            <w:r w:rsidR="002B0A79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accessible from the main </w:t>
            </w:r>
            <w:hyperlink r:id="rId19" w:history="1">
              <w:r w:rsidR="002B0A79" w:rsidRPr="008D2337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ITU Journal Webinars Series</w:t>
              </w:r>
            </w:hyperlink>
            <w:r w:rsidR="002B0A79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webpage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8ED8CAF" w14:textId="459DE334" w:rsidR="00AF0C38" w:rsidRPr="008D2337" w:rsidRDefault="00B04914" w:rsidP="008D2337">
            <w:pPr>
              <w:keepNext/>
              <w:keepLines/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>Participation</w:t>
            </w:r>
            <w:r w:rsidR="007D3CFE">
              <w:rPr>
                <w:rFonts w:asciiTheme="minorHAnsi" w:hAnsiTheme="minorHAnsi" w:cstheme="minorHAnsi"/>
                <w:sz w:val="22"/>
                <w:szCs w:val="22"/>
              </w:rPr>
              <w:t xml:space="preserve"> is free of charge and</w:t>
            </w:r>
            <w:r w:rsidR="00122325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open to ITU Member States, Sector Members, Associates and Academic Institutions, and to any individual from a country that is a member of ITU, including those affiliated with international, regional and national organizations. </w:t>
            </w:r>
            <w:r w:rsidR="000B7D7B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3ADA23" w14:textId="53824768" w:rsidR="00AF0C38" w:rsidRPr="008D2337" w:rsidRDefault="00B04914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="00AF0C38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All webinars will be </w:t>
            </w:r>
            <w:r w:rsidR="000B7D7B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conducted 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>in English.</w:t>
            </w:r>
          </w:p>
          <w:p w14:paraId="5ED45027" w14:textId="465B5CA6" w:rsidR="00AF0C38" w:rsidRPr="008D2337" w:rsidRDefault="00B04914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D2337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Webinars will be </w:t>
            </w:r>
            <w:r w:rsidR="00AF0C38" w:rsidRPr="008D23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recorded</w:t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. The recordings will be made available on the ITU Journal Webinars Series playlist on YouTube at this </w:t>
            </w:r>
            <w:hyperlink r:id="rId20" w:history="1">
              <w:r w:rsidR="00AF0C38" w:rsidRPr="008D23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link</w:t>
              </w:r>
            </w:hyperlink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 xml:space="preserve">, along with the recordings of the past series. </w:t>
            </w:r>
          </w:p>
          <w:p w14:paraId="1213BF17" w14:textId="7C11BDBB" w:rsidR="00AF0C38" w:rsidRPr="008D2337" w:rsidRDefault="008D2337" w:rsidP="008D2337">
            <w:pPr>
              <w:spacing w:before="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E971BA6" wp14:editId="4FA8AA5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203835</wp:posOffset>
                  </wp:positionV>
                  <wp:extent cx="711237" cy="368319"/>
                  <wp:effectExtent l="0" t="0" r="0" b="0"/>
                  <wp:wrapNone/>
                  <wp:docPr id="1885231347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231347" name="Picture 2" descr="A black text on a white background&#10;&#10;AI-generated content may be incorrect.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0C38" w:rsidRPr="008D2337">
              <w:rPr>
                <w:rFonts w:asciiTheme="minorHAnsi" w:hAnsiTheme="minorHAnsi" w:cstheme="minorHAnsi"/>
                <w:sz w:val="22"/>
                <w:szCs w:val="22"/>
              </w:rPr>
              <w:t>Yours faithfully,</w:t>
            </w:r>
          </w:p>
          <w:p w14:paraId="65319E06" w14:textId="0C0EDFCD" w:rsidR="00AF0C38" w:rsidRPr="00AF0C38" w:rsidRDefault="00AF0C38" w:rsidP="00BB660C">
            <w:pPr>
              <w:spacing w:before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F0C38">
              <w:rPr>
                <w:rFonts w:asciiTheme="minorHAnsi" w:hAnsiTheme="minorHAnsi" w:cstheme="minorHAnsi"/>
                <w:sz w:val="22"/>
                <w:szCs w:val="22"/>
              </w:rPr>
              <w:t>Seizo Onoe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br/>
              <w:t>Director of the Telecommunication</w:t>
            </w:r>
            <w:r w:rsidRPr="00AF0C38">
              <w:rPr>
                <w:rFonts w:asciiTheme="minorHAnsi" w:hAnsiTheme="minorHAnsi" w:cstheme="minorHAnsi"/>
                <w:sz w:val="22"/>
                <w:szCs w:val="22"/>
              </w:rPr>
              <w:br/>
              <w:t>Standardization Bureau</w:t>
            </w:r>
          </w:p>
        </w:tc>
      </w:tr>
    </w:tbl>
    <w:p w14:paraId="42A70E12" w14:textId="6DE890D7" w:rsidR="00D62702" w:rsidRPr="00B04914" w:rsidRDefault="00D62702" w:rsidP="00B04914">
      <w:pPr>
        <w:spacing w:before="0"/>
        <w:rPr>
          <w:rFonts w:asciiTheme="minorHAnsi" w:hAnsiTheme="minorHAnsi" w:cstheme="minorHAnsi"/>
          <w:sz w:val="4"/>
          <w:szCs w:val="4"/>
        </w:rPr>
      </w:pPr>
    </w:p>
    <w:sectPr w:rsidR="00D62702" w:rsidRPr="00B04914" w:rsidSect="008D2337">
      <w:headerReference w:type="default" r:id="rId22"/>
      <w:footerReference w:type="first" r:id="rId23"/>
      <w:type w:val="oddPage"/>
      <w:pgSz w:w="11907" w:h="16834" w:code="9"/>
      <w:pgMar w:top="567" w:right="1089" w:bottom="567" w:left="1089" w:header="567" w:footer="342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8164" w14:textId="77777777" w:rsidR="00744231" w:rsidRDefault="00744231">
      <w:r>
        <w:separator/>
      </w:r>
    </w:p>
  </w:endnote>
  <w:endnote w:type="continuationSeparator" w:id="0">
    <w:p w14:paraId="610242F0" w14:textId="77777777" w:rsidR="00744231" w:rsidRDefault="00744231">
      <w:r>
        <w:continuationSeparator/>
      </w:r>
    </w:p>
  </w:endnote>
  <w:endnote w:type="continuationNotice" w:id="1">
    <w:p w14:paraId="4E8931A1" w14:textId="77777777" w:rsidR="00744231" w:rsidRDefault="0074423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D3FC" w14:textId="3B12FDAA" w:rsidR="00FA46A0" w:rsidRPr="00E927CC" w:rsidRDefault="00E927CC" w:rsidP="00E927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1076" w14:textId="77777777" w:rsidR="00744231" w:rsidRDefault="00744231">
      <w:r>
        <w:t>____________________</w:t>
      </w:r>
    </w:p>
  </w:footnote>
  <w:footnote w:type="continuationSeparator" w:id="0">
    <w:p w14:paraId="55019142" w14:textId="77777777" w:rsidR="00744231" w:rsidRDefault="00744231">
      <w:r>
        <w:continuationSeparator/>
      </w:r>
    </w:p>
  </w:footnote>
  <w:footnote w:type="continuationNotice" w:id="1">
    <w:p w14:paraId="6831E0AE" w14:textId="77777777" w:rsidR="00744231" w:rsidRDefault="0074423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3F9D" w14:textId="771F1D01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>TSB Circular</w:t>
    </w:r>
    <w:r w:rsidR="00C87693">
      <w:rPr>
        <w:noProof/>
      </w:rPr>
      <w:t xml:space="preserve"> </w:t>
    </w:r>
    <w:r w:rsidR="0092343B">
      <w:rPr>
        <w:noProof/>
      </w:rPr>
      <w:t>1</w:t>
    </w:r>
    <w:r w:rsidR="006A63A0">
      <w:rPr>
        <w:noProof/>
      </w:rPr>
      <w:t>2</w:t>
    </w:r>
    <w:r w:rsidR="0092343B">
      <w:rPr>
        <w:noProof/>
      </w:rPr>
      <w:t>2</w:t>
    </w:r>
  </w:p>
  <w:p w14:paraId="0E776F7C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7E1C"/>
    <w:multiLevelType w:val="hybridMultilevel"/>
    <w:tmpl w:val="75AE3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41F9C"/>
    <w:multiLevelType w:val="hybridMultilevel"/>
    <w:tmpl w:val="9B127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13121"/>
    <w:multiLevelType w:val="hybridMultilevel"/>
    <w:tmpl w:val="EA1852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6769">
    <w:abstractNumId w:val="9"/>
  </w:num>
  <w:num w:numId="2" w16cid:durableId="889262737">
    <w:abstractNumId w:val="7"/>
  </w:num>
  <w:num w:numId="3" w16cid:durableId="34160465">
    <w:abstractNumId w:val="6"/>
  </w:num>
  <w:num w:numId="4" w16cid:durableId="1647860801">
    <w:abstractNumId w:val="5"/>
  </w:num>
  <w:num w:numId="5" w16cid:durableId="897478827">
    <w:abstractNumId w:val="4"/>
  </w:num>
  <w:num w:numId="6" w16cid:durableId="798492547">
    <w:abstractNumId w:val="8"/>
  </w:num>
  <w:num w:numId="7" w16cid:durableId="372117569">
    <w:abstractNumId w:val="3"/>
  </w:num>
  <w:num w:numId="8" w16cid:durableId="1583373521">
    <w:abstractNumId w:val="2"/>
  </w:num>
  <w:num w:numId="9" w16cid:durableId="1907256460">
    <w:abstractNumId w:val="1"/>
  </w:num>
  <w:num w:numId="10" w16cid:durableId="862323093">
    <w:abstractNumId w:val="0"/>
  </w:num>
  <w:num w:numId="11" w16cid:durableId="883910582">
    <w:abstractNumId w:val="13"/>
  </w:num>
  <w:num w:numId="12" w16cid:durableId="399252365">
    <w:abstractNumId w:val="12"/>
  </w:num>
  <w:num w:numId="13" w16cid:durableId="1249116863">
    <w:abstractNumId w:val="11"/>
  </w:num>
  <w:num w:numId="14" w16cid:durableId="1903707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IE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C"/>
    <w:rsid w:val="0000072C"/>
    <w:rsid w:val="00003106"/>
    <w:rsid w:val="0001029F"/>
    <w:rsid w:val="000134FD"/>
    <w:rsid w:val="0001718E"/>
    <w:rsid w:val="00022E6B"/>
    <w:rsid w:val="00027429"/>
    <w:rsid w:val="00035B46"/>
    <w:rsid w:val="00045678"/>
    <w:rsid w:val="00045E3D"/>
    <w:rsid w:val="000469B1"/>
    <w:rsid w:val="00061FAB"/>
    <w:rsid w:val="00072424"/>
    <w:rsid w:val="000732C1"/>
    <w:rsid w:val="00077B15"/>
    <w:rsid w:val="00081A38"/>
    <w:rsid w:val="00084CB9"/>
    <w:rsid w:val="00087CD3"/>
    <w:rsid w:val="000973A7"/>
    <w:rsid w:val="000A20BC"/>
    <w:rsid w:val="000A304C"/>
    <w:rsid w:val="000A51F5"/>
    <w:rsid w:val="000B15C8"/>
    <w:rsid w:val="000B3CB8"/>
    <w:rsid w:val="000B590D"/>
    <w:rsid w:val="000B7D7B"/>
    <w:rsid w:val="000B7DD1"/>
    <w:rsid w:val="000C49CD"/>
    <w:rsid w:val="000C7E93"/>
    <w:rsid w:val="000D410A"/>
    <w:rsid w:val="000D4791"/>
    <w:rsid w:val="000E26DC"/>
    <w:rsid w:val="000E3D84"/>
    <w:rsid w:val="000E47AD"/>
    <w:rsid w:val="000F4DE9"/>
    <w:rsid w:val="000F5244"/>
    <w:rsid w:val="001018E1"/>
    <w:rsid w:val="00103A2C"/>
    <w:rsid w:val="00106D6F"/>
    <w:rsid w:val="00112F37"/>
    <w:rsid w:val="00122325"/>
    <w:rsid w:val="00133234"/>
    <w:rsid w:val="00145B4A"/>
    <w:rsid w:val="00145F7A"/>
    <w:rsid w:val="00153C6E"/>
    <w:rsid w:val="00167C66"/>
    <w:rsid w:val="001866B4"/>
    <w:rsid w:val="0019418F"/>
    <w:rsid w:val="001A34EC"/>
    <w:rsid w:val="001B27C7"/>
    <w:rsid w:val="001B35F5"/>
    <w:rsid w:val="001B62C1"/>
    <w:rsid w:val="001D63A9"/>
    <w:rsid w:val="001F2910"/>
    <w:rsid w:val="001F29C3"/>
    <w:rsid w:val="002155CB"/>
    <w:rsid w:val="0021722B"/>
    <w:rsid w:val="0022610F"/>
    <w:rsid w:val="002341A9"/>
    <w:rsid w:val="002409FD"/>
    <w:rsid w:val="00246494"/>
    <w:rsid w:val="002600D5"/>
    <w:rsid w:val="00264EFF"/>
    <w:rsid w:val="00274F23"/>
    <w:rsid w:val="00281359"/>
    <w:rsid w:val="00284F4A"/>
    <w:rsid w:val="00293CC5"/>
    <w:rsid w:val="0029484D"/>
    <w:rsid w:val="00297674"/>
    <w:rsid w:val="002A1BF7"/>
    <w:rsid w:val="002B0A79"/>
    <w:rsid w:val="002B140E"/>
    <w:rsid w:val="002B2BCD"/>
    <w:rsid w:val="002B4166"/>
    <w:rsid w:val="002B5A18"/>
    <w:rsid w:val="002C5430"/>
    <w:rsid w:val="002D6D13"/>
    <w:rsid w:val="002F350E"/>
    <w:rsid w:val="00302B16"/>
    <w:rsid w:val="0030587B"/>
    <w:rsid w:val="00315B65"/>
    <w:rsid w:val="00320EFD"/>
    <w:rsid w:val="00323C37"/>
    <w:rsid w:val="003422B7"/>
    <w:rsid w:val="00344794"/>
    <w:rsid w:val="00344B9B"/>
    <w:rsid w:val="00356B73"/>
    <w:rsid w:val="00362865"/>
    <w:rsid w:val="00363B76"/>
    <w:rsid w:val="003746A5"/>
    <w:rsid w:val="00374926"/>
    <w:rsid w:val="003806F9"/>
    <w:rsid w:val="00380BCC"/>
    <w:rsid w:val="003867A9"/>
    <w:rsid w:val="003A5151"/>
    <w:rsid w:val="003B0535"/>
    <w:rsid w:val="003B0CB3"/>
    <w:rsid w:val="003B7F8A"/>
    <w:rsid w:val="003C4C03"/>
    <w:rsid w:val="003C58FC"/>
    <w:rsid w:val="003C7D62"/>
    <w:rsid w:val="003D0D45"/>
    <w:rsid w:val="003D4690"/>
    <w:rsid w:val="003E63F0"/>
    <w:rsid w:val="003F61C4"/>
    <w:rsid w:val="004213C2"/>
    <w:rsid w:val="00423421"/>
    <w:rsid w:val="00426CFB"/>
    <w:rsid w:val="00431F15"/>
    <w:rsid w:val="00440DD6"/>
    <w:rsid w:val="00453CEA"/>
    <w:rsid w:val="00460088"/>
    <w:rsid w:val="004606BC"/>
    <w:rsid w:val="00470BDE"/>
    <w:rsid w:val="0047435B"/>
    <w:rsid w:val="00486A51"/>
    <w:rsid w:val="00487330"/>
    <w:rsid w:val="00490A1A"/>
    <w:rsid w:val="00494A9B"/>
    <w:rsid w:val="00495B3C"/>
    <w:rsid w:val="004A4143"/>
    <w:rsid w:val="004A738D"/>
    <w:rsid w:val="004B4DFA"/>
    <w:rsid w:val="004C0DB6"/>
    <w:rsid w:val="004D0518"/>
    <w:rsid w:val="004D1689"/>
    <w:rsid w:val="004E1B3C"/>
    <w:rsid w:val="004F4006"/>
    <w:rsid w:val="004F71E0"/>
    <w:rsid w:val="00501F3A"/>
    <w:rsid w:val="00503ADB"/>
    <w:rsid w:val="0051349B"/>
    <w:rsid w:val="005174DC"/>
    <w:rsid w:val="00526971"/>
    <w:rsid w:val="0054418F"/>
    <w:rsid w:val="005442A8"/>
    <w:rsid w:val="00544302"/>
    <w:rsid w:val="0054516C"/>
    <w:rsid w:val="00551197"/>
    <w:rsid w:val="00556D35"/>
    <w:rsid w:val="0055760F"/>
    <w:rsid w:val="00557D95"/>
    <w:rsid w:val="00567646"/>
    <w:rsid w:val="00576B84"/>
    <w:rsid w:val="00576E21"/>
    <w:rsid w:val="005801A7"/>
    <w:rsid w:val="00584C9F"/>
    <w:rsid w:val="005923B3"/>
    <w:rsid w:val="005A2C00"/>
    <w:rsid w:val="005A43F3"/>
    <w:rsid w:val="005C1E2B"/>
    <w:rsid w:val="005D34EE"/>
    <w:rsid w:val="005E003C"/>
    <w:rsid w:val="005E26FA"/>
    <w:rsid w:val="005E3DCE"/>
    <w:rsid w:val="005F411E"/>
    <w:rsid w:val="00625F9F"/>
    <w:rsid w:val="00626C26"/>
    <w:rsid w:val="006303F7"/>
    <w:rsid w:val="00645385"/>
    <w:rsid w:val="006623EC"/>
    <w:rsid w:val="00663ADD"/>
    <w:rsid w:val="00672440"/>
    <w:rsid w:val="0068114C"/>
    <w:rsid w:val="006A1440"/>
    <w:rsid w:val="006A6135"/>
    <w:rsid w:val="006A63A0"/>
    <w:rsid w:val="006A67B4"/>
    <w:rsid w:val="006A7C70"/>
    <w:rsid w:val="006B782A"/>
    <w:rsid w:val="006C5679"/>
    <w:rsid w:val="006D4926"/>
    <w:rsid w:val="006D59AD"/>
    <w:rsid w:val="006D7055"/>
    <w:rsid w:val="006F2225"/>
    <w:rsid w:val="006F4917"/>
    <w:rsid w:val="0070029A"/>
    <w:rsid w:val="00701098"/>
    <w:rsid w:val="00715006"/>
    <w:rsid w:val="00716DBB"/>
    <w:rsid w:val="007236B9"/>
    <w:rsid w:val="00730A58"/>
    <w:rsid w:val="0073361D"/>
    <w:rsid w:val="00744231"/>
    <w:rsid w:val="00747C75"/>
    <w:rsid w:val="00750C06"/>
    <w:rsid w:val="007510E8"/>
    <w:rsid w:val="007528FA"/>
    <w:rsid w:val="00753997"/>
    <w:rsid w:val="0075420A"/>
    <w:rsid w:val="00760D03"/>
    <w:rsid w:val="007611CC"/>
    <w:rsid w:val="00765967"/>
    <w:rsid w:val="007801FF"/>
    <w:rsid w:val="00781D24"/>
    <w:rsid w:val="007862EE"/>
    <w:rsid w:val="00786A74"/>
    <w:rsid w:val="0079171D"/>
    <w:rsid w:val="0079763E"/>
    <w:rsid w:val="007A65E8"/>
    <w:rsid w:val="007C541F"/>
    <w:rsid w:val="007D0F57"/>
    <w:rsid w:val="007D3B80"/>
    <w:rsid w:val="007D3CFE"/>
    <w:rsid w:val="007D525A"/>
    <w:rsid w:val="007D77F4"/>
    <w:rsid w:val="007E24CB"/>
    <w:rsid w:val="007E3B70"/>
    <w:rsid w:val="007F163F"/>
    <w:rsid w:val="007F6FF9"/>
    <w:rsid w:val="00802DD0"/>
    <w:rsid w:val="008042A6"/>
    <w:rsid w:val="00815C63"/>
    <w:rsid w:val="00815F7B"/>
    <w:rsid w:val="00816CC9"/>
    <w:rsid w:val="00826E77"/>
    <w:rsid w:val="00834D49"/>
    <w:rsid w:val="008443C3"/>
    <w:rsid w:val="008537F5"/>
    <w:rsid w:val="0085548C"/>
    <w:rsid w:val="00886D0D"/>
    <w:rsid w:val="00887CFB"/>
    <w:rsid w:val="00895643"/>
    <w:rsid w:val="008A1137"/>
    <w:rsid w:val="008B1DE7"/>
    <w:rsid w:val="008C0FDA"/>
    <w:rsid w:val="008C6C77"/>
    <w:rsid w:val="008D2337"/>
    <w:rsid w:val="008D4ACF"/>
    <w:rsid w:val="008E32BC"/>
    <w:rsid w:val="008F300F"/>
    <w:rsid w:val="009022B9"/>
    <w:rsid w:val="009106C0"/>
    <w:rsid w:val="00915A71"/>
    <w:rsid w:val="00917CE7"/>
    <w:rsid w:val="0092343B"/>
    <w:rsid w:val="0095109F"/>
    <w:rsid w:val="00961FC3"/>
    <w:rsid w:val="00963900"/>
    <w:rsid w:val="00963CBF"/>
    <w:rsid w:val="0096736C"/>
    <w:rsid w:val="009707AD"/>
    <w:rsid w:val="00970B0B"/>
    <w:rsid w:val="00972F95"/>
    <w:rsid w:val="009747C5"/>
    <w:rsid w:val="00992341"/>
    <w:rsid w:val="00993D4A"/>
    <w:rsid w:val="009B0666"/>
    <w:rsid w:val="009B2EB5"/>
    <w:rsid w:val="009D0280"/>
    <w:rsid w:val="009D0833"/>
    <w:rsid w:val="00A02880"/>
    <w:rsid w:val="00A05BC0"/>
    <w:rsid w:val="00A17AE7"/>
    <w:rsid w:val="00A17EAF"/>
    <w:rsid w:val="00A26A11"/>
    <w:rsid w:val="00A276C3"/>
    <w:rsid w:val="00A27F1A"/>
    <w:rsid w:val="00A32944"/>
    <w:rsid w:val="00A32B6E"/>
    <w:rsid w:val="00A35CB0"/>
    <w:rsid w:val="00A36AD8"/>
    <w:rsid w:val="00A45C3A"/>
    <w:rsid w:val="00A51943"/>
    <w:rsid w:val="00A6504E"/>
    <w:rsid w:val="00A658FA"/>
    <w:rsid w:val="00A7124F"/>
    <w:rsid w:val="00A71B99"/>
    <w:rsid w:val="00A72B9A"/>
    <w:rsid w:val="00A72C30"/>
    <w:rsid w:val="00A7374D"/>
    <w:rsid w:val="00A75ACC"/>
    <w:rsid w:val="00A94A63"/>
    <w:rsid w:val="00A97A91"/>
    <w:rsid w:val="00AA0232"/>
    <w:rsid w:val="00AA0DC4"/>
    <w:rsid w:val="00AA5CD4"/>
    <w:rsid w:val="00AB2EC6"/>
    <w:rsid w:val="00AB5847"/>
    <w:rsid w:val="00AC2D86"/>
    <w:rsid w:val="00AD6784"/>
    <w:rsid w:val="00AE242E"/>
    <w:rsid w:val="00AE55C7"/>
    <w:rsid w:val="00AF0C38"/>
    <w:rsid w:val="00AF175E"/>
    <w:rsid w:val="00AF5082"/>
    <w:rsid w:val="00B02106"/>
    <w:rsid w:val="00B03AA5"/>
    <w:rsid w:val="00B03C82"/>
    <w:rsid w:val="00B04914"/>
    <w:rsid w:val="00B2488F"/>
    <w:rsid w:val="00B27700"/>
    <w:rsid w:val="00B32011"/>
    <w:rsid w:val="00B4669D"/>
    <w:rsid w:val="00B52AF3"/>
    <w:rsid w:val="00B53D0C"/>
    <w:rsid w:val="00B5535E"/>
    <w:rsid w:val="00B6099C"/>
    <w:rsid w:val="00B61012"/>
    <w:rsid w:val="00B61D36"/>
    <w:rsid w:val="00B659DB"/>
    <w:rsid w:val="00B70378"/>
    <w:rsid w:val="00B80336"/>
    <w:rsid w:val="00B81DD6"/>
    <w:rsid w:val="00B907F5"/>
    <w:rsid w:val="00B92627"/>
    <w:rsid w:val="00BA766E"/>
    <w:rsid w:val="00BB660C"/>
    <w:rsid w:val="00BC14AF"/>
    <w:rsid w:val="00BD1455"/>
    <w:rsid w:val="00C01211"/>
    <w:rsid w:val="00C016C0"/>
    <w:rsid w:val="00C06EC1"/>
    <w:rsid w:val="00C11C28"/>
    <w:rsid w:val="00C15D8F"/>
    <w:rsid w:val="00C310B8"/>
    <w:rsid w:val="00C42E91"/>
    <w:rsid w:val="00C4742D"/>
    <w:rsid w:val="00C67845"/>
    <w:rsid w:val="00C87693"/>
    <w:rsid w:val="00C9026E"/>
    <w:rsid w:val="00C909B3"/>
    <w:rsid w:val="00C93114"/>
    <w:rsid w:val="00C9382E"/>
    <w:rsid w:val="00C93D34"/>
    <w:rsid w:val="00C95BF6"/>
    <w:rsid w:val="00C968CB"/>
    <w:rsid w:val="00C972D9"/>
    <w:rsid w:val="00CA3572"/>
    <w:rsid w:val="00CA3656"/>
    <w:rsid w:val="00CA7CDD"/>
    <w:rsid w:val="00CB47D7"/>
    <w:rsid w:val="00CB657A"/>
    <w:rsid w:val="00CC0A9A"/>
    <w:rsid w:val="00CC6890"/>
    <w:rsid w:val="00CC718B"/>
    <w:rsid w:val="00CD6BEC"/>
    <w:rsid w:val="00CE125B"/>
    <w:rsid w:val="00CF04B7"/>
    <w:rsid w:val="00CF2AFF"/>
    <w:rsid w:val="00CF76A9"/>
    <w:rsid w:val="00D04ACA"/>
    <w:rsid w:val="00D121DB"/>
    <w:rsid w:val="00D217A8"/>
    <w:rsid w:val="00D25A56"/>
    <w:rsid w:val="00D27E80"/>
    <w:rsid w:val="00D34096"/>
    <w:rsid w:val="00D36E4E"/>
    <w:rsid w:val="00D62702"/>
    <w:rsid w:val="00D63968"/>
    <w:rsid w:val="00D748C5"/>
    <w:rsid w:val="00D75745"/>
    <w:rsid w:val="00D81B01"/>
    <w:rsid w:val="00D91779"/>
    <w:rsid w:val="00D92E4C"/>
    <w:rsid w:val="00DA105E"/>
    <w:rsid w:val="00DB31B7"/>
    <w:rsid w:val="00DB5AE1"/>
    <w:rsid w:val="00DC005A"/>
    <w:rsid w:val="00DD18AC"/>
    <w:rsid w:val="00DE2AE2"/>
    <w:rsid w:val="00DF5AC0"/>
    <w:rsid w:val="00DF7FD6"/>
    <w:rsid w:val="00E0014F"/>
    <w:rsid w:val="00E059E0"/>
    <w:rsid w:val="00E1539A"/>
    <w:rsid w:val="00E1692D"/>
    <w:rsid w:val="00E205FB"/>
    <w:rsid w:val="00E2401D"/>
    <w:rsid w:val="00E268BD"/>
    <w:rsid w:val="00E3712E"/>
    <w:rsid w:val="00E46657"/>
    <w:rsid w:val="00E51446"/>
    <w:rsid w:val="00E6091D"/>
    <w:rsid w:val="00E613C7"/>
    <w:rsid w:val="00E67B3B"/>
    <w:rsid w:val="00E705BF"/>
    <w:rsid w:val="00E7082B"/>
    <w:rsid w:val="00E7353C"/>
    <w:rsid w:val="00E741B8"/>
    <w:rsid w:val="00E927CC"/>
    <w:rsid w:val="00E9744D"/>
    <w:rsid w:val="00EA05FE"/>
    <w:rsid w:val="00EA2114"/>
    <w:rsid w:val="00EA53FE"/>
    <w:rsid w:val="00EA62E7"/>
    <w:rsid w:val="00EB2C32"/>
    <w:rsid w:val="00EB3C93"/>
    <w:rsid w:val="00EB4753"/>
    <w:rsid w:val="00EC12D3"/>
    <w:rsid w:val="00EC15F4"/>
    <w:rsid w:val="00EC2F44"/>
    <w:rsid w:val="00EC6FA2"/>
    <w:rsid w:val="00ED28F9"/>
    <w:rsid w:val="00EE036F"/>
    <w:rsid w:val="00EE74AC"/>
    <w:rsid w:val="00EF463B"/>
    <w:rsid w:val="00EF57F6"/>
    <w:rsid w:val="00F0236B"/>
    <w:rsid w:val="00F069AB"/>
    <w:rsid w:val="00F1515B"/>
    <w:rsid w:val="00F15A4A"/>
    <w:rsid w:val="00F15CD7"/>
    <w:rsid w:val="00F1709F"/>
    <w:rsid w:val="00F21C88"/>
    <w:rsid w:val="00F22314"/>
    <w:rsid w:val="00F2692C"/>
    <w:rsid w:val="00F27991"/>
    <w:rsid w:val="00F3275A"/>
    <w:rsid w:val="00F343F2"/>
    <w:rsid w:val="00F50857"/>
    <w:rsid w:val="00F56443"/>
    <w:rsid w:val="00F67B57"/>
    <w:rsid w:val="00F7706A"/>
    <w:rsid w:val="00F83A3F"/>
    <w:rsid w:val="00F91205"/>
    <w:rsid w:val="00FA0447"/>
    <w:rsid w:val="00FA314D"/>
    <w:rsid w:val="00FA4193"/>
    <w:rsid w:val="00FA46A0"/>
    <w:rsid w:val="00FA4CFC"/>
    <w:rsid w:val="00FA5867"/>
    <w:rsid w:val="00FA6B46"/>
    <w:rsid w:val="00FB4D55"/>
    <w:rsid w:val="00FC02E0"/>
    <w:rsid w:val="00FC1C19"/>
    <w:rsid w:val="00FC609D"/>
    <w:rsid w:val="00FD09FF"/>
    <w:rsid w:val="00FE44DE"/>
    <w:rsid w:val="00FF5729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82FF6"/>
  <w15:docId w15:val="{1D0EB67A-97AB-4340-BBBA-2A175CB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1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353C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AA5CD4"/>
    <w:pPr>
      <w:ind w:left="720"/>
      <w:contextualSpacing/>
    </w:pPr>
  </w:style>
  <w:style w:type="paragraph" w:styleId="Revision">
    <w:name w:val="Revision"/>
    <w:hidden/>
    <w:semiHidden/>
    <w:rsid w:val="003422B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journal/j-fet/webinars/Pages/default.aspx" TargetMode="External"/><Relationship Id="rId18" Type="http://schemas.openxmlformats.org/officeDocument/2006/relationships/hyperlink" Target="https://www.itu.int/en/journal/j-fet/webinars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journal/j-fet/Pages/default.aspx" TargetMode="External"/><Relationship Id="rId17" Type="http://schemas.openxmlformats.org/officeDocument/2006/relationships/hyperlink" Target="https://aiforgood.itu.int/event/slices-your-scientific-instrument-to-support-6g-system-research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iforgood.itu.int/event/arrays-of-liquid-antennas-taking-reconfigurability-to-the-next-level/" TargetMode="External"/><Relationship Id="rId20" Type="http://schemas.openxmlformats.org/officeDocument/2006/relationships/hyperlink" Target="https://consent.youtube.com/m?continue=https%3A%2F%2Fwww.youtube.com%2Fplaylist%3Flist%3DPLpoIPNlF8P2Pv_IPejcMgAohtasUIJVE3%26cbrd%3D1&amp;gl=CH&amp;m=0&amp;pc=yt&amp;cm=2&amp;hl=en&amp;src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ssia.magliarditi@itu.i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aiforgood.itu.int/event/quantum-networking-issues-challenges-and-opportunities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itu.int/en/journal/j-fet/webinars/Page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uralnetwork.aiforgood.itu.int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ilon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1f9d4-5cce-4650-917f-33ed1316c592" xsi:nil="true"/>
    <lcf76f155ced4ddcb4097134ff3c332f xmlns="71dfe91b-0d51-4d0b-aa14-29f5a0a829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39D3E203728742A1A682AC9DEDF8E5" ma:contentTypeVersion="13" ma:contentTypeDescription="Create a new document." ma:contentTypeScope="" ma:versionID="33ab16375a7672ab4e3632f5b1754b8f">
  <xsd:schema xmlns:xsd="http://www.w3.org/2001/XMLSchema" xmlns:xs="http://www.w3.org/2001/XMLSchema" xmlns:p="http://schemas.microsoft.com/office/2006/metadata/properties" xmlns:ns2="71dfe91b-0d51-4d0b-aa14-29f5a0a829c1" xmlns:ns3="22c1f9d4-5cce-4650-917f-33ed1316c592" targetNamespace="http://schemas.microsoft.com/office/2006/metadata/properties" ma:root="true" ma:fieldsID="de10b81e68a7fc602fb8389f8f537049" ns2:_="" ns3:_="">
    <xsd:import namespace="71dfe91b-0d51-4d0b-aa14-29f5a0a829c1"/>
    <xsd:import namespace="22c1f9d4-5cce-4650-917f-33ed1316c5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fe91b-0d51-4d0b-aa14-29f5a0a82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1f9d4-5cce-4650-917f-33ed1316c5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3b344f-f76e-4348-899d-5ec35733b753}" ma:internalName="TaxCatchAll" ma:showField="CatchAllData" ma:web="22c1f9d4-5cce-4650-917f-33ed1316c5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63F28-831C-476E-AEDC-511C2825E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685ED-3A7B-432A-8BF8-534316C3CA97}">
  <ds:schemaRefs>
    <ds:schemaRef ds:uri="http://schemas.microsoft.com/office/2006/metadata/properties"/>
    <ds:schemaRef ds:uri="http://schemas.microsoft.com/office/infopath/2007/PartnerControls"/>
    <ds:schemaRef ds:uri="22c1f9d4-5cce-4650-917f-33ed1316c592"/>
    <ds:schemaRef ds:uri="71dfe91b-0d51-4d0b-aa14-29f5a0a829c1"/>
  </ds:schemaRefs>
</ds:datastoreItem>
</file>

<file path=customXml/itemProps3.xml><?xml version="1.0" encoding="utf-8"?>
<ds:datastoreItem xmlns:ds="http://schemas.openxmlformats.org/officeDocument/2006/customXml" ds:itemID="{A3A4E41E-0F1C-4CC5-AD31-CCA69C919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fe91b-0d51-4d0b-aa14-29f5a0a829c1"/>
    <ds:schemaRef ds:uri="22c1f9d4-5cce-4650-917f-33ed1316c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26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Campilongo, Erica</dc:creator>
  <cp:keywords/>
  <dc:description/>
  <cp:lastModifiedBy>Braud, Olivia</cp:lastModifiedBy>
  <cp:revision>8</cp:revision>
  <cp:lastPrinted>2026-03-12T07:37:00Z</cp:lastPrinted>
  <dcterms:created xsi:type="dcterms:W3CDTF">2026-03-05T15:10:00Z</dcterms:created>
  <dcterms:modified xsi:type="dcterms:W3CDTF">2026-03-12T07:37:00Z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0x0101000C39D3E203728742A1A682AC9DEDF8E5</vt:lpwstr>
  </property>
  <property fmtid="{D5CDD505-2E9C-101B-9397-08002B2CF9AE}" pid="6" name="MediaServiceImageTags">
    <vt:lpwstr/>
  </property>
</Properties>
</file>