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8" w:type="dxa"/>
        <w:tblLayout w:type="fixed"/>
        <w:tblCellMar>
          <w:left w:w="0" w:type="dxa"/>
          <w:right w:w="0" w:type="dxa"/>
        </w:tblCellMar>
        <w:tblLook w:val="0000" w:firstRow="0" w:lastRow="0" w:firstColumn="0" w:lastColumn="0" w:noHBand="0" w:noVBand="0"/>
      </w:tblPr>
      <w:tblGrid>
        <w:gridCol w:w="993"/>
        <w:gridCol w:w="417"/>
        <w:gridCol w:w="3467"/>
        <w:gridCol w:w="5329"/>
      </w:tblGrid>
      <w:tr w:rsidR="007B6316" w14:paraId="4A557542" w14:textId="77777777" w:rsidTr="007B6316">
        <w:trPr>
          <w:cantSplit/>
          <w:trHeight w:val="340"/>
        </w:trPr>
        <w:tc>
          <w:tcPr>
            <w:tcW w:w="1410" w:type="dxa"/>
            <w:gridSpan w:val="2"/>
          </w:tcPr>
          <w:p w14:paraId="5990568A" w14:textId="77777777" w:rsidR="007B6316" w:rsidRDefault="007B6316" w:rsidP="00303D62">
            <w:pPr>
              <w:tabs>
                <w:tab w:val="left" w:pos="4111"/>
              </w:tabs>
              <w:spacing w:before="10"/>
              <w:ind w:left="57"/>
              <w:rPr>
                <w:sz w:val="22"/>
              </w:rPr>
            </w:pPr>
            <w:r w:rsidRPr="00F1238A">
              <w:rPr>
                <w:noProof/>
                <w:lang w:val="en-US" w:eastAsia="zh-CN"/>
              </w:rPr>
              <w:drawing>
                <wp:inline distT="0" distB="0" distL="0" distR="0" wp14:anchorId="66A08FEB" wp14:editId="38BE082F">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6" w:type="dxa"/>
            <w:gridSpan w:val="2"/>
            <w:vAlign w:val="center"/>
          </w:tcPr>
          <w:p w14:paraId="1154CEF7"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7D94A39B"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14:paraId="3958104D" w14:textId="77777777" w:rsidTr="00303D62">
        <w:trPr>
          <w:cantSplit/>
          <w:trHeight w:val="340"/>
        </w:trPr>
        <w:tc>
          <w:tcPr>
            <w:tcW w:w="993" w:type="dxa"/>
          </w:tcPr>
          <w:p w14:paraId="4B8039DF" w14:textId="77777777" w:rsidR="007B6316" w:rsidRPr="007B6316" w:rsidRDefault="007B6316" w:rsidP="00303D62">
            <w:pPr>
              <w:tabs>
                <w:tab w:val="left" w:pos="4111"/>
              </w:tabs>
              <w:spacing w:before="10"/>
              <w:ind w:left="57"/>
              <w:rPr>
                <w:b/>
                <w:bCs/>
                <w:sz w:val="22"/>
              </w:rPr>
            </w:pPr>
          </w:p>
        </w:tc>
        <w:tc>
          <w:tcPr>
            <w:tcW w:w="3884" w:type="dxa"/>
            <w:gridSpan w:val="2"/>
          </w:tcPr>
          <w:p w14:paraId="1138F223" w14:textId="77777777" w:rsidR="007B6316" w:rsidRDefault="007B6316" w:rsidP="00303D62">
            <w:pPr>
              <w:tabs>
                <w:tab w:val="left" w:pos="4111"/>
              </w:tabs>
              <w:spacing w:before="0"/>
              <w:ind w:left="57"/>
              <w:rPr>
                <w:b/>
              </w:rPr>
            </w:pPr>
          </w:p>
        </w:tc>
        <w:tc>
          <w:tcPr>
            <w:tcW w:w="5329" w:type="dxa"/>
          </w:tcPr>
          <w:p w14:paraId="50ADDF30" w14:textId="09675FCA" w:rsidR="007B6316" w:rsidRDefault="007B6316" w:rsidP="007B6316">
            <w:pPr>
              <w:tabs>
                <w:tab w:val="clear" w:pos="794"/>
                <w:tab w:val="clear" w:pos="1191"/>
                <w:tab w:val="clear" w:pos="1588"/>
                <w:tab w:val="clear" w:pos="1985"/>
                <w:tab w:val="left" w:pos="284"/>
              </w:tabs>
              <w:spacing w:after="120"/>
              <w:ind w:left="284" w:hanging="227"/>
            </w:pPr>
            <w:r w:rsidRPr="00081FE5">
              <w:rPr>
                <w:szCs w:val="24"/>
              </w:rPr>
              <w:t>Ginebra,</w:t>
            </w:r>
            <w:r w:rsidR="00396FE5">
              <w:rPr>
                <w:szCs w:val="24"/>
              </w:rPr>
              <w:t xml:space="preserve"> 5 de marzo de 2026</w:t>
            </w:r>
          </w:p>
        </w:tc>
      </w:tr>
      <w:tr w:rsidR="001350B9" w14:paraId="3939357F" w14:textId="77777777" w:rsidTr="00303D62">
        <w:trPr>
          <w:cantSplit/>
          <w:trHeight w:val="340"/>
        </w:trPr>
        <w:tc>
          <w:tcPr>
            <w:tcW w:w="993" w:type="dxa"/>
          </w:tcPr>
          <w:p w14:paraId="027627FA" w14:textId="77777777" w:rsidR="001350B9" w:rsidRPr="001350B9" w:rsidRDefault="001350B9" w:rsidP="00303D62">
            <w:pPr>
              <w:tabs>
                <w:tab w:val="left" w:pos="4111"/>
              </w:tabs>
              <w:spacing w:before="10"/>
              <w:ind w:left="57"/>
              <w:rPr>
                <w:sz w:val="22"/>
              </w:rPr>
            </w:pPr>
            <w:r w:rsidRPr="001350B9">
              <w:rPr>
                <w:sz w:val="22"/>
              </w:rPr>
              <w:t>Ref.:</w:t>
            </w:r>
          </w:p>
          <w:p w14:paraId="09E858AC" w14:textId="77777777" w:rsidR="001350B9" w:rsidRPr="001350B9" w:rsidRDefault="001350B9" w:rsidP="007B6316">
            <w:pPr>
              <w:tabs>
                <w:tab w:val="left" w:pos="4111"/>
              </w:tabs>
              <w:spacing w:before="10"/>
              <w:ind w:left="57"/>
              <w:rPr>
                <w:sz w:val="22"/>
              </w:rPr>
            </w:pPr>
          </w:p>
        </w:tc>
        <w:tc>
          <w:tcPr>
            <w:tcW w:w="3884" w:type="dxa"/>
            <w:gridSpan w:val="2"/>
          </w:tcPr>
          <w:p w14:paraId="319E7077" w14:textId="6EB5ED03" w:rsidR="001350B9" w:rsidRDefault="001350B9" w:rsidP="00303D62">
            <w:pPr>
              <w:tabs>
                <w:tab w:val="left" w:pos="4111"/>
              </w:tabs>
              <w:spacing w:before="0"/>
              <w:ind w:left="57"/>
              <w:rPr>
                <w:b/>
              </w:rPr>
            </w:pPr>
            <w:r>
              <w:rPr>
                <w:b/>
              </w:rPr>
              <w:t xml:space="preserve">Circular TSB </w:t>
            </w:r>
            <w:r w:rsidR="00396FE5">
              <w:rPr>
                <w:b/>
              </w:rPr>
              <w:t>121</w:t>
            </w:r>
          </w:p>
          <w:p w14:paraId="7FDA7B87" w14:textId="702CAECB" w:rsidR="001350B9" w:rsidRDefault="001350B9" w:rsidP="00396FE5">
            <w:pPr>
              <w:tabs>
                <w:tab w:val="left" w:pos="4111"/>
              </w:tabs>
              <w:spacing w:before="0"/>
              <w:ind w:left="57"/>
            </w:pPr>
            <w:r>
              <w:t>C</w:t>
            </w:r>
            <w:r w:rsidR="00396FE5">
              <w:t>B</w:t>
            </w:r>
          </w:p>
        </w:tc>
        <w:tc>
          <w:tcPr>
            <w:tcW w:w="5329" w:type="dxa"/>
            <w:vMerge w:val="restart"/>
          </w:tcPr>
          <w:p w14:paraId="47597EE6" w14:textId="27567309" w:rsidR="00396FE5" w:rsidRDefault="001350B9" w:rsidP="00396FE5">
            <w:pPr>
              <w:tabs>
                <w:tab w:val="clear" w:pos="794"/>
                <w:tab w:val="clear" w:pos="1191"/>
                <w:tab w:val="clear" w:pos="1588"/>
                <w:tab w:val="clear" w:pos="1985"/>
                <w:tab w:val="left" w:pos="284"/>
              </w:tabs>
              <w:spacing w:before="0"/>
              <w:ind w:left="284" w:hanging="227"/>
            </w:pPr>
            <w:bookmarkStart w:id="0" w:name="Addressee_S"/>
            <w:bookmarkEnd w:id="0"/>
            <w:r>
              <w:t>-</w:t>
            </w:r>
            <w:r>
              <w:tab/>
              <w:t>A las Administraciones de los Estados Miembros de la Unión</w:t>
            </w:r>
            <w:r w:rsidR="00396FE5">
              <w:t>;</w:t>
            </w:r>
          </w:p>
          <w:p w14:paraId="3A87E1AF" w14:textId="04EA9380" w:rsidR="00396FE5" w:rsidRDefault="00396FE5" w:rsidP="00396FE5">
            <w:pPr>
              <w:tabs>
                <w:tab w:val="clear" w:pos="794"/>
                <w:tab w:val="clear" w:pos="1191"/>
                <w:tab w:val="clear" w:pos="1588"/>
                <w:tab w:val="clear" w:pos="1985"/>
                <w:tab w:val="left" w:pos="284"/>
              </w:tabs>
              <w:spacing w:before="0"/>
              <w:ind w:left="284" w:hanging="227"/>
            </w:pPr>
            <w:r>
              <w:t>-</w:t>
            </w:r>
            <w:r>
              <w:tab/>
              <w:t>Al Estado de Palestina (Res. 99 (Rev. Dubái, 2018));</w:t>
            </w:r>
          </w:p>
          <w:p w14:paraId="521E4D9D" w14:textId="4B9EBDD9" w:rsidR="00396FE5" w:rsidRDefault="001350B9" w:rsidP="00396FE5">
            <w:pPr>
              <w:tabs>
                <w:tab w:val="clear" w:pos="794"/>
                <w:tab w:val="clear" w:pos="1191"/>
                <w:tab w:val="clear" w:pos="1588"/>
                <w:tab w:val="clear" w:pos="1985"/>
                <w:tab w:val="left" w:pos="284"/>
              </w:tabs>
              <w:spacing w:before="0"/>
              <w:ind w:left="284" w:hanging="227"/>
            </w:pPr>
            <w:r>
              <w:t>-</w:t>
            </w:r>
            <w:r>
              <w:tab/>
              <w:t xml:space="preserve">A los Miembros de Sector </w:t>
            </w:r>
            <w:r w:rsidR="00396FE5">
              <w:t xml:space="preserve">del </w:t>
            </w:r>
            <w:r>
              <w:t>UIT</w:t>
            </w:r>
            <w:r>
              <w:noBreakHyphen/>
              <w:t>T;</w:t>
            </w:r>
          </w:p>
          <w:p w14:paraId="5BAB77F8" w14:textId="77777777" w:rsidR="00396FE5" w:rsidRDefault="001350B9" w:rsidP="00396FE5">
            <w:pPr>
              <w:tabs>
                <w:tab w:val="clear" w:pos="794"/>
                <w:tab w:val="clear" w:pos="1191"/>
                <w:tab w:val="clear" w:pos="1588"/>
                <w:tab w:val="clear" w:pos="1985"/>
                <w:tab w:val="left" w:pos="284"/>
              </w:tabs>
              <w:spacing w:before="0"/>
              <w:ind w:left="284" w:hanging="227"/>
            </w:pPr>
            <w:r>
              <w:t>-</w:t>
            </w:r>
            <w:r>
              <w:tab/>
              <w:t>A los Asociados del UIT</w:t>
            </w:r>
            <w:r>
              <w:noBreakHyphen/>
              <w:t>T;</w:t>
            </w:r>
          </w:p>
          <w:p w14:paraId="172BDF05" w14:textId="0CFB02F2" w:rsidR="00396FE5" w:rsidRDefault="001350B9" w:rsidP="00396FE5">
            <w:pPr>
              <w:tabs>
                <w:tab w:val="clear" w:pos="794"/>
                <w:tab w:val="clear" w:pos="1191"/>
                <w:tab w:val="clear" w:pos="1588"/>
                <w:tab w:val="clear" w:pos="1985"/>
                <w:tab w:val="left" w:pos="284"/>
              </w:tabs>
              <w:spacing w:before="0"/>
              <w:ind w:left="284" w:hanging="227"/>
            </w:pPr>
            <w:r w:rsidRPr="00665FBD">
              <w:t>-</w:t>
            </w:r>
            <w:r>
              <w:tab/>
              <w:t>A las Instituciones Académicas de</w:t>
            </w:r>
            <w:r w:rsidR="00396FE5">
              <w:t xml:space="preserve"> </w:t>
            </w:r>
            <w:r>
              <w:t>l</w:t>
            </w:r>
            <w:r w:rsidR="00396FE5">
              <w:t>a</w:t>
            </w:r>
            <w:r>
              <w:t xml:space="preserve"> </w:t>
            </w:r>
            <w:r w:rsidRPr="00665FBD">
              <w:t>UIT</w:t>
            </w:r>
            <w:r>
              <w:t>;</w:t>
            </w:r>
          </w:p>
          <w:p w14:paraId="14ACBF54" w14:textId="29D942C2" w:rsidR="00396FE5" w:rsidRDefault="00396FE5" w:rsidP="00396FE5">
            <w:pPr>
              <w:tabs>
                <w:tab w:val="clear" w:pos="794"/>
                <w:tab w:val="clear" w:pos="1191"/>
                <w:tab w:val="clear" w:pos="1588"/>
                <w:tab w:val="clear" w:pos="1985"/>
                <w:tab w:val="left" w:pos="284"/>
              </w:tabs>
              <w:spacing w:before="0"/>
              <w:ind w:left="284" w:hanging="227"/>
            </w:pPr>
            <w:r>
              <w:t>-</w:t>
            </w:r>
            <w:r>
              <w:tab/>
              <w:t>A las Misiones Permanentes y Embajadas en Ginebra;</w:t>
            </w:r>
          </w:p>
          <w:p w14:paraId="0EE2E366" w14:textId="030D1260" w:rsidR="00396FE5" w:rsidRDefault="00396FE5" w:rsidP="00396FE5">
            <w:pPr>
              <w:tabs>
                <w:tab w:val="clear" w:pos="794"/>
                <w:tab w:val="clear" w:pos="1191"/>
                <w:tab w:val="clear" w:pos="1588"/>
                <w:tab w:val="clear" w:pos="1985"/>
                <w:tab w:val="left" w:pos="284"/>
              </w:tabs>
              <w:spacing w:before="0"/>
              <w:ind w:left="284" w:hanging="227"/>
            </w:pPr>
            <w:r>
              <w:t>-</w:t>
            </w:r>
            <w:r>
              <w:tab/>
              <w:t>A las Organizaciones nacionales, regionales e internacionales pertinentes;</w:t>
            </w:r>
          </w:p>
          <w:p w14:paraId="2786B077" w14:textId="4FBCBC07" w:rsidR="00396FE5" w:rsidRDefault="00396FE5" w:rsidP="00396FE5">
            <w:pPr>
              <w:tabs>
                <w:tab w:val="clear" w:pos="794"/>
                <w:tab w:val="clear" w:pos="1191"/>
                <w:tab w:val="clear" w:pos="1588"/>
                <w:tab w:val="clear" w:pos="1985"/>
                <w:tab w:val="left" w:pos="284"/>
              </w:tabs>
              <w:spacing w:before="0"/>
              <w:ind w:left="284" w:hanging="227"/>
            </w:pPr>
            <w:r>
              <w:t>-</w:t>
            </w:r>
            <w:r>
              <w:tab/>
              <w:t>A las Organizaciones intergubernamentales que explotan sistemas de satélites;</w:t>
            </w:r>
          </w:p>
          <w:p w14:paraId="16863010" w14:textId="24CB73AC" w:rsidR="00396FE5" w:rsidRDefault="00396FE5" w:rsidP="00396FE5">
            <w:pPr>
              <w:tabs>
                <w:tab w:val="clear" w:pos="794"/>
                <w:tab w:val="clear" w:pos="1191"/>
                <w:tab w:val="clear" w:pos="1588"/>
                <w:tab w:val="clear" w:pos="1985"/>
                <w:tab w:val="left" w:pos="284"/>
              </w:tabs>
              <w:spacing w:before="0"/>
              <w:ind w:left="284" w:hanging="227"/>
            </w:pPr>
            <w:r>
              <w:t>-</w:t>
            </w:r>
            <w:r>
              <w:tab/>
              <w:t>A las Naciones Unidas;</w:t>
            </w:r>
          </w:p>
          <w:p w14:paraId="2C214C93" w14:textId="1E570307" w:rsidR="00396FE5" w:rsidRDefault="00396FE5" w:rsidP="00396FE5">
            <w:pPr>
              <w:tabs>
                <w:tab w:val="clear" w:pos="794"/>
                <w:tab w:val="clear" w:pos="1191"/>
                <w:tab w:val="clear" w:pos="1588"/>
                <w:tab w:val="clear" w:pos="1985"/>
                <w:tab w:val="left" w:pos="284"/>
              </w:tabs>
              <w:spacing w:before="0"/>
              <w:ind w:left="284" w:hanging="227"/>
            </w:pPr>
            <w:r>
              <w:t>-</w:t>
            </w:r>
            <w:r>
              <w:tab/>
              <w:t xml:space="preserve"> A los Organismos especializados de las Naciones Unidas y Organismo Internacional de Energía Atómica</w:t>
            </w:r>
          </w:p>
          <w:p w14:paraId="0B1BECFA" w14:textId="709804FD" w:rsidR="00396FE5" w:rsidRPr="00396FE5" w:rsidRDefault="00396FE5" w:rsidP="007C29BA">
            <w:pPr>
              <w:tabs>
                <w:tab w:val="clear" w:pos="794"/>
                <w:tab w:val="clear" w:pos="1191"/>
                <w:tab w:val="clear" w:pos="1588"/>
                <w:tab w:val="clear" w:pos="1985"/>
                <w:tab w:val="left" w:pos="284"/>
              </w:tabs>
              <w:spacing w:after="120"/>
              <w:ind w:left="284" w:hanging="227"/>
              <w:rPr>
                <w:b/>
                <w:bCs/>
              </w:rPr>
            </w:pPr>
            <w:r w:rsidRPr="00396FE5">
              <w:rPr>
                <w:b/>
                <w:bCs/>
              </w:rPr>
              <w:t>Copia:</w:t>
            </w:r>
          </w:p>
          <w:p w14:paraId="6CBF3323" w14:textId="1E8E20FD" w:rsidR="00396FE5" w:rsidRDefault="001350B9" w:rsidP="00396FE5">
            <w:pPr>
              <w:tabs>
                <w:tab w:val="clear" w:pos="794"/>
                <w:tab w:val="clear" w:pos="1191"/>
                <w:tab w:val="clear" w:pos="1588"/>
                <w:tab w:val="clear" w:pos="1985"/>
                <w:tab w:val="left" w:pos="284"/>
              </w:tabs>
              <w:spacing w:before="0"/>
              <w:ind w:left="284" w:hanging="227"/>
            </w:pPr>
            <w:r>
              <w:t>-</w:t>
            </w:r>
            <w:r>
              <w:tab/>
              <w:t>A</w:t>
            </w:r>
            <w:r w:rsidR="00396FE5">
              <w:t xml:space="preserve"> </w:t>
            </w:r>
            <w:r>
              <w:t>l</w:t>
            </w:r>
            <w:r w:rsidR="00396FE5">
              <w:t>os</w:t>
            </w:r>
            <w:r>
              <w:t xml:space="preserve"> Presidente</w:t>
            </w:r>
            <w:r w:rsidR="00396FE5">
              <w:t>s</w:t>
            </w:r>
            <w:r>
              <w:t xml:space="preserve"> y a los Vicepresidentes de la</w:t>
            </w:r>
            <w:r w:rsidR="00396FE5">
              <w:t xml:space="preserve">s </w:t>
            </w:r>
            <w:r>
              <w:t>Comisi</w:t>
            </w:r>
            <w:r w:rsidR="00396FE5">
              <w:t>ones</w:t>
            </w:r>
            <w:r>
              <w:t xml:space="preserve"> de Estudio</w:t>
            </w:r>
            <w:r w:rsidR="00396FE5">
              <w:t xml:space="preserve"> del UIT-T</w:t>
            </w:r>
            <w:r>
              <w:t>;</w:t>
            </w:r>
          </w:p>
          <w:p w14:paraId="58148C47" w14:textId="0DD501A8" w:rsidR="00396FE5" w:rsidRDefault="001350B9" w:rsidP="00396FE5">
            <w:pPr>
              <w:tabs>
                <w:tab w:val="clear" w:pos="794"/>
                <w:tab w:val="clear" w:pos="1191"/>
                <w:tab w:val="clear" w:pos="1588"/>
                <w:tab w:val="clear" w:pos="1985"/>
                <w:tab w:val="left" w:pos="284"/>
              </w:tabs>
              <w:spacing w:before="0"/>
              <w:ind w:left="284" w:hanging="227"/>
            </w:pPr>
            <w:r>
              <w:t>-</w:t>
            </w:r>
            <w:r>
              <w:tab/>
              <w:t>Al Director de la Oficina de Desarrollo de las Telecomunicaciones;</w:t>
            </w:r>
          </w:p>
          <w:p w14:paraId="45F092B6" w14:textId="3B3E1767" w:rsidR="001350B9" w:rsidRDefault="001350B9" w:rsidP="00396FE5">
            <w:pPr>
              <w:tabs>
                <w:tab w:val="clear" w:pos="794"/>
                <w:tab w:val="clear" w:pos="1191"/>
                <w:tab w:val="clear" w:pos="1588"/>
                <w:tab w:val="clear" w:pos="1985"/>
                <w:tab w:val="left" w:pos="284"/>
              </w:tabs>
              <w:spacing w:before="0"/>
              <w:ind w:left="284" w:hanging="227"/>
            </w:pPr>
            <w:r>
              <w:t>-</w:t>
            </w:r>
            <w:r>
              <w:tab/>
              <w:t>Al Director de la Oficina de Radiocomunicaciones</w:t>
            </w:r>
          </w:p>
        </w:tc>
      </w:tr>
      <w:tr w:rsidR="00396FE5" w14:paraId="550A5015" w14:textId="77777777" w:rsidTr="00303D62">
        <w:trPr>
          <w:cantSplit/>
          <w:trHeight w:val="340"/>
        </w:trPr>
        <w:tc>
          <w:tcPr>
            <w:tcW w:w="993" w:type="dxa"/>
          </w:tcPr>
          <w:p w14:paraId="4308561B" w14:textId="30C5800A" w:rsidR="00396FE5" w:rsidRPr="001350B9" w:rsidRDefault="00396FE5" w:rsidP="00303D62">
            <w:pPr>
              <w:tabs>
                <w:tab w:val="left" w:pos="4111"/>
              </w:tabs>
              <w:spacing w:before="10"/>
              <w:ind w:left="57"/>
              <w:rPr>
                <w:sz w:val="22"/>
              </w:rPr>
            </w:pPr>
            <w:r>
              <w:rPr>
                <w:sz w:val="22"/>
              </w:rPr>
              <w:t>Contacto:</w:t>
            </w:r>
          </w:p>
        </w:tc>
        <w:tc>
          <w:tcPr>
            <w:tcW w:w="3884" w:type="dxa"/>
            <w:gridSpan w:val="2"/>
          </w:tcPr>
          <w:p w14:paraId="31DC1E41" w14:textId="2CCF3376" w:rsidR="00396FE5" w:rsidRDefault="00396FE5" w:rsidP="00303D62">
            <w:pPr>
              <w:tabs>
                <w:tab w:val="left" w:pos="4111"/>
              </w:tabs>
              <w:spacing w:before="0"/>
              <w:ind w:left="57"/>
              <w:rPr>
                <w:b/>
              </w:rPr>
            </w:pPr>
            <w:r>
              <w:rPr>
                <w:b/>
              </w:rPr>
              <w:t>Cristina Bueti</w:t>
            </w:r>
          </w:p>
        </w:tc>
        <w:tc>
          <w:tcPr>
            <w:tcW w:w="5329" w:type="dxa"/>
            <w:vMerge/>
          </w:tcPr>
          <w:p w14:paraId="64817249" w14:textId="77777777" w:rsidR="00396FE5" w:rsidRDefault="00396FE5" w:rsidP="00303D62">
            <w:pPr>
              <w:tabs>
                <w:tab w:val="clear" w:pos="794"/>
                <w:tab w:val="clear" w:pos="1191"/>
                <w:tab w:val="clear" w:pos="1588"/>
                <w:tab w:val="clear" w:pos="1985"/>
                <w:tab w:val="left" w:pos="284"/>
              </w:tabs>
              <w:spacing w:before="0"/>
              <w:ind w:left="284" w:hanging="227"/>
            </w:pPr>
          </w:p>
        </w:tc>
      </w:tr>
      <w:tr w:rsidR="001350B9" w14:paraId="05C2B18C" w14:textId="77777777" w:rsidTr="00303D62">
        <w:trPr>
          <w:cantSplit/>
        </w:trPr>
        <w:tc>
          <w:tcPr>
            <w:tcW w:w="993" w:type="dxa"/>
          </w:tcPr>
          <w:p w14:paraId="62C619C2" w14:textId="77777777" w:rsidR="001350B9" w:rsidRPr="001350B9" w:rsidRDefault="001350B9" w:rsidP="00303D62">
            <w:pPr>
              <w:tabs>
                <w:tab w:val="left" w:pos="4111"/>
              </w:tabs>
              <w:spacing w:before="10"/>
              <w:ind w:left="57"/>
              <w:rPr>
                <w:sz w:val="22"/>
              </w:rPr>
            </w:pPr>
            <w:r w:rsidRPr="001350B9">
              <w:rPr>
                <w:sz w:val="22"/>
              </w:rPr>
              <w:t>Tel.:</w:t>
            </w:r>
          </w:p>
        </w:tc>
        <w:tc>
          <w:tcPr>
            <w:tcW w:w="3884" w:type="dxa"/>
            <w:gridSpan w:val="2"/>
          </w:tcPr>
          <w:p w14:paraId="64D71266" w14:textId="655B00DC" w:rsidR="001350B9" w:rsidRDefault="001350B9" w:rsidP="00303D62">
            <w:pPr>
              <w:tabs>
                <w:tab w:val="left" w:pos="4111"/>
              </w:tabs>
              <w:spacing w:before="0"/>
              <w:ind w:left="57"/>
              <w:rPr>
                <w:rStyle w:val="Hyperlink"/>
              </w:rPr>
            </w:pPr>
            <w:r>
              <w:t>+41 22 730</w:t>
            </w:r>
            <w:r w:rsidR="00396FE5">
              <w:t xml:space="preserve"> 6301</w:t>
            </w:r>
          </w:p>
        </w:tc>
        <w:tc>
          <w:tcPr>
            <w:tcW w:w="5329" w:type="dxa"/>
            <w:vMerge/>
          </w:tcPr>
          <w:p w14:paraId="29E9B49D" w14:textId="77777777" w:rsidR="001350B9" w:rsidRDefault="001350B9" w:rsidP="00303D62">
            <w:pPr>
              <w:tabs>
                <w:tab w:val="left" w:pos="226"/>
                <w:tab w:val="left" w:pos="510"/>
              </w:tabs>
              <w:spacing w:before="0"/>
              <w:ind w:left="226" w:hanging="169"/>
              <w:rPr>
                <w:b/>
              </w:rPr>
            </w:pPr>
          </w:p>
        </w:tc>
      </w:tr>
      <w:tr w:rsidR="001350B9" w14:paraId="0F741C60" w14:textId="77777777" w:rsidTr="00303D62">
        <w:trPr>
          <w:cantSplit/>
        </w:trPr>
        <w:tc>
          <w:tcPr>
            <w:tcW w:w="993" w:type="dxa"/>
          </w:tcPr>
          <w:p w14:paraId="1921F86A" w14:textId="77777777" w:rsidR="001350B9" w:rsidRPr="001350B9" w:rsidRDefault="001350B9" w:rsidP="00303D62">
            <w:pPr>
              <w:tabs>
                <w:tab w:val="left" w:pos="4111"/>
              </w:tabs>
              <w:spacing w:before="10"/>
              <w:ind w:left="57"/>
              <w:rPr>
                <w:sz w:val="22"/>
              </w:rPr>
            </w:pPr>
            <w:r w:rsidRPr="001350B9">
              <w:rPr>
                <w:sz w:val="22"/>
              </w:rPr>
              <w:t>Fax:</w:t>
            </w:r>
          </w:p>
        </w:tc>
        <w:tc>
          <w:tcPr>
            <w:tcW w:w="3884" w:type="dxa"/>
            <w:gridSpan w:val="2"/>
          </w:tcPr>
          <w:p w14:paraId="4743C8F5" w14:textId="77777777" w:rsidR="001350B9" w:rsidRDefault="001350B9" w:rsidP="00303D62">
            <w:pPr>
              <w:tabs>
                <w:tab w:val="left" w:pos="4111"/>
              </w:tabs>
              <w:spacing w:before="0"/>
              <w:ind w:left="57"/>
              <w:rPr>
                <w:rStyle w:val="Hyperlink"/>
              </w:rPr>
            </w:pPr>
            <w:r>
              <w:t>+41 22 730 5853</w:t>
            </w:r>
          </w:p>
        </w:tc>
        <w:tc>
          <w:tcPr>
            <w:tcW w:w="5329" w:type="dxa"/>
            <w:vMerge/>
          </w:tcPr>
          <w:p w14:paraId="0E813FAA" w14:textId="77777777" w:rsidR="001350B9" w:rsidRDefault="001350B9" w:rsidP="00303D62">
            <w:pPr>
              <w:tabs>
                <w:tab w:val="left" w:pos="226"/>
                <w:tab w:val="left" w:pos="510"/>
              </w:tabs>
              <w:spacing w:before="0"/>
              <w:ind w:left="226" w:hanging="169"/>
              <w:rPr>
                <w:b/>
              </w:rPr>
            </w:pPr>
          </w:p>
        </w:tc>
      </w:tr>
      <w:tr w:rsidR="001350B9" w14:paraId="67E8DD54" w14:textId="77777777" w:rsidTr="00303D62">
        <w:trPr>
          <w:cantSplit/>
        </w:trPr>
        <w:tc>
          <w:tcPr>
            <w:tcW w:w="993" w:type="dxa"/>
          </w:tcPr>
          <w:p w14:paraId="74714A84" w14:textId="77777777" w:rsidR="001350B9" w:rsidRPr="001350B9" w:rsidRDefault="001350B9" w:rsidP="00303D62">
            <w:pPr>
              <w:tabs>
                <w:tab w:val="left" w:pos="4111"/>
              </w:tabs>
              <w:spacing w:before="10"/>
              <w:ind w:left="57"/>
              <w:rPr>
                <w:sz w:val="22"/>
              </w:rPr>
            </w:pPr>
            <w:r w:rsidRPr="001350B9">
              <w:rPr>
                <w:sz w:val="22"/>
              </w:rPr>
              <w:t>Correo-e:</w:t>
            </w:r>
          </w:p>
        </w:tc>
        <w:tc>
          <w:tcPr>
            <w:tcW w:w="3884" w:type="dxa"/>
            <w:gridSpan w:val="2"/>
          </w:tcPr>
          <w:p w14:paraId="39449A45" w14:textId="0633744D" w:rsidR="001350B9" w:rsidRDefault="00396FE5" w:rsidP="00303D62">
            <w:pPr>
              <w:tabs>
                <w:tab w:val="left" w:pos="4111"/>
              </w:tabs>
              <w:spacing w:before="0"/>
              <w:ind w:left="57"/>
            </w:pPr>
            <w:hyperlink r:id="rId9" w:history="1">
              <w:r w:rsidRPr="00A84A01">
                <w:rPr>
                  <w:rStyle w:val="Hyperlink"/>
                </w:rPr>
                <w:t>virtualworlds@itu.int</w:t>
              </w:r>
            </w:hyperlink>
            <w:r w:rsidR="001350B9">
              <w:t xml:space="preserve"> </w:t>
            </w:r>
          </w:p>
        </w:tc>
        <w:tc>
          <w:tcPr>
            <w:tcW w:w="5329" w:type="dxa"/>
            <w:vMerge/>
          </w:tcPr>
          <w:p w14:paraId="17DF2DB3" w14:textId="77777777" w:rsidR="001350B9" w:rsidRDefault="001350B9" w:rsidP="00303D62">
            <w:pPr>
              <w:tabs>
                <w:tab w:val="clear" w:pos="794"/>
                <w:tab w:val="clear" w:pos="1191"/>
                <w:tab w:val="clear" w:pos="1588"/>
                <w:tab w:val="clear" w:pos="1985"/>
                <w:tab w:val="left" w:pos="226"/>
                <w:tab w:val="left" w:pos="510"/>
              </w:tabs>
              <w:spacing w:before="0"/>
              <w:ind w:left="226" w:hanging="169"/>
            </w:pPr>
          </w:p>
        </w:tc>
      </w:tr>
      <w:tr w:rsidR="007B6316" w14:paraId="7FD4E75C" w14:textId="77777777" w:rsidTr="00DA30ED">
        <w:trPr>
          <w:cantSplit/>
        </w:trPr>
        <w:tc>
          <w:tcPr>
            <w:tcW w:w="993" w:type="dxa"/>
          </w:tcPr>
          <w:p w14:paraId="2FC74851" w14:textId="77777777" w:rsidR="007B6316" w:rsidRPr="001350B9" w:rsidRDefault="007B6316" w:rsidP="00303D62">
            <w:pPr>
              <w:tabs>
                <w:tab w:val="left" w:pos="4111"/>
              </w:tabs>
              <w:spacing w:before="10"/>
              <w:ind w:left="57"/>
              <w:rPr>
                <w:sz w:val="22"/>
              </w:rPr>
            </w:pPr>
            <w:r w:rsidRPr="001350B9">
              <w:rPr>
                <w:sz w:val="22"/>
              </w:rPr>
              <w:t>Asunto:</w:t>
            </w:r>
          </w:p>
        </w:tc>
        <w:tc>
          <w:tcPr>
            <w:tcW w:w="9213" w:type="dxa"/>
            <w:gridSpan w:val="3"/>
          </w:tcPr>
          <w:p w14:paraId="0B2E0726" w14:textId="6D5887D8" w:rsidR="007B6316" w:rsidRDefault="00396FE5" w:rsidP="00303D62">
            <w:pPr>
              <w:tabs>
                <w:tab w:val="left" w:pos="4111"/>
              </w:tabs>
              <w:spacing w:before="0"/>
              <w:rPr>
                <w:b/>
              </w:rPr>
            </w:pPr>
            <w:r w:rsidRPr="00CF6BF8">
              <w:rPr>
                <w:rFonts w:cstheme="minorHAnsi"/>
                <w:b/>
                <w:bCs/>
                <w:sz w:val="22"/>
                <w:szCs w:val="22"/>
                <w:lang w:val="es-ES"/>
              </w:rPr>
              <w:t>3</w:t>
            </w:r>
            <w:r>
              <w:rPr>
                <w:rFonts w:cstheme="minorHAnsi"/>
                <w:b/>
                <w:bCs/>
                <w:sz w:val="22"/>
                <w:szCs w:val="22"/>
                <w:lang w:val="es-ES"/>
              </w:rPr>
              <w:t>.</w:t>
            </w:r>
            <w:r w:rsidRPr="00CF6BF8">
              <w:rPr>
                <w:rFonts w:cstheme="minorHAnsi"/>
                <w:b/>
                <w:bCs/>
                <w:sz w:val="22"/>
                <w:szCs w:val="22"/>
                <w:vertAlign w:val="superscript"/>
                <w:lang w:val="es-ES"/>
              </w:rPr>
              <w:t>er</w:t>
            </w:r>
            <w:r w:rsidRPr="00CF6BF8">
              <w:rPr>
                <w:rFonts w:cstheme="minorHAnsi"/>
                <w:b/>
                <w:bCs/>
                <w:sz w:val="22"/>
                <w:szCs w:val="22"/>
                <w:lang w:val="es-ES"/>
              </w:rPr>
              <w:t xml:space="preserve"> Día de los Mundos Virtuales de las Naciones Unidas: </w:t>
            </w:r>
            <w:r w:rsidRPr="00CF6BF8">
              <w:rPr>
                <w:rFonts w:cstheme="minorHAnsi"/>
                <w:b/>
                <w:bCs/>
                <w:i/>
                <w:iCs/>
                <w:sz w:val="22"/>
                <w:szCs w:val="22"/>
                <w:lang w:val="es-ES"/>
              </w:rPr>
              <w:t xml:space="preserve">IA, </w:t>
            </w:r>
            <w:r>
              <w:rPr>
                <w:rFonts w:cstheme="minorHAnsi"/>
                <w:b/>
                <w:bCs/>
                <w:i/>
                <w:iCs/>
                <w:sz w:val="22"/>
                <w:szCs w:val="22"/>
                <w:lang w:val="es-ES"/>
              </w:rPr>
              <w:t>inteligencia espacial y urbaverso</w:t>
            </w:r>
            <w:r w:rsidRPr="00CF6BF8">
              <w:rPr>
                <w:rFonts w:cstheme="minorHAnsi"/>
                <w:b/>
                <w:bCs/>
                <w:i/>
                <w:iCs/>
                <w:sz w:val="22"/>
                <w:szCs w:val="22"/>
                <w:lang w:val="es-ES"/>
              </w:rPr>
              <w:t xml:space="preserve">: </w:t>
            </w:r>
            <w:r w:rsidRPr="00CF6BF8">
              <w:rPr>
                <w:rFonts w:cstheme="minorHAnsi"/>
                <w:b/>
                <w:bCs/>
                <w:i/>
                <w:iCs/>
                <w:sz w:val="22"/>
                <w:szCs w:val="22"/>
                <w:lang w:val="es-ES"/>
              </w:rPr>
              <w:br/>
            </w:r>
            <w:r>
              <w:rPr>
                <w:rFonts w:cstheme="minorHAnsi"/>
                <w:b/>
                <w:bCs/>
                <w:i/>
                <w:iCs/>
                <w:sz w:val="22"/>
                <w:szCs w:val="22"/>
                <w:lang w:val="es-ES"/>
              </w:rPr>
              <w:t>configuración de futuros digitales fiables</w:t>
            </w:r>
            <w:r w:rsidRPr="00CF6BF8">
              <w:rPr>
                <w:rFonts w:cstheme="minorHAnsi"/>
                <w:b/>
                <w:bCs/>
                <w:sz w:val="22"/>
                <w:szCs w:val="22"/>
                <w:lang w:val="es-ES"/>
              </w:rPr>
              <w:t xml:space="preserve"> </w:t>
            </w:r>
            <w:r w:rsidRPr="00CF6BF8">
              <w:rPr>
                <w:rFonts w:cstheme="minorHAnsi"/>
                <w:b/>
                <w:bCs/>
                <w:sz w:val="22"/>
                <w:szCs w:val="22"/>
                <w:lang w:val="es-ES"/>
              </w:rPr>
              <w:br/>
              <w:t>(</w:t>
            </w:r>
            <w:r w:rsidRPr="00CF6BF8">
              <w:rPr>
                <w:rFonts w:cstheme="minorHAnsi"/>
                <w:b/>
                <w:bCs/>
                <w:sz w:val="22"/>
                <w:szCs w:val="22"/>
                <w:lang w:val="es-ES" w:eastAsia="zh-CN"/>
              </w:rPr>
              <w:t>G</w:t>
            </w:r>
            <w:r>
              <w:rPr>
                <w:rFonts w:cstheme="minorHAnsi"/>
                <w:b/>
                <w:bCs/>
                <w:sz w:val="22"/>
                <w:szCs w:val="22"/>
                <w:lang w:val="es-ES" w:eastAsia="zh-CN"/>
              </w:rPr>
              <w:t>inebra, Suiza,</w:t>
            </w:r>
            <w:r w:rsidRPr="00CF6BF8">
              <w:rPr>
                <w:rFonts w:cstheme="minorHAnsi"/>
                <w:b/>
                <w:bCs/>
                <w:sz w:val="22"/>
                <w:szCs w:val="22"/>
                <w:lang w:val="es-ES"/>
              </w:rPr>
              <w:t xml:space="preserve"> </w:t>
            </w:r>
            <w:r w:rsidRPr="00CF6BF8">
              <w:rPr>
                <w:rFonts w:cstheme="minorHAnsi"/>
                <w:b/>
                <w:bCs/>
                <w:sz w:val="22"/>
                <w:szCs w:val="22"/>
                <w:lang w:val="es-ES" w:eastAsia="zh-CN"/>
              </w:rPr>
              <w:t xml:space="preserve">11-12 </w:t>
            </w:r>
            <w:r>
              <w:rPr>
                <w:rFonts w:cstheme="minorHAnsi"/>
                <w:b/>
                <w:bCs/>
                <w:sz w:val="22"/>
                <w:szCs w:val="22"/>
                <w:lang w:val="es-ES" w:eastAsia="zh-CN"/>
              </w:rPr>
              <w:t>de mayo de</w:t>
            </w:r>
            <w:r w:rsidRPr="00CF6BF8">
              <w:rPr>
                <w:rFonts w:cstheme="minorHAnsi"/>
                <w:b/>
                <w:bCs/>
                <w:sz w:val="22"/>
                <w:szCs w:val="22"/>
                <w:lang w:val="es-ES" w:eastAsia="zh-CN"/>
              </w:rPr>
              <w:t xml:space="preserve"> 2026</w:t>
            </w:r>
            <w:r w:rsidRPr="00CF6BF8">
              <w:rPr>
                <w:rFonts w:cstheme="minorHAnsi"/>
                <w:b/>
                <w:bCs/>
                <w:sz w:val="22"/>
                <w:szCs w:val="22"/>
                <w:lang w:val="es-ES"/>
              </w:rPr>
              <w:t>)</w:t>
            </w:r>
          </w:p>
        </w:tc>
      </w:tr>
    </w:tbl>
    <w:p w14:paraId="25BCBB38" w14:textId="77777777" w:rsidR="00C34772" w:rsidRDefault="00C34772" w:rsidP="007B6316">
      <w:pPr>
        <w:spacing w:before="320"/>
      </w:pPr>
      <w:bookmarkStart w:id="1" w:name="StartTyping_S"/>
      <w:bookmarkStart w:id="2" w:name="suitetext"/>
      <w:bookmarkStart w:id="3" w:name="text"/>
      <w:bookmarkEnd w:id="1"/>
      <w:bookmarkEnd w:id="2"/>
      <w:bookmarkEnd w:id="3"/>
      <w:r>
        <w:t>Muy Señora mía/Muy Señor mío:</w:t>
      </w:r>
    </w:p>
    <w:p w14:paraId="5467247D" w14:textId="1684049A" w:rsidR="007B6316" w:rsidRPr="00396FE5" w:rsidRDefault="00396FE5" w:rsidP="007B6316">
      <w:pPr>
        <w:rPr>
          <w:szCs w:val="24"/>
        </w:rPr>
      </w:pPr>
      <w:r w:rsidRPr="00396FE5">
        <w:rPr>
          <w:rFonts w:cstheme="minorHAnsi"/>
          <w:szCs w:val="24"/>
          <w:lang w:val="es-ES"/>
        </w:rPr>
        <w:t>1</w:t>
      </w:r>
      <w:r w:rsidRPr="00396FE5">
        <w:rPr>
          <w:rFonts w:cstheme="minorHAnsi"/>
          <w:szCs w:val="24"/>
          <w:lang w:val="es-ES"/>
        </w:rPr>
        <w:tab/>
        <w:t>La Unión Internacional de Telecomunicaciones (UIT), en representación de la Organización de las Naciones Unidas para la Alimentación y la Agricultura (FAO), el Centro Internacional de Formación de la Organización Internacional del Trabajo (CIF), el Programa de las Naciones Unidas para el Desarrollo (PNUD), la Comisión Económica de las Naciones Unidas para África (CEPA), la Comisión Económica de las Naciones Unidas para Europa (CEPE), La Comisión Económica de las Naciones Unidas para América Latina y el Caribe (CEPAL), las Naciones Unidas Guatemala, el Programa de las Naciones Unidas para los Asentamientos Humanos (ONU-Hábitat), la Caja Común de Pensiones del Personal de las naciones Unidas (CCPPNU), el Centro internacional de Cálculos Electrónicos de las Naciones Unidas (CICE), la Red de Innovación de las Naciones Unidas, el Fondo de las Naciones Unidas para la Infancia (UNICEF),</w:t>
      </w:r>
      <w:r w:rsidRPr="00396FE5">
        <w:rPr>
          <w:rFonts w:cstheme="minorHAnsi"/>
          <w:szCs w:val="24"/>
          <w:lang w:val="es-ES" w:eastAsia="zh-CN"/>
        </w:rPr>
        <w:t xml:space="preserve"> ONU Turismo</w:t>
      </w:r>
      <w:r w:rsidRPr="00396FE5">
        <w:rPr>
          <w:rFonts w:cstheme="minorHAnsi"/>
          <w:szCs w:val="24"/>
          <w:lang w:val="es-ES"/>
        </w:rPr>
        <w:t>, el Instituto de Investigaciones de las Naciones Unidas para el Desarrollo Social (UNRISD)</w:t>
      </w:r>
      <w:r w:rsidRPr="00396FE5">
        <w:rPr>
          <w:rFonts w:cstheme="minorHAnsi"/>
          <w:szCs w:val="24"/>
          <w:lang w:val="es-ES" w:eastAsia="zh-CN"/>
        </w:rPr>
        <w:t>, la Universidad de las Naciones Unidas</w:t>
      </w:r>
      <w:r w:rsidRPr="00396FE5">
        <w:rPr>
          <w:rFonts w:cstheme="minorHAnsi"/>
          <w:szCs w:val="24"/>
          <w:lang w:val="es-ES"/>
        </w:rPr>
        <w:t xml:space="preserve"> (UNU), la Futures Lab Network de las Naciones Unidas, la Organización Mundial de la Propiedad Intelectual (OMPI), el Banco Mundial y la Organización Meteorológica Mundial (OMM), desea invitarle al </w:t>
      </w:r>
      <w:hyperlink r:id="rId10" w:history="1">
        <w:r w:rsidRPr="00396FE5">
          <w:rPr>
            <w:rStyle w:val="Hyperlink"/>
            <w:rFonts w:cstheme="minorHAnsi"/>
            <w:b/>
            <w:bCs/>
            <w:szCs w:val="24"/>
            <w:lang w:val="es-ES"/>
          </w:rPr>
          <w:t>3</w:t>
        </w:r>
        <w:r w:rsidR="007C29BA">
          <w:rPr>
            <w:rStyle w:val="Hyperlink"/>
            <w:rFonts w:cstheme="minorHAnsi"/>
            <w:b/>
            <w:bCs/>
            <w:szCs w:val="24"/>
            <w:lang w:val="es-ES"/>
          </w:rPr>
          <w:t>.</w:t>
        </w:r>
        <w:r w:rsidRPr="00396FE5">
          <w:rPr>
            <w:rStyle w:val="Hyperlink"/>
            <w:rFonts w:cstheme="minorHAnsi"/>
            <w:b/>
            <w:bCs/>
            <w:szCs w:val="24"/>
            <w:vertAlign w:val="superscript"/>
            <w:lang w:val="es-ES"/>
          </w:rPr>
          <w:t>er</w:t>
        </w:r>
        <w:r w:rsidRPr="00396FE5">
          <w:rPr>
            <w:rStyle w:val="Hyperlink"/>
            <w:rFonts w:cstheme="minorHAnsi"/>
            <w:b/>
            <w:bCs/>
            <w:szCs w:val="24"/>
            <w:lang w:val="es-ES"/>
          </w:rPr>
          <w:t xml:space="preserve"> Día de los Mundos Virtuales de las Naciones Unidas</w:t>
        </w:r>
      </w:hyperlink>
      <w:r w:rsidRPr="00396FE5">
        <w:rPr>
          <w:rFonts w:cstheme="minorHAnsi"/>
          <w:szCs w:val="24"/>
          <w:lang w:val="es-ES"/>
        </w:rPr>
        <w:t>, que se celebrará en Ginebra (Suiza), los días 11 y 12 de mayo de 2026 y será acogido por la UIT.</w:t>
      </w:r>
    </w:p>
    <w:p w14:paraId="2147D0C2" w14:textId="25C066AC" w:rsidR="00396FE5" w:rsidRPr="00396FE5" w:rsidRDefault="00396FE5" w:rsidP="007B6316">
      <w:pPr>
        <w:rPr>
          <w:szCs w:val="24"/>
        </w:rPr>
      </w:pPr>
      <w:r w:rsidRPr="00396FE5">
        <w:rPr>
          <w:rFonts w:cstheme="minorHAnsi"/>
          <w:szCs w:val="24"/>
          <w:lang w:val="es-ES"/>
        </w:rPr>
        <w:lastRenderedPageBreak/>
        <w:t>2</w:t>
      </w:r>
      <w:r w:rsidRPr="00396FE5">
        <w:rPr>
          <w:rFonts w:cstheme="minorHAnsi"/>
          <w:szCs w:val="24"/>
          <w:lang w:val="es-ES"/>
        </w:rPr>
        <w:tab/>
        <w:t>El 3.</w:t>
      </w:r>
      <w:r w:rsidRPr="00396FE5">
        <w:rPr>
          <w:rFonts w:cstheme="minorHAnsi"/>
          <w:szCs w:val="24"/>
          <w:vertAlign w:val="superscript"/>
          <w:lang w:val="es-ES"/>
        </w:rPr>
        <w:t>er</w:t>
      </w:r>
      <w:r w:rsidRPr="00396FE5">
        <w:rPr>
          <w:rFonts w:cstheme="minorHAnsi"/>
          <w:szCs w:val="24"/>
          <w:lang w:val="es-ES"/>
        </w:rPr>
        <w:t xml:space="preserve"> Día de los Mundos Virtuales de las Naciones Unidas ofrece una plataforma mundial de las Naciones Unidas única donde los responsables políticos, líderes urbanos y entidades industriales y académicas pueden definir cómo los mundos virtuales con IA, la inteligencia espacial y el urbaverso pueden facilitar la transformación digital antropocéntrica y fiable. Este evento reúne a gobiernos, ciudades, organismos de las Naciones Unidas, expertos industriales y en normalización para vincular las prioridades políticas con implementaciones prácticas, asociaciones y normas internacionales a fin de transformar los compromisos mundiales en medidas tangibles a nivel nacional y local.</w:t>
      </w:r>
    </w:p>
    <w:p w14:paraId="07738AEE" w14:textId="527440C7" w:rsidR="00396FE5" w:rsidRPr="00396FE5" w:rsidRDefault="00396FE5" w:rsidP="007B6316">
      <w:pPr>
        <w:rPr>
          <w:szCs w:val="24"/>
        </w:rPr>
      </w:pPr>
      <w:r w:rsidRPr="00396FE5">
        <w:rPr>
          <w:rFonts w:cstheme="minorHAnsi"/>
          <w:szCs w:val="24"/>
          <w:lang w:val="es-ES"/>
        </w:rPr>
        <w:t>3</w:t>
      </w:r>
      <w:r w:rsidRPr="00396FE5">
        <w:rPr>
          <w:rFonts w:cstheme="minorHAnsi"/>
          <w:szCs w:val="24"/>
          <w:lang w:val="es-ES"/>
        </w:rPr>
        <w:tab/>
        <w:t>Como parte del evento se celebrará una Mesa redonda de Embajadores en la que se examinará cómo traducir los compromisos mundiales comunes del Pacto Digital Global en acciones reales en la era de la IA, la inteligencia espacial y el urbaverso.</w:t>
      </w:r>
    </w:p>
    <w:p w14:paraId="470A21C6" w14:textId="618315E6" w:rsidR="00396FE5" w:rsidRPr="00396FE5" w:rsidRDefault="00396FE5" w:rsidP="007B6316">
      <w:pPr>
        <w:rPr>
          <w:szCs w:val="24"/>
        </w:rPr>
      </w:pPr>
      <w:r w:rsidRPr="00396FE5">
        <w:rPr>
          <w:rFonts w:cstheme="minorHAnsi"/>
          <w:szCs w:val="24"/>
          <w:lang w:val="es-ES"/>
        </w:rPr>
        <w:t>4</w:t>
      </w:r>
      <w:r w:rsidRPr="00396FE5">
        <w:rPr>
          <w:rFonts w:cstheme="minorHAnsi"/>
          <w:szCs w:val="24"/>
          <w:lang w:val="es-ES"/>
        </w:rPr>
        <w:tab/>
        <w:t>El Día de los Mundos Virtuales de las Naciones Unidas se celebrará coincidiendo con</w:t>
      </w:r>
      <w:r w:rsidRPr="00396FE5">
        <w:rPr>
          <w:rFonts w:cstheme="minorHAnsi"/>
          <w:szCs w:val="24"/>
          <w:lang w:val="es-ES" w:eastAsia="zh-CN"/>
        </w:rPr>
        <w:t>:</w:t>
      </w:r>
    </w:p>
    <w:p w14:paraId="276CAB1B" w14:textId="5208D0A7" w:rsidR="00396FE5" w:rsidRPr="00396FE5" w:rsidRDefault="00396FE5" w:rsidP="007C29BA">
      <w:pPr>
        <w:pStyle w:val="enumlev1"/>
      </w:pPr>
      <w:r w:rsidRPr="00396FE5">
        <w:t>•</w:t>
      </w:r>
      <w:r w:rsidRPr="00396FE5">
        <w:tab/>
      </w:r>
      <w:r w:rsidRPr="00396FE5">
        <w:rPr>
          <w:rFonts w:cstheme="minorHAnsi"/>
          <w:lang w:val="es-ES" w:eastAsia="zh-CN"/>
        </w:rPr>
        <w:t xml:space="preserve">la </w:t>
      </w:r>
      <w:hyperlink r:id="rId11" w:history="1">
        <w:r w:rsidRPr="00396FE5">
          <w:rPr>
            <w:rStyle w:val="Hyperlink"/>
            <w:rFonts w:cstheme="minorHAnsi"/>
            <w:szCs w:val="24"/>
            <w:lang w:val="es-ES" w:eastAsia="zh-CN"/>
          </w:rPr>
          <w:t>2.ª Asamblea Citiverso (12 de mayo de 2026)</w:t>
        </w:r>
      </w:hyperlink>
      <w:r w:rsidRPr="00396FE5">
        <w:rPr>
          <w:rFonts w:cstheme="minorHAnsi"/>
          <w:lang w:val="es-ES" w:eastAsia="zh-CN"/>
        </w:rPr>
        <w:t xml:space="preserve"> y</w:t>
      </w:r>
    </w:p>
    <w:p w14:paraId="32D008E5" w14:textId="41C2DD19" w:rsidR="00396FE5" w:rsidRPr="00396FE5" w:rsidRDefault="00396FE5" w:rsidP="007C29BA">
      <w:pPr>
        <w:pStyle w:val="enumlev1"/>
      </w:pPr>
      <w:r w:rsidRPr="00396FE5">
        <w:t>•</w:t>
      </w:r>
      <w:r w:rsidRPr="00396FE5">
        <w:tab/>
      </w:r>
      <w:r w:rsidRPr="00396FE5">
        <w:rPr>
          <w:rFonts w:cstheme="minorHAnsi"/>
          <w:lang w:val="es-ES" w:eastAsia="zh-CN"/>
        </w:rPr>
        <w:t xml:space="preserve">la </w:t>
      </w:r>
      <w:hyperlink r:id="rId12" w:history="1">
        <w:r w:rsidRPr="00396FE5">
          <w:rPr>
            <w:rStyle w:val="Hyperlink"/>
            <w:rFonts w:cstheme="minorHAnsi"/>
            <w:szCs w:val="24"/>
            <w:lang w:val="es-ES" w:eastAsia="zh-CN"/>
          </w:rPr>
          <w:t xml:space="preserve">reunión de la Comisión de Estudio 20 del UIT-T, </w:t>
        </w:r>
        <w:r w:rsidRPr="00396FE5">
          <w:rPr>
            <w:rStyle w:val="Hyperlink"/>
            <w:rFonts w:cstheme="minorHAnsi"/>
            <w:i/>
            <w:iCs/>
            <w:szCs w:val="24"/>
            <w:lang w:val="es-ES" w:eastAsia="zh-CN"/>
          </w:rPr>
          <w:t>Internet de las cosas, gemelos digitales y ciudades y comunidades inteligentes y sostenibles</w:t>
        </w:r>
        <w:r w:rsidRPr="00396FE5">
          <w:rPr>
            <w:rStyle w:val="Hyperlink"/>
            <w:rFonts w:cstheme="minorHAnsi"/>
            <w:szCs w:val="24"/>
            <w:lang w:val="es-ES" w:eastAsia="zh-CN"/>
          </w:rPr>
          <w:t xml:space="preserve"> (12–21 de mayo de 2026)</w:t>
        </w:r>
      </w:hyperlink>
      <w:r w:rsidRPr="00396FE5">
        <w:rPr>
          <w:rFonts w:cstheme="minorHAnsi"/>
          <w:lang w:val="es-ES" w:eastAsia="zh-CN"/>
        </w:rPr>
        <w:t>.</w:t>
      </w:r>
    </w:p>
    <w:p w14:paraId="6EC56C18" w14:textId="3C344AD0" w:rsidR="00396FE5" w:rsidRPr="00396FE5" w:rsidRDefault="00396FE5" w:rsidP="007B6316">
      <w:pPr>
        <w:rPr>
          <w:szCs w:val="24"/>
        </w:rPr>
      </w:pPr>
      <w:r w:rsidRPr="00396FE5">
        <w:rPr>
          <w:rFonts w:cstheme="minorHAnsi"/>
          <w:szCs w:val="24"/>
          <w:lang w:val="es-ES" w:eastAsia="zh-CN"/>
        </w:rPr>
        <w:t>5</w:t>
      </w:r>
      <w:r w:rsidRPr="00396FE5">
        <w:rPr>
          <w:rFonts w:cstheme="minorHAnsi"/>
          <w:szCs w:val="24"/>
          <w:lang w:val="es-ES"/>
        </w:rPr>
        <w:tab/>
        <w:t>En el Día de los Mundos Virtuales de las Naciones Unidas podrán participar, de forma gratuita, expertos y organizaciones de todos los sectores y disciplinas pertinentes.</w:t>
      </w:r>
    </w:p>
    <w:p w14:paraId="313259C3" w14:textId="7EA993FA" w:rsidR="00396FE5" w:rsidRPr="00396FE5" w:rsidRDefault="00396FE5" w:rsidP="007B6316">
      <w:pPr>
        <w:rPr>
          <w:szCs w:val="24"/>
        </w:rPr>
      </w:pPr>
      <w:r w:rsidRPr="00396FE5">
        <w:rPr>
          <w:rFonts w:cstheme="minorHAnsi"/>
          <w:szCs w:val="24"/>
          <w:lang w:val="es-ES" w:eastAsia="zh-CN"/>
        </w:rPr>
        <w:t>6</w:t>
      </w:r>
      <w:r w:rsidRPr="00396FE5">
        <w:rPr>
          <w:rFonts w:cstheme="minorHAnsi"/>
          <w:szCs w:val="24"/>
          <w:lang w:val="es-ES"/>
        </w:rPr>
        <w:tab/>
        <w:t xml:space="preserve">Para que la UIT pueda tomar las disposiciones necesarias, se invita a los participantes a inscribirse en línea a través de la </w:t>
      </w:r>
      <w:hyperlink r:id="rId13" w:history="1">
        <w:r w:rsidRPr="00396FE5">
          <w:rPr>
            <w:rStyle w:val="Hyperlink"/>
            <w:rFonts w:cstheme="minorHAnsi"/>
            <w:szCs w:val="24"/>
            <w:lang w:val="es-ES"/>
          </w:rPr>
          <w:t>página principal del Día de los Mundos Virtuales de las Naciones Unidas</w:t>
        </w:r>
      </w:hyperlink>
      <w:r w:rsidRPr="00396FE5">
        <w:rPr>
          <w:rFonts w:cstheme="minorHAnsi"/>
          <w:szCs w:val="24"/>
          <w:lang w:val="es-ES"/>
        </w:rPr>
        <w:t xml:space="preserve"> lo antes posible. El número de plazas disponibles es limitado y las inscripciones se tramitarán en el orden en que se reciban. Es necesario inscribirse para participar presencialmente o a distancia; la preinscripción se realiza exclusivamente en línea.</w:t>
      </w:r>
    </w:p>
    <w:p w14:paraId="6B277214" w14:textId="2C756E74" w:rsidR="00396FE5" w:rsidRPr="00396FE5" w:rsidRDefault="00396FE5" w:rsidP="007B6316">
      <w:pPr>
        <w:rPr>
          <w:szCs w:val="24"/>
        </w:rPr>
      </w:pPr>
      <w:r w:rsidRPr="00396FE5">
        <w:rPr>
          <w:rFonts w:cstheme="minorHAnsi"/>
          <w:szCs w:val="24"/>
          <w:lang w:val="es-ES" w:eastAsia="zh-CN"/>
        </w:rPr>
        <w:t>7</w:t>
      </w:r>
      <w:r w:rsidRPr="00396FE5">
        <w:rPr>
          <w:rFonts w:cstheme="minorHAnsi"/>
          <w:szCs w:val="24"/>
          <w:lang w:val="es-ES"/>
        </w:rPr>
        <w:tab/>
        <w:t xml:space="preserve">Le recuerdo que los ciudadanos procedentes de algunos países necesitan obtener un visado para poder entrar y permanecer cierto tiempo en Suiza. </w:t>
      </w:r>
      <w:r w:rsidRPr="00396FE5">
        <w:rPr>
          <w:rFonts w:cstheme="minorHAnsi"/>
          <w:b/>
          <w:bCs/>
          <w:szCs w:val="24"/>
          <w:lang w:val="es-ES"/>
        </w:rPr>
        <w:t xml:space="preserve">El visado debe solicitarse al menos cuatro (4) semanas antes de la fecha de inicio del taller </w:t>
      </w:r>
      <w:r w:rsidRPr="00396FE5">
        <w:rPr>
          <w:rFonts w:cstheme="minorHAnsi"/>
          <w:szCs w:val="24"/>
          <w:lang w:val="es-ES"/>
        </w:rPr>
        <w:t>y obtenerse en la oficina (embajada o consulado) que representa a Suiza en su país o, en su defecto, en la Oficina más próxima al país desde el que se viaje.</w:t>
      </w:r>
    </w:p>
    <w:p w14:paraId="1DDCBE80" w14:textId="0325CC2B" w:rsidR="00396FE5" w:rsidRPr="00396FE5" w:rsidRDefault="00396FE5" w:rsidP="007B6316">
      <w:pPr>
        <w:rPr>
          <w:szCs w:val="24"/>
        </w:rPr>
      </w:pPr>
      <w:r w:rsidRPr="00396FE5">
        <w:rPr>
          <w:rFonts w:cstheme="minorHAnsi"/>
          <w:szCs w:val="24"/>
          <w:lang w:val="es-ES"/>
        </w:rPr>
        <w:t>8</w:t>
      </w:r>
      <w:r w:rsidRPr="00396FE5">
        <w:rPr>
          <w:rFonts w:cstheme="minorHAnsi"/>
          <w:szCs w:val="24"/>
          <w:lang w:val="es-ES"/>
        </w:rPr>
        <w:tab/>
      </w:r>
      <w:r w:rsidRPr="00396FE5">
        <w:rPr>
          <w:rFonts w:cstheme="minorHAnsi"/>
          <w:szCs w:val="24"/>
          <w:lang w:val="es-ES"/>
        </w:rPr>
        <w:tab/>
        <w:t xml:space="preserve">Podrá encontrar más datos y documentación, incluso sobre la inscripción y el programa, en la </w:t>
      </w:r>
      <w:hyperlink r:id="rId14" w:history="1">
        <w:r w:rsidRPr="00396FE5">
          <w:rPr>
            <w:rStyle w:val="Hyperlink"/>
            <w:rFonts w:cstheme="minorHAnsi"/>
            <w:szCs w:val="24"/>
            <w:lang w:val="es-ES"/>
          </w:rPr>
          <w:t>página principal del Día de los Mundos Virtuales de las Naciones Unidas</w:t>
        </w:r>
      </w:hyperlink>
      <w:r w:rsidRPr="00396FE5">
        <w:rPr>
          <w:rFonts w:cstheme="minorHAnsi"/>
          <w:szCs w:val="24"/>
          <w:lang w:val="es-ES"/>
        </w:rPr>
        <w:t>.</w:t>
      </w:r>
    </w:p>
    <w:p w14:paraId="5F4E01C6" w14:textId="02FA85D1" w:rsidR="00396FE5" w:rsidRDefault="00396FE5" w:rsidP="007B6316">
      <w:r w:rsidRPr="00396FE5">
        <w:rPr>
          <w:rFonts w:cstheme="minorHAnsi"/>
          <w:szCs w:val="24"/>
          <w:lang w:val="es-ES"/>
        </w:rPr>
        <w:t>Le deseo una reunión agradable y productiva.</w:t>
      </w:r>
    </w:p>
    <w:tbl>
      <w:tblPr>
        <w:tblStyle w:val="TableGrid"/>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725"/>
      </w:tblGrid>
      <w:tr w:rsidR="00396FE5" w14:paraId="78192070" w14:textId="77777777" w:rsidTr="00396FE5">
        <w:tc>
          <w:tcPr>
            <w:tcW w:w="7054" w:type="dxa"/>
          </w:tcPr>
          <w:p w14:paraId="5F61E39E" w14:textId="77777777" w:rsidR="00396FE5" w:rsidRPr="00081FE5" w:rsidRDefault="00396FE5" w:rsidP="00396FE5">
            <w:r w:rsidRPr="00081FE5">
              <w:t>Atentamente,</w:t>
            </w:r>
          </w:p>
          <w:p w14:paraId="49660462" w14:textId="77777777" w:rsidR="00396FE5" w:rsidRPr="00081FE5" w:rsidRDefault="00396FE5" w:rsidP="00396FE5">
            <w:pPr>
              <w:spacing w:before="480" w:line="480" w:lineRule="auto"/>
              <w:rPr>
                <w:sz w:val="28"/>
                <w:szCs w:val="22"/>
              </w:rPr>
            </w:pPr>
            <w:r w:rsidRPr="00081FE5">
              <w:rPr>
                <w:i/>
                <w:iCs/>
                <w:szCs w:val="24"/>
              </w:rPr>
              <w:t>(firmado)</w:t>
            </w:r>
          </w:p>
          <w:p w14:paraId="4AE58A28" w14:textId="69C2F13A" w:rsidR="00396FE5" w:rsidRDefault="00396FE5" w:rsidP="00396FE5">
            <w:r w:rsidRPr="001350B9">
              <w:rPr>
                <w:rFonts w:cstheme="minorHAnsi"/>
                <w:szCs w:val="22"/>
                <w:lang w:val="es-ES"/>
              </w:rPr>
              <w:t>Seizo Onoe</w:t>
            </w:r>
            <w:r w:rsidRPr="00081FE5">
              <w:br/>
              <w:t xml:space="preserve">Director de la Oficina de </w:t>
            </w:r>
            <w:r w:rsidRPr="00081FE5">
              <w:br/>
              <w:t>Normalización de las Telecomunicaciones</w:t>
            </w:r>
          </w:p>
        </w:tc>
        <w:tc>
          <w:tcPr>
            <w:tcW w:w="2725" w:type="dxa"/>
            <w:textDirection w:val="btLr"/>
          </w:tcPr>
          <w:p w14:paraId="3CBA8EF3" w14:textId="77777777" w:rsidR="00396FE5" w:rsidRPr="00007F91" w:rsidRDefault="00396FE5" w:rsidP="00396FE5">
            <w:pPr>
              <w:spacing w:before="0" w:after="120"/>
              <w:ind w:left="113" w:right="113"/>
              <w:jc w:val="center"/>
              <w:rPr>
                <w:rFonts w:cstheme="minorHAnsi"/>
                <w:sz w:val="22"/>
                <w:szCs w:val="22"/>
              </w:rPr>
            </w:pPr>
            <w:r>
              <w:rPr>
                <w:noProof/>
              </w:rPr>
              <w:drawing>
                <wp:inline distT="0" distB="0" distL="0" distR="0" wp14:anchorId="265BCE36" wp14:editId="48404B4C">
                  <wp:extent cx="1240325" cy="1240325"/>
                  <wp:effectExtent l="0" t="0" r="0" b="0"/>
                  <wp:docPr id="1418310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3483" cy="1253483"/>
                          </a:xfrm>
                          <a:prstGeom prst="rect">
                            <a:avLst/>
                          </a:prstGeom>
                          <a:noFill/>
                          <a:ln>
                            <a:noFill/>
                          </a:ln>
                        </pic:spPr>
                      </pic:pic>
                    </a:graphicData>
                  </a:graphic>
                </wp:inline>
              </w:drawing>
            </w:r>
            <w:r w:rsidRPr="00007F91">
              <w:rPr>
                <w:rFonts w:cstheme="minorHAnsi"/>
                <w:sz w:val="22"/>
                <w:szCs w:val="22"/>
              </w:rPr>
              <w:t xml:space="preserve"> </w:t>
            </w:r>
          </w:p>
          <w:p w14:paraId="31AB2928" w14:textId="5C0AD35F" w:rsidR="00396FE5" w:rsidRDefault="00396FE5" w:rsidP="00396FE5">
            <w:pPr>
              <w:jc w:val="center"/>
            </w:pPr>
            <w:r w:rsidRPr="009358C3">
              <w:rPr>
                <w:rFonts w:cstheme="minorHAnsi"/>
                <w:sz w:val="18"/>
                <w:szCs w:val="18"/>
              </w:rPr>
              <w:t>M</w:t>
            </w:r>
            <w:r>
              <w:rPr>
                <w:rFonts w:cstheme="minorHAnsi"/>
                <w:sz w:val="18"/>
                <w:szCs w:val="18"/>
              </w:rPr>
              <w:t>ás información</w:t>
            </w:r>
          </w:p>
        </w:tc>
      </w:tr>
    </w:tbl>
    <w:p w14:paraId="1CAAFC5F" w14:textId="77777777" w:rsidR="00401C20" w:rsidRPr="007B6316" w:rsidRDefault="00401C20" w:rsidP="00396FE5">
      <w:pPr>
        <w:ind w:right="92"/>
        <w:rPr>
          <w:lang w:val="es-ES"/>
        </w:rPr>
      </w:pPr>
    </w:p>
    <w:sectPr w:rsidR="00401C20" w:rsidRPr="007B6316" w:rsidSect="00B87E9E">
      <w:headerReference w:type="default" r:id="rId16"/>
      <w:footerReference w:type="first" r:id="rId17"/>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FBA2F" w14:textId="77777777" w:rsidR="00396FE5" w:rsidRDefault="00396FE5">
      <w:r>
        <w:separator/>
      </w:r>
    </w:p>
  </w:endnote>
  <w:endnote w:type="continuationSeparator" w:id="0">
    <w:p w14:paraId="7C2D7D5F" w14:textId="77777777" w:rsidR="00396FE5" w:rsidRDefault="0039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1251"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FA57B" w14:textId="77777777" w:rsidR="00396FE5" w:rsidRDefault="00396FE5">
      <w:r>
        <w:t>____________________</w:t>
      </w:r>
    </w:p>
  </w:footnote>
  <w:footnote w:type="continuationSeparator" w:id="0">
    <w:p w14:paraId="7839CF14" w14:textId="77777777" w:rsidR="00396FE5" w:rsidRDefault="00396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D70F" w14:textId="4954E36D"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58A5AE87" w14:textId="3986C5CC" w:rsidR="00396FE5" w:rsidRPr="00303D62" w:rsidRDefault="00396FE5">
    <w:pPr>
      <w:pStyle w:val="Header"/>
      <w:rPr>
        <w:sz w:val="18"/>
        <w:szCs w:val="18"/>
      </w:rPr>
    </w:pPr>
    <w:r>
      <w:rPr>
        <w:rStyle w:val="PageNumber"/>
        <w:sz w:val="18"/>
        <w:szCs w:val="18"/>
      </w:rPr>
      <w:t>Circular TSB 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0"/>
  </w:num>
  <w:num w:numId="2" w16cid:durableId="1345282128">
    <w:abstractNumId w:val="3"/>
  </w:num>
  <w:num w:numId="3" w16cid:durableId="1069613404">
    <w:abstractNumId w:val="2"/>
  </w:num>
  <w:num w:numId="4" w16cid:durableId="37493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E5"/>
    <w:rsid w:val="00002529"/>
    <w:rsid w:val="00085662"/>
    <w:rsid w:val="000C382F"/>
    <w:rsid w:val="001173CC"/>
    <w:rsid w:val="001350B9"/>
    <w:rsid w:val="0014464D"/>
    <w:rsid w:val="001A54CC"/>
    <w:rsid w:val="00257FB4"/>
    <w:rsid w:val="002E496E"/>
    <w:rsid w:val="00303D62"/>
    <w:rsid w:val="00304D1F"/>
    <w:rsid w:val="00335367"/>
    <w:rsid w:val="00370C2D"/>
    <w:rsid w:val="00396FE5"/>
    <w:rsid w:val="003D1E8D"/>
    <w:rsid w:val="003D673B"/>
    <w:rsid w:val="003F2855"/>
    <w:rsid w:val="00401C20"/>
    <w:rsid w:val="004A7957"/>
    <w:rsid w:val="004C4144"/>
    <w:rsid w:val="0055719E"/>
    <w:rsid w:val="006969B4"/>
    <w:rsid w:val="006E4F7B"/>
    <w:rsid w:val="00724FD9"/>
    <w:rsid w:val="00781E2A"/>
    <w:rsid w:val="007933A2"/>
    <w:rsid w:val="007B6316"/>
    <w:rsid w:val="007C29BA"/>
    <w:rsid w:val="00814503"/>
    <w:rsid w:val="008258C2"/>
    <w:rsid w:val="008505BD"/>
    <w:rsid w:val="00850C78"/>
    <w:rsid w:val="00876165"/>
    <w:rsid w:val="00884D12"/>
    <w:rsid w:val="008C17AD"/>
    <w:rsid w:val="008D02CD"/>
    <w:rsid w:val="0091370C"/>
    <w:rsid w:val="0095172A"/>
    <w:rsid w:val="009A0BA0"/>
    <w:rsid w:val="00A54E47"/>
    <w:rsid w:val="00AB6E3A"/>
    <w:rsid w:val="00AE7093"/>
    <w:rsid w:val="00B422BC"/>
    <w:rsid w:val="00B43F77"/>
    <w:rsid w:val="00B55A3E"/>
    <w:rsid w:val="00B87E9E"/>
    <w:rsid w:val="00B95F0A"/>
    <w:rsid w:val="00B96180"/>
    <w:rsid w:val="00C116FE"/>
    <w:rsid w:val="00C17AC0"/>
    <w:rsid w:val="00C34772"/>
    <w:rsid w:val="00C5465A"/>
    <w:rsid w:val="00D54642"/>
    <w:rsid w:val="00D834E7"/>
    <w:rsid w:val="00DD77C9"/>
    <w:rsid w:val="00DF3538"/>
    <w:rsid w:val="00E839B0"/>
    <w:rsid w:val="00E92C09"/>
    <w:rsid w:val="00F14380"/>
    <w:rsid w:val="00F6461F"/>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1AAB4"/>
  <w15:docId w15:val="{D0BADF27-2577-4F7B-A811-A497F2B6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超?级链,Style 58,超????,하이퍼링크2,超链接1"/>
    <w:basedOn w:val="DefaultParagraphFont"/>
    <w:uiPriority w:val="99"/>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396FE5"/>
    <w:rPr>
      <w:color w:val="605E5C"/>
      <w:shd w:val="clear" w:color="auto" w:fill="E1DFDD"/>
    </w:rPr>
  </w:style>
  <w:style w:type="table" w:styleId="TableGrid">
    <w:name w:val="Table Grid"/>
    <w:basedOn w:val="TableNormal"/>
    <w:rsid w:val="00396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un-virtual-worlds-day/202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T/studygroups/2025-2028/20/Pages/defaul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etaverse/virtual-worlds/2nd-citiverse-assembly/"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itu.int/un-virtual-worlds-day/20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irtualworlds@itu.int" TargetMode="External"/><Relationship Id="rId14" Type="http://schemas.openxmlformats.org/officeDocument/2006/relationships/hyperlink" Target="https://www.itu.int/un-virtual-worlds-day/2026/"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1</TotalTime>
  <Pages>2</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5643</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Maguire, Mairéad</cp:lastModifiedBy>
  <cp:revision>2</cp:revision>
  <cp:lastPrinted>2011-04-15T08:24:00Z</cp:lastPrinted>
  <dcterms:created xsi:type="dcterms:W3CDTF">2026-04-08T13:59:00Z</dcterms:created>
  <dcterms:modified xsi:type="dcterms:W3CDTF">2026-04-08T13:59:00Z</dcterms:modified>
</cp:coreProperties>
</file>