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279"/>
        <w:gridCol w:w="2915"/>
        <w:gridCol w:w="5535"/>
      </w:tblGrid>
      <w:tr w:rsidR="00EF6A23" w:rsidRPr="002753E9" w14:paraId="3FDAE1F3" w14:textId="77777777" w:rsidTr="003F083D">
        <w:trPr>
          <w:cantSplit/>
        </w:trPr>
        <w:tc>
          <w:tcPr>
            <w:tcW w:w="0" w:type="auto"/>
            <w:vAlign w:val="center"/>
          </w:tcPr>
          <w:p w14:paraId="3DE42CAA" w14:textId="77777777" w:rsidR="00EF6A23" w:rsidRPr="002753E9" w:rsidRDefault="00EF6A23" w:rsidP="00D14F31">
            <w:pPr>
              <w:tabs>
                <w:tab w:val="right" w:pos="8732"/>
              </w:tabs>
              <w:spacing w:before="0"/>
              <w:rPr>
                <w:b/>
                <w:bCs/>
                <w:iCs/>
                <w:color w:val="FFFFFF"/>
                <w:sz w:val="30"/>
                <w:szCs w:val="30"/>
              </w:rPr>
            </w:pPr>
            <w:r w:rsidRPr="002753E9">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2753E9" w:rsidRDefault="00EF6A23" w:rsidP="00EF6A23">
            <w:pPr>
              <w:spacing w:before="0"/>
              <w:rPr>
                <w:rFonts w:cs="Times New Roman Bold"/>
                <w:b/>
                <w:bCs/>
                <w:iCs/>
                <w:smallCaps/>
                <w:sz w:val="34"/>
                <w:szCs w:val="34"/>
              </w:rPr>
            </w:pPr>
            <w:r w:rsidRPr="002753E9">
              <w:rPr>
                <w:rFonts w:cs="Times New Roman Bold"/>
                <w:b/>
                <w:bCs/>
                <w:iCs/>
                <w:smallCaps/>
                <w:sz w:val="34"/>
                <w:szCs w:val="34"/>
              </w:rPr>
              <w:t>Union internationale des télécommunications</w:t>
            </w:r>
          </w:p>
          <w:p w14:paraId="089E66D0" w14:textId="77777777" w:rsidR="00EF6A23" w:rsidRPr="002753E9" w:rsidRDefault="00EF6A23" w:rsidP="00EF6A23">
            <w:pPr>
              <w:spacing w:before="0"/>
              <w:rPr>
                <w:color w:val="FFFFFF"/>
                <w:sz w:val="26"/>
                <w:szCs w:val="26"/>
              </w:rPr>
            </w:pPr>
            <w:r w:rsidRPr="002753E9">
              <w:rPr>
                <w:rFonts w:cs="Times New Roman Bold"/>
                <w:b/>
                <w:bCs/>
                <w:iCs/>
                <w:smallCaps/>
                <w:sz w:val="28"/>
                <w:szCs w:val="28"/>
              </w:rPr>
              <w:t>B</w:t>
            </w:r>
            <w:r w:rsidRPr="002753E9">
              <w:rPr>
                <w:b/>
                <w:bCs/>
                <w:iCs/>
                <w:smallCaps/>
                <w:sz w:val="28"/>
                <w:szCs w:val="28"/>
              </w:rPr>
              <w:t>ureau de la Normalisation des Télécommunications</w:t>
            </w:r>
          </w:p>
        </w:tc>
      </w:tr>
      <w:tr w:rsidR="00036F4F" w:rsidRPr="002753E9" w14:paraId="18B25741" w14:textId="77777777" w:rsidTr="00E7063C">
        <w:trPr>
          <w:cantSplit/>
        </w:trPr>
        <w:tc>
          <w:tcPr>
            <w:tcW w:w="0" w:type="auto"/>
          </w:tcPr>
          <w:p w14:paraId="4B1AFD72" w14:textId="77777777" w:rsidR="00036F4F" w:rsidRPr="002753E9" w:rsidRDefault="00036F4F" w:rsidP="00A5280F">
            <w:pPr>
              <w:tabs>
                <w:tab w:val="left" w:pos="4111"/>
              </w:tabs>
              <w:spacing w:before="10"/>
              <w:ind w:left="57"/>
            </w:pPr>
          </w:p>
        </w:tc>
        <w:tc>
          <w:tcPr>
            <w:tcW w:w="2265" w:type="dxa"/>
          </w:tcPr>
          <w:p w14:paraId="6579D3E8" w14:textId="77777777" w:rsidR="00036F4F" w:rsidRPr="002753E9" w:rsidRDefault="00036F4F" w:rsidP="00A5280F">
            <w:pPr>
              <w:tabs>
                <w:tab w:val="left" w:pos="4111"/>
              </w:tabs>
              <w:spacing w:before="10"/>
              <w:ind w:left="57"/>
              <w:rPr>
                <w:b/>
              </w:rPr>
            </w:pPr>
          </w:p>
        </w:tc>
        <w:tc>
          <w:tcPr>
            <w:tcW w:w="6185" w:type="dxa"/>
          </w:tcPr>
          <w:p w14:paraId="0DC34ECA" w14:textId="0A726FA8" w:rsidR="00036F4F" w:rsidRPr="002753E9" w:rsidRDefault="00036F4F" w:rsidP="00A5645A">
            <w:pPr>
              <w:tabs>
                <w:tab w:val="clear" w:pos="794"/>
                <w:tab w:val="clear" w:pos="1191"/>
                <w:tab w:val="clear" w:pos="1588"/>
                <w:tab w:val="clear" w:pos="1985"/>
                <w:tab w:val="left" w:pos="284"/>
              </w:tabs>
              <w:spacing w:after="120"/>
              <w:ind w:left="284" w:hanging="227"/>
            </w:pPr>
            <w:r w:rsidRPr="002753E9">
              <w:t>Genève, le</w:t>
            </w:r>
            <w:r w:rsidR="004419E9" w:rsidRPr="002753E9">
              <w:t xml:space="preserve"> </w:t>
            </w:r>
            <w:r w:rsidR="00597B8A" w:rsidRPr="002753E9">
              <w:t>5 mars 2026</w:t>
            </w:r>
          </w:p>
        </w:tc>
      </w:tr>
      <w:tr w:rsidR="00445B68" w:rsidRPr="002753E9" w14:paraId="16CDDFEF" w14:textId="77777777" w:rsidTr="00E7063C">
        <w:trPr>
          <w:cantSplit/>
          <w:trHeight w:val="340"/>
        </w:trPr>
        <w:tc>
          <w:tcPr>
            <w:tcW w:w="0" w:type="auto"/>
          </w:tcPr>
          <w:p w14:paraId="3EFF375D" w14:textId="58556577" w:rsidR="00445B68" w:rsidRPr="002753E9" w:rsidRDefault="00445B68" w:rsidP="00307FB4">
            <w:pPr>
              <w:tabs>
                <w:tab w:val="left" w:pos="4111"/>
              </w:tabs>
              <w:spacing w:before="10"/>
              <w:ind w:left="57"/>
              <w:rPr>
                <w:b/>
                <w:bCs/>
              </w:rPr>
            </w:pPr>
            <w:r w:rsidRPr="002753E9">
              <w:rPr>
                <w:b/>
                <w:bCs/>
              </w:rPr>
              <w:t>Réf.:</w:t>
            </w:r>
          </w:p>
        </w:tc>
        <w:tc>
          <w:tcPr>
            <w:tcW w:w="2265" w:type="dxa"/>
          </w:tcPr>
          <w:p w14:paraId="5FFBBC9B" w14:textId="6496A897" w:rsidR="00445B68" w:rsidRPr="002753E9" w:rsidRDefault="00445B68" w:rsidP="00A5280F">
            <w:pPr>
              <w:tabs>
                <w:tab w:val="left" w:pos="4111"/>
              </w:tabs>
              <w:spacing w:before="10"/>
              <w:ind w:left="57"/>
              <w:rPr>
                <w:b/>
              </w:rPr>
            </w:pPr>
            <w:r w:rsidRPr="002753E9">
              <w:rPr>
                <w:b/>
              </w:rPr>
              <w:t xml:space="preserve">Circulaire TSB </w:t>
            </w:r>
            <w:r w:rsidR="00597B8A" w:rsidRPr="002753E9">
              <w:rPr>
                <w:b/>
              </w:rPr>
              <w:t>121</w:t>
            </w:r>
          </w:p>
          <w:p w14:paraId="577F6DA2" w14:textId="62F6856A" w:rsidR="00445B68" w:rsidRPr="002753E9" w:rsidRDefault="00597B8A" w:rsidP="00307FB4">
            <w:pPr>
              <w:tabs>
                <w:tab w:val="left" w:pos="4111"/>
              </w:tabs>
              <w:spacing w:before="10"/>
              <w:ind w:left="57"/>
              <w:rPr>
                <w:b/>
                <w:bCs/>
              </w:rPr>
            </w:pPr>
            <w:r w:rsidRPr="002753E9">
              <w:rPr>
                <w:bCs/>
                <w:color w:val="000000"/>
                <w:szCs w:val="18"/>
              </w:rPr>
              <w:t>CB</w:t>
            </w:r>
          </w:p>
        </w:tc>
        <w:tc>
          <w:tcPr>
            <w:tcW w:w="6185" w:type="dxa"/>
            <w:vMerge w:val="restart"/>
          </w:tcPr>
          <w:p w14:paraId="60A4FD7F" w14:textId="77777777" w:rsidR="00597B8A" w:rsidRPr="002753E9" w:rsidRDefault="00307FB4" w:rsidP="00597B8A">
            <w:pPr>
              <w:tabs>
                <w:tab w:val="clear" w:pos="794"/>
                <w:tab w:val="left" w:pos="430"/>
                <w:tab w:val="left" w:pos="4111"/>
              </w:tabs>
              <w:spacing w:before="0"/>
              <w:ind w:left="430" w:hanging="425"/>
            </w:pPr>
            <w:bookmarkStart w:id="0" w:name="Addressee_F"/>
            <w:bookmarkEnd w:id="0"/>
            <w:r w:rsidRPr="002753E9">
              <w:t>–</w:t>
            </w:r>
            <w:r w:rsidRPr="002753E9">
              <w:tab/>
            </w:r>
            <w:r w:rsidR="00597B8A" w:rsidRPr="002753E9">
              <w:t>Aux Administrations des États Membres de l'Union;</w:t>
            </w:r>
          </w:p>
          <w:p w14:paraId="349DDD8F" w14:textId="245A521A" w:rsidR="00597B8A" w:rsidRPr="00597B8A" w:rsidRDefault="00597B8A" w:rsidP="00597B8A">
            <w:pPr>
              <w:tabs>
                <w:tab w:val="clear" w:pos="794"/>
                <w:tab w:val="left" w:pos="430"/>
                <w:tab w:val="left" w:pos="4111"/>
              </w:tabs>
              <w:spacing w:before="0"/>
              <w:ind w:left="430" w:hanging="425"/>
            </w:pPr>
            <w:r w:rsidRPr="002753E9">
              <w:t>–</w:t>
            </w:r>
            <w:r w:rsidRPr="002753E9">
              <w:tab/>
            </w:r>
            <w:r w:rsidRPr="00597B8A">
              <w:t>À l'État de Palestine</w:t>
            </w:r>
            <w:r w:rsidRPr="002753E9">
              <w:br/>
            </w:r>
            <w:r w:rsidRPr="00597B8A">
              <w:t>(Rés. 99 (Rév. Dubaï, 2018));</w:t>
            </w:r>
          </w:p>
          <w:p w14:paraId="27498A6C" w14:textId="79B7D39D" w:rsidR="00597B8A" w:rsidRPr="00597B8A" w:rsidRDefault="00597B8A" w:rsidP="00597B8A">
            <w:pPr>
              <w:tabs>
                <w:tab w:val="clear" w:pos="794"/>
                <w:tab w:val="left" w:pos="430"/>
                <w:tab w:val="left" w:pos="4111"/>
              </w:tabs>
              <w:spacing w:before="0"/>
              <w:ind w:left="430" w:hanging="425"/>
            </w:pPr>
            <w:r w:rsidRPr="002753E9">
              <w:t>–</w:t>
            </w:r>
            <w:r w:rsidRPr="002753E9">
              <w:tab/>
            </w:r>
            <w:r w:rsidRPr="00597B8A">
              <w:t>Aux Membres du Secteur de l'UIT-T;</w:t>
            </w:r>
          </w:p>
          <w:p w14:paraId="4B50120C" w14:textId="1C3E2027" w:rsidR="00597B8A" w:rsidRPr="00597B8A" w:rsidRDefault="00597B8A" w:rsidP="00597B8A">
            <w:pPr>
              <w:tabs>
                <w:tab w:val="clear" w:pos="794"/>
                <w:tab w:val="left" w:pos="430"/>
                <w:tab w:val="left" w:pos="4111"/>
              </w:tabs>
              <w:spacing w:before="0"/>
              <w:ind w:left="430" w:hanging="425"/>
            </w:pPr>
            <w:r w:rsidRPr="002753E9">
              <w:t>–</w:t>
            </w:r>
            <w:r w:rsidRPr="002753E9">
              <w:tab/>
            </w:r>
            <w:r w:rsidRPr="00597B8A">
              <w:t>Aux Associés de l'UIT-T;</w:t>
            </w:r>
          </w:p>
          <w:p w14:paraId="59D134C5" w14:textId="16644439" w:rsidR="00597B8A" w:rsidRPr="00597B8A" w:rsidRDefault="00597B8A" w:rsidP="00597B8A">
            <w:pPr>
              <w:tabs>
                <w:tab w:val="clear" w:pos="794"/>
                <w:tab w:val="left" w:pos="430"/>
                <w:tab w:val="left" w:pos="4111"/>
              </w:tabs>
              <w:spacing w:before="0"/>
              <w:ind w:left="430" w:hanging="425"/>
            </w:pPr>
            <w:r w:rsidRPr="002753E9">
              <w:t>–</w:t>
            </w:r>
            <w:r w:rsidRPr="002753E9">
              <w:tab/>
            </w:r>
            <w:r w:rsidRPr="00597B8A">
              <w:t>Aux établissements universitaires participant aux travaux de l'UIT;</w:t>
            </w:r>
          </w:p>
          <w:p w14:paraId="49E23E4F" w14:textId="1F9A0032" w:rsidR="00597B8A" w:rsidRPr="00597B8A" w:rsidRDefault="00597B8A" w:rsidP="00597B8A">
            <w:pPr>
              <w:tabs>
                <w:tab w:val="clear" w:pos="794"/>
                <w:tab w:val="left" w:pos="430"/>
                <w:tab w:val="left" w:pos="4111"/>
              </w:tabs>
              <w:spacing w:before="0"/>
              <w:ind w:left="430" w:hanging="425"/>
            </w:pPr>
            <w:r w:rsidRPr="002753E9">
              <w:t>–</w:t>
            </w:r>
            <w:r w:rsidRPr="002753E9">
              <w:tab/>
            </w:r>
            <w:r w:rsidRPr="00597B8A">
              <w:t>Aux missions permanentes et aux ambassades à Genève;</w:t>
            </w:r>
          </w:p>
          <w:p w14:paraId="077D4740" w14:textId="72064E8F" w:rsidR="00597B8A" w:rsidRPr="00597B8A" w:rsidRDefault="00597B8A" w:rsidP="00597B8A">
            <w:pPr>
              <w:tabs>
                <w:tab w:val="clear" w:pos="794"/>
                <w:tab w:val="left" w:pos="430"/>
                <w:tab w:val="left" w:pos="4111"/>
              </w:tabs>
              <w:spacing w:before="0"/>
              <w:ind w:left="430" w:hanging="425"/>
            </w:pPr>
            <w:r w:rsidRPr="002753E9">
              <w:t>–</w:t>
            </w:r>
            <w:r w:rsidRPr="002753E9">
              <w:tab/>
            </w:r>
            <w:r w:rsidRPr="00597B8A">
              <w:t>Aux organisations internationales, régionales et nationales compétentes;</w:t>
            </w:r>
          </w:p>
          <w:p w14:paraId="6C2320F6" w14:textId="7700C054" w:rsidR="00597B8A" w:rsidRPr="00597B8A" w:rsidRDefault="00597B8A" w:rsidP="00597B8A">
            <w:pPr>
              <w:tabs>
                <w:tab w:val="clear" w:pos="794"/>
                <w:tab w:val="left" w:pos="430"/>
                <w:tab w:val="left" w:pos="4111"/>
              </w:tabs>
              <w:spacing w:before="0"/>
              <w:ind w:left="430" w:hanging="425"/>
            </w:pPr>
            <w:r w:rsidRPr="002753E9">
              <w:t>–</w:t>
            </w:r>
            <w:r w:rsidRPr="002753E9">
              <w:tab/>
            </w:r>
            <w:r w:rsidRPr="00597B8A">
              <w:t>Aux organisations intergouvernementales exploitant des systèmes à satellites;</w:t>
            </w:r>
          </w:p>
          <w:p w14:paraId="1AB47ED9" w14:textId="72DF446F" w:rsidR="00597B8A" w:rsidRPr="00597B8A" w:rsidRDefault="00597B8A" w:rsidP="00597B8A">
            <w:pPr>
              <w:tabs>
                <w:tab w:val="clear" w:pos="794"/>
                <w:tab w:val="left" w:pos="430"/>
                <w:tab w:val="left" w:pos="4111"/>
              </w:tabs>
              <w:spacing w:before="0"/>
              <w:ind w:left="430" w:hanging="425"/>
            </w:pPr>
            <w:r w:rsidRPr="002753E9">
              <w:t>–</w:t>
            </w:r>
            <w:r w:rsidRPr="002753E9">
              <w:tab/>
            </w:r>
            <w:r w:rsidRPr="00597B8A">
              <w:t>À l'Organisation des Nations Unies;</w:t>
            </w:r>
          </w:p>
          <w:p w14:paraId="461460AE" w14:textId="49FCF27D" w:rsidR="00445B68" w:rsidRPr="002753E9" w:rsidRDefault="00597B8A" w:rsidP="00597B8A">
            <w:pPr>
              <w:tabs>
                <w:tab w:val="clear" w:pos="794"/>
                <w:tab w:val="left" w:pos="430"/>
                <w:tab w:val="left" w:pos="4111"/>
              </w:tabs>
              <w:spacing w:before="0"/>
              <w:ind w:left="430" w:hanging="425"/>
            </w:pPr>
            <w:r w:rsidRPr="002753E9">
              <w:t>–</w:t>
            </w:r>
            <w:r w:rsidRPr="002753E9">
              <w:tab/>
              <w:t>Aux institutions spécialisées des Nations</w:t>
            </w:r>
            <w:r w:rsidR="00985CE0" w:rsidRPr="002753E9">
              <w:t> </w:t>
            </w:r>
            <w:r w:rsidRPr="002753E9">
              <w:t>Unies et à l'Agence internationale de l'énergie atomique</w:t>
            </w:r>
          </w:p>
        </w:tc>
      </w:tr>
      <w:tr w:rsidR="00307FB4" w:rsidRPr="002753E9" w14:paraId="06A3F0E7" w14:textId="77777777" w:rsidTr="00E7063C">
        <w:trPr>
          <w:cantSplit/>
          <w:trHeight w:val="340"/>
        </w:trPr>
        <w:tc>
          <w:tcPr>
            <w:tcW w:w="0" w:type="auto"/>
          </w:tcPr>
          <w:p w14:paraId="5CF43A7B" w14:textId="3933CF6D" w:rsidR="00307FB4" w:rsidRPr="002753E9" w:rsidRDefault="00307FB4" w:rsidP="00A5280F">
            <w:pPr>
              <w:tabs>
                <w:tab w:val="left" w:pos="4111"/>
              </w:tabs>
              <w:spacing w:before="10"/>
              <w:ind w:left="57"/>
              <w:rPr>
                <w:b/>
                <w:bCs/>
              </w:rPr>
            </w:pPr>
            <w:r w:rsidRPr="002753E9">
              <w:rPr>
                <w:b/>
                <w:bCs/>
              </w:rPr>
              <w:t>Contact:</w:t>
            </w:r>
          </w:p>
        </w:tc>
        <w:tc>
          <w:tcPr>
            <w:tcW w:w="2265" w:type="dxa"/>
          </w:tcPr>
          <w:p w14:paraId="2074781F" w14:textId="44376526" w:rsidR="00307FB4" w:rsidRPr="002753E9" w:rsidRDefault="00597B8A" w:rsidP="00A5280F">
            <w:pPr>
              <w:tabs>
                <w:tab w:val="left" w:pos="4111"/>
              </w:tabs>
              <w:spacing w:before="10"/>
              <w:ind w:left="57"/>
              <w:rPr>
                <w:bCs/>
              </w:rPr>
            </w:pPr>
            <w:r w:rsidRPr="002753E9">
              <w:rPr>
                <w:bCs/>
              </w:rPr>
              <w:t>Cristina Bueti</w:t>
            </w:r>
          </w:p>
        </w:tc>
        <w:tc>
          <w:tcPr>
            <w:tcW w:w="6185" w:type="dxa"/>
            <w:vMerge/>
          </w:tcPr>
          <w:p w14:paraId="2F310545" w14:textId="77777777" w:rsidR="00307FB4" w:rsidRPr="002753E9" w:rsidRDefault="00307FB4" w:rsidP="00A5280F">
            <w:pPr>
              <w:tabs>
                <w:tab w:val="clear" w:pos="794"/>
                <w:tab w:val="clear" w:pos="1191"/>
                <w:tab w:val="clear" w:pos="1588"/>
                <w:tab w:val="clear" w:pos="1985"/>
                <w:tab w:val="left" w:pos="284"/>
              </w:tabs>
              <w:spacing w:before="0"/>
              <w:ind w:left="284" w:hanging="227"/>
            </w:pPr>
          </w:p>
        </w:tc>
      </w:tr>
      <w:tr w:rsidR="00597B8A" w:rsidRPr="002753E9" w14:paraId="7E8BAA10" w14:textId="77777777" w:rsidTr="00E7063C">
        <w:trPr>
          <w:cantSplit/>
        </w:trPr>
        <w:tc>
          <w:tcPr>
            <w:tcW w:w="0" w:type="auto"/>
          </w:tcPr>
          <w:p w14:paraId="16DEE3BE" w14:textId="320F25C0" w:rsidR="00597B8A" w:rsidRPr="002753E9" w:rsidRDefault="00597B8A" w:rsidP="00597B8A">
            <w:pPr>
              <w:tabs>
                <w:tab w:val="left" w:pos="4111"/>
              </w:tabs>
              <w:spacing w:before="10"/>
              <w:ind w:left="57"/>
              <w:rPr>
                <w:b/>
                <w:bCs/>
              </w:rPr>
            </w:pPr>
            <w:r w:rsidRPr="002753E9">
              <w:rPr>
                <w:b/>
                <w:bCs/>
              </w:rPr>
              <w:t>Tél.:</w:t>
            </w:r>
          </w:p>
        </w:tc>
        <w:tc>
          <w:tcPr>
            <w:tcW w:w="2265" w:type="dxa"/>
          </w:tcPr>
          <w:p w14:paraId="7FD3B434" w14:textId="60BE5E7A" w:rsidR="00597B8A" w:rsidRPr="002753E9" w:rsidRDefault="00597B8A" w:rsidP="00597B8A">
            <w:pPr>
              <w:tabs>
                <w:tab w:val="left" w:pos="4111"/>
              </w:tabs>
              <w:spacing w:before="0"/>
              <w:ind w:left="57"/>
            </w:pPr>
            <w:r w:rsidRPr="002753E9">
              <w:t>+41 22 730 6301</w:t>
            </w:r>
          </w:p>
        </w:tc>
        <w:tc>
          <w:tcPr>
            <w:tcW w:w="6185" w:type="dxa"/>
            <w:vMerge/>
          </w:tcPr>
          <w:p w14:paraId="77B53A54" w14:textId="77777777" w:rsidR="00597B8A" w:rsidRPr="002753E9" w:rsidRDefault="00597B8A" w:rsidP="00597B8A">
            <w:pPr>
              <w:tabs>
                <w:tab w:val="left" w:pos="226"/>
                <w:tab w:val="left" w:pos="4111"/>
              </w:tabs>
              <w:spacing w:before="0"/>
              <w:ind w:left="226" w:hanging="226"/>
              <w:rPr>
                <w:b/>
              </w:rPr>
            </w:pPr>
          </w:p>
        </w:tc>
      </w:tr>
      <w:tr w:rsidR="00597B8A" w:rsidRPr="002753E9" w14:paraId="724FD23E" w14:textId="77777777" w:rsidTr="00E7063C">
        <w:trPr>
          <w:cantSplit/>
        </w:trPr>
        <w:tc>
          <w:tcPr>
            <w:tcW w:w="0" w:type="auto"/>
          </w:tcPr>
          <w:p w14:paraId="73149CCD" w14:textId="3B3CE31E" w:rsidR="00597B8A" w:rsidRPr="002753E9" w:rsidRDefault="00597B8A" w:rsidP="00597B8A">
            <w:pPr>
              <w:tabs>
                <w:tab w:val="left" w:pos="4111"/>
              </w:tabs>
              <w:spacing w:before="10"/>
              <w:ind w:left="57"/>
              <w:rPr>
                <w:b/>
                <w:bCs/>
                <w:sz w:val="20"/>
              </w:rPr>
            </w:pPr>
            <w:r w:rsidRPr="002753E9">
              <w:rPr>
                <w:b/>
                <w:bCs/>
              </w:rPr>
              <w:t>Télécopie:</w:t>
            </w:r>
          </w:p>
        </w:tc>
        <w:tc>
          <w:tcPr>
            <w:tcW w:w="2265" w:type="dxa"/>
          </w:tcPr>
          <w:p w14:paraId="78D06186" w14:textId="29E1D1FD" w:rsidR="00597B8A" w:rsidRPr="002753E9" w:rsidRDefault="00597B8A" w:rsidP="00597B8A">
            <w:pPr>
              <w:tabs>
                <w:tab w:val="left" w:pos="4111"/>
              </w:tabs>
              <w:spacing w:before="0"/>
              <w:ind w:left="57"/>
            </w:pPr>
            <w:r w:rsidRPr="002753E9">
              <w:t>+41 22 730 5853</w:t>
            </w:r>
          </w:p>
        </w:tc>
        <w:tc>
          <w:tcPr>
            <w:tcW w:w="6185" w:type="dxa"/>
            <w:vMerge/>
          </w:tcPr>
          <w:p w14:paraId="6D3A5806" w14:textId="77777777" w:rsidR="00597B8A" w:rsidRPr="002753E9" w:rsidRDefault="00597B8A" w:rsidP="00597B8A">
            <w:pPr>
              <w:tabs>
                <w:tab w:val="left" w:pos="226"/>
                <w:tab w:val="left" w:pos="4111"/>
              </w:tabs>
              <w:spacing w:before="0"/>
              <w:ind w:left="226" w:hanging="226"/>
              <w:rPr>
                <w:b/>
              </w:rPr>
            </w:pPr>
          </w:p>
        </w:tc>
      </w:tr>
      <w:tr w:rsidR="00597B8A" w:rsidRPr="002753E9" w14:paraId="030F9AE5" w14:textId="77777777" w:rsidTr="00E7063C">
        <w:trPr>
          <w:cantSplit/>
          <w:trHeight w:val="586"/>
        </w:trPr>
        <w:tc>
          <w:tcPr>
            <w:tcW w:w="0" w:type="auto"/>
          </w:tcPr>
          <w:p w14:paraId="7B417C4C" w14:textId="51C48F2C" w:rsidR="00597B8A" w:rsidRPr="002753E9" w:rsidRDefault="00597B8A" w:rsidP="00597B8A">
            <w:pPr>
              <w:tabs>
                <w:tab w:val="left" w:pos="4111"/>
              </w:tabs>
              <w:spacing w:before="10"/>
              <w:ind w:left="57"/>
              <w:rPr>
                <w:b/>
                <w:bCs/>
                <w:sz w:val="20"/>
              </w:rPr>
            </w:pPr>
            <w:r w:rsidRPr="002753E9">
              <w:rPr>
                <w:b/>
                <w:bCs/>
              </w:rPr>
              <w:t>Courriel:</w:t>
            </w:r>
          </w:p>
        </w:tc>
        <w:tc>
          <w:tcPr>
            <w:tcW w:w="2265" w:type="dxa"/>
          </w:tcPr>
          <w:p w14:paraId="1A4A5F7B" w14:textId="1A41D615" w:rsidR="00597B8A" w:rsidRPr="002753E9" w:rsidRDefault="00597B8A" w:rsidP="00597B8A">
            <w:pPr>
              <w:tabs>
                <w:tab w:val="left" w:pos="4111"/>
              </w:tabs>
              <w:spacing w:before="0"/>
              <w:ind w:left="57"/>
              <w:rPr>
                <w:rStyle w:val="Hyperlink"/>
              </w:rPr>
            </w:pPr>
            <w:hyperlink r:id="rId9" w:history="1">
              <w:r w:rsidRPr="002753E9">
                <w:rPr>
                  <w:rStyle w:val="Hyperlink"/>
                </w:rPr>
                <w:t>virtualworlds@itu.int</w:t>
              </w:r>
            </w:hyperlink>
          </w:p>
        </w:tc>
        <w:tc>
          <w:tcPr>
            <w:tcW w:w="6185" w:type="dxa"/>
            <w:vMerge/>
          </w:tcPr>
          <w:p w14:paraId="323DAC81" w14:textId="77777777" w:rsidR="00597B8A" w:rsidRPr="002753E9" w:rsidRDefault="00597B8A" w:rsidP="00597B8A">
            <w:pPr>
              <w:tabs>
                <w:tab w:val="left" w:pos="226"/>
                <w:tab w:val="left" w:pos="4111"/>
              </w:tabs>
              <w:spacing w:before="0"/>
              <w:ind w:left="226" w:hanging="226"/>
              <w:rPr>
                <w:b/>
              </w:rPr>
            </w:pPr>
          </w:p>
        </w:tc>
      </w:tr>
      <w:tr w:rsidR="00597B8A" w:rsidRPr="002753E9" w14:paraId="640FB6B9" w14:textId="77777777" w:rsidTr="00E7063C">
        <w:trPr>
          <w:cantSplit/>
        </w:trPr>
        <w:tc>
          <w:tcPr>
            <w:tcW w:w="0" w:type="auto"/>
          </w:tcPr>
          <w:p w14:paraId="15527369" w14:textId="31496657" w:rsidR="00597B8A" w:rsidRPr="002753E9" w:rsidRDefault="00597B8A" w:rsidP="00597B8A">
            <w:pPr>
              <w:tabs>
                <w:tab w:val="left" w:pos="4111"/>
              </w:tabs>
              <w:spacing w:before="10"/>
              <w:ind w:left="57"/>
              <w:rPr>
                <w:b/>
                <w:bCs/>
              </w:rPr>
            </w:pPr>
          </w:p>
        </w:tc>
        <w:tc>
          <w:tcPr>
            <w:tcW w:w="2265" w:type="dxa"/>
          </w:tcPr>
          <w:p w14:paraId="172249CE" w14:textId="2369EA2C" w:rsidR="00597B8A" w:rsidRPr="002753E9" w:rsidRDefault="00597B8A" w:rsidP="00597B8A">
            <w:pPr>
              <w:tabs>
                <w:tab w:val="left" w:pos="4111"/>
              </w:tabs>
              <w:spacing w:before="0"/>
              <w:ind w:left="57"/>
            </w:pPr>
          </w:p>
        </w:tc>
        <w:tc>
          <w:tcPr>
            <w:tcW w:w="6185" w:type="dxa"/>
          </w:tcPr>
          <w:p w14:paraId="55E5D357" w14:textId="77777777" w:rsidR="00597B8A" w:rsidRPr="002753E9" w:rsidRDefault="00597B8A" w:rsidP="00597B8A">
            <w:pPr>
              <w:tabs>
                <w:tab w:val="clear" w:pos="794"/>
                <w:tab w:val="left" w:pos="226"/>
                <w:tab w:val="left" w:pos="4111"/>
              </w:tabs>
              <w:spacing w:before="0"/>
              <w:ind w:left="226" w:hanging="226"/>
              <w:rPr>
                <w:b/>
                <w:bCs/>
              </w:rPr>
            </w:pPr>
            <w:r w:rsidRPr="002753E9">
              <w:rPr>
                <w:b/>
                <w:bCs/>
              </w:rPr>
              <w:t>Copie:</w:t>
            </w:r>
          </w:p>
          <w:p w14:paraId="6CE98CB1" w14:textId="19649EB2" w:rsidR="00597B8A" w:rsidRPr="002753E9" w:rsidRDefault="00597B8A" w:rsidP="00597B8A">
            <w:pPr>
              <w:tabs>
                <w:tab w:val="clear" w:pos="794"/>
                <w:tab w:val="left" w:pos="4111"/>
              </w:tabs>
              <w:spacing w:before="0"/>
              <w:ind w:left="426" w:hanging="426"/>
            </w:pPr>
            <w:r w:rsidRPr="002753E9">
              <w:t>–</w:t>
            </w:r>
            <w:r w:rsidRPr="002753E9">
              <w:tab/>
              <w:t>Aux présidents et vice-présidents des commissions d'études</w:t>
            </w:r>
            <w:r w:rsidRPr="002753E9">
              <w:rPr>
                <w:color w:val="000000"/>
                <w:sz w:val="22"/>
                <w:szCs w:val="18"/>
              </w:rPr>
              <w:t xml:space="preserve"> </w:t>
            </w:r>
            <w:r w:rsidRPr="002753E9">
              <w:t>de l'UIT-T;</w:t>
            </w:r>
          </w:p>
          <w:p w14:paraId="56C75C35" w14:textId="1A09D40C" w:rsidR="00597B8A" w:rsidRPr="002753E9" w:rsidRDefault="00597B8A" w:rsidP="00597B8A">
            <w:pPr>
              <w:tabs>
                <w:tab w:val="clear" w:pos="794"/>
                <w:tab w:val="left" w:pos="4111"/>
              </w:tabs>
              <w:spacing w:before="0"/>
              <w:ind w:left="426" w:hanging="426"/>
            </w:pPr>
            <w:r w:rsidRPr="002753E9">
              <w:t>–</w:t>
            </w:r>
            <w:r w:rsidRPr="002753E9">
              <w:tab/>
              <w:t>Au Directeur du Bureau de développement des télécommunications;</w:t>
            </w:r>
          </w:p>
          <w:p w14:paraId="19762254" w14:textId="061893F3" w:rsidR="00597B8A" w:rsidRPr="002753E9" w:rsidRDefault="00597B8A" w:rsidP="00597B8A">
            <w:pPr>
              <w:tabs>
                <w:tab w:val="clear" w:pos="794"/>
                <w:tab w:val="left" w:pos="4111"/>
              </w:tabs>
              <w:spacing w:before="0"/>
              <w:ind w:left="426" w:hanging="426"/>
            </w:pPr>
            <w:r w:rsidRPr="002753E9">
              <w:t>–</w:t>
            </w:r>
            <w:r w:rsidRPr="002753E9">
              <w:tab/>
              <w:t>Au Directeur du Bureau des radiocommunications</w:t>
            </w:r>
          </w:p>
        </w:tc>
      </w:tr>
      <w:tr w:rsidR="00597B8A" w:rsidRPr="002753E9" w14:paraId="5435C04A" w14:textId="77777777" w:rsidTr="00C41B89">
        <w:trPr>
          <w:cantSplit/>
          <w:trHeight w:val="397"/>
        </w:trPr>
        <w:tc>
          <w:tcPr>
            <w:tcW w:w="0" w:type="auto"/>
          </w:tcPr>
          <w:p w14:paraId="2A0B9B4F" w14:textId="77777777" w:rsidR="00597B8A" w:rsidRPr="002753E9" w:rsidRDefault="00597B8A" w:rsidP="00597B8A">
            <w:pPr>
              <w:tabs>
                <w:tab w:val="left" w:pos="4111"/>
              </w:tabs>
              <w:ind w:left="57"/>
              <w:rPr>
                <w:b/>
                <w:bCs/>
                <w:szCs w:val="22"/>
              </w:rPr>
            </w:pPr>
            <w:r w:rsidRPr="002753E9">
              <w:rPr>
                <w:b/>
                <w:bCs/>
                <w:szCs w:val="22"/>
              </w:rPr>
              <w:t>Objet:</w:t>
            </w:r>
          </w:p>
        </w:tc>
        <w:tc>
          <w:tcPr>
            <w:tcW w:w="0" w:type="auto"/>
            <w:gridSpan w:val="2"/>
          </w:tcPr>
          <w:p w14:paraId="1A51EE75" w14:textId="3BEA2400" w:rsidR="00597B8A" w:rsidRPr="002753E9" w:rsidRDefault="00597B8A" w:rsidP="00597B8A">
            <w:pPr>
              <w:tabs>
                <w:tab w:val="left" w:pos="4111"/>
              </w:tabs>
              <w:spacing w:after="120"/>
              <w:ind w:left="57"/>
              <w:rPr>
                <w:b/>
                <w:bCs/>
                <w:szCs w:val="22"/>
              </w:rPr>
            </w:pPr>
            <w:r w:rsidRPr="002753E9">
              <w:rPr>
                <w:b/>
                <w:bCs/>
                <w:szCs w:val="22"/>
              </w:rPr>
              <w:t xml:space="preserve">3ème Journée des mondes virtuels des Nations Unies sur le thème </w:t>
            </w:r>
            <w:r w:rsidRPr="002753E9">
              <w:rPr>
                <w:b/>
                <w:bCs/>
                <w:i/>
                <w:iCs/>
                <w:szCs w:val="22"/>
              </w:rPr>
              <w:t>Intelligence artificielle, intelligence spatiale et métavilles: façonner des avenirs numériques dignes de confiance</w:t>
            </w:r>
            <w:r w:rsidRPr="002753E9">
              <w:rPr>
                <w:b/>
                <w:bCs/>
                <w:szCs w:val="22"/>
              </w:rPr>
              <w:t xml:space="preserve"> (Genève, Suisse, 11-12 mai 2026)</w:t>
            </w:r>
          </w:p>
        </w:tc>
      </w:tr>
    </w:tbl>
    <w:p w14:paraId="2D1EC328" w14:textId="77777777" w:rsidR="00517A03" w:rsidRPr="002753E9" w:rsidRDefault="00517A03" w:rsidP="00E7063C">
      <w:pPr>
        <w:spacing w:before="240"/>
      </w:pPr>
      <w:bookmarkStart w:id="1" w:name="StartTyping_F"/>
      <w:bookmarkEnd w:id="1"/>
      <w:r w:rsidRPr="002753E9">
        <w:t>Madame, Monsieur,</w:t>
      </w:r>
    </w:p>
    <w:p w14:paraId="0F541CB1" w14:textId="35F74833" w:rsidR="00597B8A" w:rsidRPr="00597B8A" w:rsidRDefault="00597B8A" w:rsidP="00597B8A">
      <w:pPr>
        <w:rPr>
          <w:bCs/>
        </w:rPr>
      </w:pPr>
      <w:r w:rsidRPr="00597B8A">
        <w:rPr>
          <w:bCs/>
        </w:rPr>
        <w:t>1</w:t>
      </w:r>
      <w:r w:rsidRPr="00597B8A">
        <w:rPr>
          <w:bCs/>
        </w:rPr>
        <w:tab/>
        <w:t>L</w:t>
      </w:r>
      <w:r w:rsidR="00985CE0" w:rsidRPr="002753E9">
        <w:rPr>
          <w:bCs/>
        </w:rPr>
        <w:t>'</w:t>
      </w:r>
      <w:r w:rsidRPr="00597B8A">
        <w:rPr>
          <w:bCs/>
        </w:rPr>
        <w:t>Union internationale des télécommunications (UIT), au nom de l</w:t>
      </w:r>
      <w:r w:rsidR="00985CE0" w:rsidRPr="002753E9">
        <w:rPr>
          <w:bCs/>
        </w:rPr>
        <w:t>'</w:t>
      </w:r>
      <w:r w:rsidRPr="00597B8A">
        <w:rPr>
          <w:bCs/>
        </w:rPr>
        <w:t>Organisation des Nations</w:t>
      </w:r>
      <w:r w:rsidR="00985CE0" w:rsidRPr="002753E9">
        <w:rPr>
          <w:bCs/>
        </w:rPr>
        <w:t> </w:t>
      </w:r>
      <w:r w:rsidRPr="00597B8A">
        <w:rPr>
          <w:bCs/>
        </w:rPr>
        <w:t>Unies pour l</w:t>
      </w:r>
      <w:r w:rsidR="00985CE0" w:rsidRPr="002753E9">
        <w:rPr>
          <w:bCs/>
        </w:rPr>
        <w:t>'</w:t>
      </w:r>
      <w:r w:rsidRPr="00597B8A">
        <w:rPr>
          <w:bCs/>
        </w:rPr>
        <w:t>alimentation et l</w:t>
      </w:r>
      <w:r w:rsidR="00985CE0" w:rsidRPr="002753E9">
        <w:rPr>
          <w:bCs/>
        </w:rPr>
        <w:t>'</w:t>
      </w:r>
      <w:r w:rsidRPr="00597B8A">
        <w:rPr>
          <w:bCs/>
        </w:rPr>
        <w:t>agriculture (FAO), du Centre international de formation de l</w:t>
      </w:r>
      <w:r w:rsidR="00985CE0" w:rsidRPr="002753E9">
        <w:rPr>
          <w:bCs/>
        </w:rPr>
        <w:t>'</w:t>
      </w:r>
      <w:r w:rsidRPr="00597B8A">
        <w:rPr>
          <w:bCs/>
        </w:rPr>
        <w:t>Organisation internationale du Travail, du Programme des Nations Unies pour le développement (PNUD), de la Commission économique des Nations Unies pour l</w:t>
      </w:r>
      <w:r w:rsidR="00985CE0" w:rsidRPr="002753E9">
        <w:rPr>
          <w:bCs/>
        </w:rPr>
        <w:t>'</w:t>
      </w:r>
      <w:r w:rsidRPr="00597B8A">
        <w:rPr>
          <w:bCs/>
        </w:rPr>
        <w:t>Afrique (CEA), de la Commission économique des Nations Unies pour l</w:t>
      </w:r>
      <w:r w:rsidR="00985CE0" w:rsidRPr="002753E9">
        <w:rPr>
          <w:bCs/>
        </w:rPr>
        <w:t>'</w:t>
      </w:r>
      <w:r w:rsidRPr="00597B8A">
        <w:rPr>
          <w:bCs/>
        </w:rPr>
        <w:t>Europe (CEE), de la Commission économique des Nations</w:t>
      </w:r>
      <w:r w:rsidR="00985CE0" w:rsidRPr="002753E9">
        <w:rPr>
          <w:bCs/>
        </w:rPr>
        <w:t> </w:t>
      </w:r>
      <w:r w:rsidRPr="00597B8A">
        <w:rPr>
          <w:bCs/>
        </w:rPr>
        <w:t>Unies pour l</w:t>
      </w:r>
      <w:r w:rsidR="00985CE0" w:rsidRPr="002753E9">
        <w:rPr>
          <w:bCs/>
        </w:rPr>
        <w:t>'</w:t>
      </w:r>
      <w:r w:rsidRPr="00597B8A">
        <w:rPr>
          <w:bCs/>
        </w:rPr>
        <w:t>Amérique latine et les Caraïbes (CEPALC), du dispositif des Nations Unies au Guatemala, le Programme des Nations Unies pour les établissements humains (ONU-Habitat), la Caisse commune des pensions du personnel des Nations Unies, le Centre international de calcul des Nations Unies (CIC), le Réseau des Nations Unies pour l</w:t>
      </w:r>
      <w:r w:rsidR="00985CE0" w:rsidRPr="002753E9">
        <w:rPr>
          <w:bCs/>
        </w:rPr>
        <w:t>'</w:t>
      </w:r>
      <w:r w:rsidRPr="00597B8A">
        <w:rPr>
          <w:bCs/>
        </w:rPr>
        <w:t>innovation, le Fonds des Nations Unies pour l</w:t>
      </w:r>
      <w:r w:rsidR="00985CE0" w:rsidRPr="002753E9">
        <w:rPr>
          <w:bCs/>
        </w:rPr>
        <w:t>'</w:t>
      </w:r>
      <w:r w:rsidRPr="00597B8A">
        <w:rPr>
          <w:bCs/>
        </w:rPr>
        <w:t>enfance (UNICEF), l'Organisation mondiale du tourisme, l</w:t>
      </w:r>
      <w:r w:rsidR="00985CE0" w:rsidRPr="002753E9">
        <w:rPr>
          <w:bCs/>
        </w:rPr>
        <w:t>'</w:t>
      </w:r>
      <w:r w:rsidRPr="00597B8A">
        <w:rPr>
          <w:bCs/>
        </w:rPr>
        <w:t>Institut de recherche des Nations Unies pour le développement social (UNRISD), l</w:t>
      </w:r>
      <w:r w:rsidR="00985CE0" w:rsidRPr="002753E9">
        <w:rPr>
          <w:bCs/>
        </w:rPr>
        <w:t>'</w:t>
      </w:r>
      <w:r w:rsidRPr="00597B8A">
        <w:rPr>
          <w:bCs/>
        </w:rPr>
        <w:t>Université des Nations Unies (UNU), le Réseau Futures Lab Network des Nations Unies, l</w:t>
      </w:r>
      <w:r w:rsidR="00985CE0" w:rsidRPr="002753E9">
        <w:rPr>
          <w:bCs/>
        </w:rPr>
        <w:t>'</w:t>
      </w:r>
      <w:r w:rsidRPr="00597B8A">
        <w:rPr>
          <w:bCs/>
        </w:rPr>
        <w:t>Organisation mondiale de la propriété intellectuelle (OMPI), la Banque mondiale et l</w:t>
      </w:r>
      <w:r w:rsidR="00985CE0" w:rsidRPr="002753E9">
        <w:rPr>
          <w:bCs/>
        </w:rPr>
        <w:t>'</w:t>
      </w:r>
      <w:r w:rsidRPr="00597B8A">
        <w:rPr>
          <w:bCs/>
        </w:rPr>
        <w:t>Organisation météorologique mondiale (OMM), ont l</w:t>
      </w:r>
      <w:r w:rsidR="00985CE0" w:rsidRPr="002753E9">
        <w:rPr>
          <w:bCs/>
        </w:rPr>
        <w:t>'</w:t>
      </w:r>
      <w:r w:rsidRPr="00597B8A">
        <w:rPr>
          <w:bCs/>
        </w:rPr>
        <w:t xml:space="preserve">honneur de vous inviter à la </w:t>
      </w:r>
      <w:hyperlink r:id="rId10" w:anchor="/fr" w:history="1">
        <w:r w:rsidRPr="00597B8A">
          <w:rPr>
            <w:rStyle w:val="Hyperlink"/>
            <w:b/>
            <w:bCs/>
          </w:rPr>
          <w:t>3ème Journée des mondes virtuels des Nations Unies</w:t>
        </w:r>
      </w:hyperlink>
      <w:r w:rsidRPr="00597B8A">
        <w:rPr>
          <w:bCs/>
        </w:rPr>
        <w:t>. La manifestation se tiendra à Genève</w:t>
      </w:r>
      <w:r w:rsidR="00985CE0" w:rsidRPr="002753E9">
        <w:rPr>
          <w:bCs/>
        </w:rPr>
        <w:t> </w:t>
      </w:r>
      <w:r w:rsidRPr="00597B8A">
        <w:rPr>
          <w:bCs/>
        </w:rPr>
        <w:t>(Suisse) les 11 et 12 mai 2026 à l'invitation de l</w:t>
      </w:r>
      <w:r w:rsidR="00985CE0" w:rsidRPr="002753E9">
        <w:rPr>
          <w:bCs/>
        </w:rPr>
        <w:t>'</w:t>
      </w:r>
      <w:r w:rsidRPr="00597B8A">
        <w:rPr>
          <w:bCs/>
        </w:rPr>
        <w:t>UIT.</w:t>
      </w:r>
      <w:hyperlink r:id="rId11" w:history="1"/>
    </w:p>
    <w:p w14:paraId="28DD6DF2" w14:textId="4B24AAD8" w:rsidR="00597B8A" w:rsidRPr="00597B8A" w:rsidRDefault="00597B8A" w:rsidP="00597B8A">
      <w:pPr>
        <w:rPr>
          <w:bCs/>
        </w:rPr>
      </w:pPr>
      <w:r w:rsidRPr="00597B8A">
        <w:rPr>
          <w:bCs/>
        </w:rPr>
        <w:lastRenderedPageBreak/>
        <w:t>2</w:t>
      </w:r>
      <w:r w:rsidRPr="00597B8A">
        <w:rPr>
          <w:bCs/>
        </w:rPr>
        <w:tab/>
        <w:t>Cette Journée constitue un cadre d'envergure mondiale unique offert par les Nations Unies pour permettre aux décideurs, aux responsables municipaux, aux entreprises et aux établissements universitaires de déterminer comment les mondes virtuels fondés sur l</w:t>
      </w:r>
      <w:r w:rsidR="00985CE0" w:rsidRPr="002753E9">
        <w:rPr>
          <w:bCs/>
        </w:rPr>
        <w:t>'</w:t>
      </w:r>
      <w:r w:rsidRPr="00597B8A">
        <w:rPr>
          <w:bCs/>
        </w:rPr>
        <w:t>intelligence artificielle (IA), l</w:t>
      </w:r>
      <w:r w:rsidR="00985CE0" w:rsidRPr="002753E9">
        <w:rPr>
          <w:bCs/>
        </w:rPr>
        <w:t>'</w:t>
      </w:r>
      <w:r w:rsidRPr="00597B8A">
        <w:rPr>
          <w:bCs/>
        </w:rPr>
        <w:t>intelligence spatiale et les métavilles peuvent favoriser une transformation numérique fiable et centrée sur l</w:t>
      </w:r>
      <w:r w:rsidR="00985CE0" w:rsidRPr="002753E9">
        <w:rPr>
          <w:bCs/>
        </w:rPr>
        <w:t>'</w:t>
      </w:r>
      <w:r w:rsidRPr="00597B8A">
        <w:rPr>
          <w:bCs/>
        </w:rPr>
        <w:t>humain. Elle rassemble des représentants de gouvernements, de villes, d'entités des Nations Unies et d'entreprises, ainsi que des experts de la normalisation, pour établir un lien entre les priorités politiques et la mise en œuvre pratique, les partenariats et les normes internationales, et contribuer ainsi à transformer les engagements mondiaux en actions mesurables aux niveaux national et local.</w:t>
      </w:r>
    </w:p>
    <w:p w14:paraId="51CFA6DE" w14:textId="5F25261C" w:rsidR="00597B8A" w:rsidRPr="00597B8A" w:rsidRDefault="00597B8A" w:rsidP="00597B8A">
      <w:pPr>
        <w:rPr>
          <w:bCs/>
        </w:rPr>
      </w:pPr>
      <w:r w:rsidRPr="00597B8A">
        <w:rPr>
          <w:bCs/>
        </w:rPr>
        <w:t>3</w:t>
      </w:r>
      <w:r w:rsidRPr="00597B8A">
        <w:rPr>
          <w:bCs/>
        </w:rPr>
        <w:tab/>
        <w:t>La manifestation comprendra une table ronde des ambassadeurs, qui portera sur la question de savoir comment le Pacte numérique mondial peut matérialiser des engagements mondiaux communs en réalisations concrètes à l</w:t>
      </w:r>
      <w:r w:rsidR="00985CE0" w:rsidRPr="002753E9">
        <w:rPr>
          <w:bCs/>
        </w:rPr>
        <w:t>'</w:t>
      </w:r>
      <w:r w:rsidRPr="00597B8A">
        <w:rPr>
          <w:bCs/>
        </w:rPr>
        <w:t>ère de l</w:t>
      </w:r>
      <w:r w:rsidR="00985CE0" w:rsidRPr="002753E9">
        <w:rPr>
          <w:bCs/>
        </w:rPr>
        <w:t>'</w:t>
      </w:r>
      <w:r w:rsidRPr="00597B8A">
        <w:rPr>
          <w:bCs/>
        </w:rPr>
        <w:t>IA, de l</w:t>
      </w:r>
      <w:r w:rsidR="00985CE0" w:rsidRPr="002753E9">
        <w:rPr>
          <w:bCs/>
        </w:rPr>
        <w:t>'</w:t>
      </w:r>
      <w:r w:rsidRPr="00597B8A">
        <w:rPr>
          <w:bCs/>
        </w:rPr>
        <w:t>intelligence spatiale et des métavilles.</w:t>
      </w:r>
    </w:p>
    <w:p w14:paraId="26417734" w14:textId="77777777" w:rsidR="00597B8A" w:rsidRPr="00597B8A" w:rsidRDefault="00597B8A" w:rsidP="00597B8A">
      <w:pPr>
        <w:rPr>
          <w:bCs/>
        </w:rPr>
      </w:pPr>
      <w:r w:rsidRPr="00597B8A">
        <w:rPr>
          <w:bCs/>
        </w:rPr>
        <w:t>4</w:t>
      </w:r>
      <w:r w:rsidRPr="00597B8A">
        <w:rPr>
          <w:bCs/>
        </w:rPr>
        <w:tab/>
        <w:t>La Journée des mondes virtuels des Nations Unies sera organisée en même temps que les manifestations suivantes:</w:t>
      </w:r>
    </w:p>
    <w:p w14:paraId="3886D697" w14:textId="438F0936" w:rsidR="00597B8A" w:rsidRPr="002753E9" w:rsidRDefault="00985CE0" w:rsidP="00985CE0">
      <w:pPr>
        <w:pStyle w:val="enumlev1"/>
      </w:pPr>
      <w:r w:rsidRPr="002753E9">
        <w:t>•</w:t>
      </w:r>
      <w:r w:rsidRPr="002753E9">
        <w:tab/>
      </w:r>
      <w:hyperlink r:id="rId12" w:history="1">
        <w:r w:rsidR="00597B8A" w:rsidRPr="002753E9">
          <w:rPr>
            <w:rStyle w:val="Hyperlink"/>
            <w:bCs/>
          </w:rPr>
          <w:t>deuxième Assemblée sur les métavilles (12 mai 2026)</w:t>
        </w:r>
      </w:hyperlink>
      <w:r w:rsidR="00597B8A" w:rsidRPr="002753E9">
        <w:t>; et</w:t>
      </w:r>
      <w:hyperlink r:id="rId13" w:history="1"/>
    </w:p>
    <w:p w14:paraId="27E32A63" w14:textId="54497ABF" w:rsidR="00597B8A" w:rsidRPr="002753E9" w:rsidRDefault="00985CE0" w:rsidP="00E7063C">
      <w:pPr>
        <w:pStyle w:val="enumlev1"/>
        <w:spacing w:before="0"/>
      </w:pPr>
      <w:r w:rsidRPr="002753E9">
        <w:t>•</w:t>
      </w:r>
      <w:r w:rsidRPr="002753E9">
        <w:tab/>
      </w:r>
      <w:hyperlink r:id="rId14" w:anchor="/fr" w:history="1">
        <w:r w:rsidR="00597B8A" w:rsidRPr="002753E9">
          <w:rPr>
            <w:rStyle w:val="Hyperlink"/>
            <w:bCs/>
          </w:rPr>
          <w:t>réunion de la Commission d'études 20 de l'UIT-T (Internet des objets (IoT), jumeaux numériques et villes et communautés intelligentes et durables) (du 12 au 21 mai 2026)</w:t>
        </w:r>
      </w:hyperlink>
      <w:r w:rsidR="00597B8A" w:rsidRPr="002753E9">
        <w:t>.</w:t>
      </w:r>
      <w:hyperlink r:id="rId15" w:history="1"/>
    </w:p>
    <w:p w14:paraId="50DDCF09" w14:textId="77777777" w:rsidR="00597B8A" w:rsidRPr="00597B8A" w:rsidRDefault="00597B8A" w:rsidP="00597B8A">
      <w:pPr>
        <w:rPr>
          <w:bCs/>
        </w:rPr>
      </w:pPr>
      <w:r w:rsidRPr="00597B8A">
        <w:rPr>
          <w:bCs/>
        </w:rPr>
        <w:t>5</w:t>
      </w:r>
      <w:r w:rsidRPr="00597B8A">
        <w:rPr>
          <w:bCs/>
        </w:rPr>
        <w:tab/>
        <w:t>La participation à la Journée des mondes virtuels des Nations Unies est gratuite et ouverte aux experts à titre individuel et aux organisations œuvrant dans tous les secteurs et les domaines concernés.</w:t>
      </w:r>
    </w:p>
    <w:p w14:paraId="685C7983" w14:textId="7FC307D9" w:rsidR="00597B8A" w:rsidRPr="00597B8A" w:rsidRDefault="00597B8A" w:rsidP="00597B8A">
      <w:pPr>
        <w:rPr>
          <w:bCs/>
        </w:rPr>
      </w:pPr>
      <w:r w:rsidRPr="00597B8A">
        <w:rPr>
          <w:bCs/>
        </w:rPr>
        <w:t>6</w:t>
      </w:r>
      <w:r w:rsidRPr="00597B8A">
        <w:rPr>
          <w:bCs/>
        </w:rPr>
        <w:tab/>
        <w:t xml:space="preserve">Pour permettre à l'UIT de prévoir les dispositions nécessaires, les participants sont invités à s'inscrire en ligne via la </w:t>
      </w:r>
      <w:hyperlink r:id="rId16" w:anchor="/fr" w:history="1">
        <w:r w:rsidRPr="00597B8A">
          <w:rPr>
            <w:rStyle w:val="Hyperlink"/>
            <w:bCs/>
          </w:rPr>
          <w:t>page d'accueil de la manifestation</w:t>
        </w:r>
      </w:hyperlink>
      <w:r w:rsidRPr="00597B8A">
        <w:rPr>
          <w:bCs/>
        </w:rPr>
        <w:t xml:space="preserve"> dès que possible. Le nombre de places est limité et les inscriptions seront traitées dans l'ordre des demandes. L</w:t>
      </w:r>
      <w:r w:rsidR="00985CE0" w:rsidRPr="002753E9">
        <w:rPr>
          <w:bCs/>
        </w:rPr>
        <w:t>'</w:t>
      </w:r>
      <w:r w:rsidRPr="00597B8A">
        <w:rPr>
          <w:bCs/>
        </w:rPr>
        <w:t>inscription est obligatoire aussi bien pour la participation à distance que pour la participation sur place, et l</w:t>
      </w:r>
      <w:r w:rsidR="00985CE0" w:rsidRPr="002753E9">
        <w:rPr>
          <w:bCs/>
        </w:rPr>
        <w:t>'</w:t>
      </w:r>
      <w:r w:rsidRPr="00597B8A">
        <w:rPr>
          <w:bCs/>
        </w:rPr>
        <w:t>inscription préalable se fait exclusivement en ligne.</w:t>
      </w:r>
      <w:hyperlink r:id="rId17" w:history="1"/>
    </w:p>
    <w:p w14:paraId="3EAE9059" w14:textId="77777777" w:rsidR="00597B8A" w:rsidRPr="00597B8A" w:rsidRDefault="00597B8A" w:rsidP="00597B8A">
      <w:pPr>
        <w:rPr>
          <w:bCs/>
        </w:rPr>
      </w:pPr>
      <w:r w:rsidRPr="00597B8A">
        <w:rPr>
          <w:bCs/>
        </w:rPr>
        <w:t>7</w:t>
      </w:r>
      <w:r w:rsidRPr="00597B8A">
        <w:rPr>
          <w:bCs/>
        </w:rPr>
        <w:tab/>
        <w:t xml:space="preserve">Nous vous rappelons que, pour les ressortissants de certains pays, l'entrée et le séjour en Suisse, quelle qu'en soit la durée, sont soumis à l'obtention d'un visa. </w:t>
      </w:r>
      <w:r w:rsidRPr="00597B8A">
        <w:rPr>
          <w:b/>
          <w:bCs/>
        </w:rPr>
        <w:t>Ce visa doit être demandé au moins quatre (4) semaines avant la date de début de la manifestation</w:t>
      </w:r>
      <w:r w:rsidRPr="00597B8A">
        <w:rPr>
          <w:bCs/>
        </w:rPr>
        <w:t xml:space="preserve"> et obtenu auprès de la représentation de la Suisse (ambassade ou consulat) dans votre pays ou, à défaut, dans le pays le plus proche de votre pays de départ.</w:t>
      </w:r>
    </w:p>
    <w:p w14:paraId="49E4868A" w14:textId="15211BCE" w:rsidR="00597B8A" w:rsidRPr="00597B8A" w:rsidRDefault="00597B8A" w:rsidP="00597B8A">
      <w:pPr>
        <w:rPr>
          <w:bCs/>
        </w:rPr>
      </w:pPr>
      <w:r w:rsidRPr="00597B8A">
        <w:rPr>
          <w:bCs/>
        </w:rPr>
        <w:t>8</w:t>
      </w:r>
      <w:r w:rsidRPr="00597B8A">
        <w:rPr>
          <w:bCs/>
        </w:rPr>
        <w:tab/>
        <w:t>Des informations et des documents supplémentaires, y compris sur l</w:t>
      </w:r>
      <w:r w:rsidR="00985CE0" w:rsidRPr="002753E9">
        <w:rPr>
          <w:bCs/>
        </w:rPr>
        <w:t>'</w:t>
      </w:r>
      <w:r w:rsidRPr="00597B8A">
        <w:rPr>
          <w:bCs/>
        </w:rPr>
        <w:t xml:space="preserve">inscription et le programme, seront disponibles sur la </w:t>
      </w:r>
      <w:hyperlink r:id="rId18" w:anchor="/fr" w:history="1">
        <w:r w:rsidRPr="00597B8A">
          <w:rPr>
            <w:rStyle w:val="Hyperlink"/>
            <w:bCs/>
          </w:rPr>
          <w:t>page d</w:t>
        </w:r>
        <w:r w:rsidR="00985CE0" w:rsidRPr="002753E9">
          <w:rPr>
            <w:rStyle w:val="Hyperlink"/>
            <w:bCs/>
          </w:rPr>
          <w:t>'</w:t>
        </w:r>
        <w:r w:rsidRPr="00597B8A">
          <w:rPr>
            <w:rStyle w:val="Hyperlink"/>
            <w:bCs/>
          </w:rPr>
          <w:t>accueil de la Journée des mondes virtuels des Nations</w:t>
        </w:r>
        <w:r w:rsidR="00985CE0" w:rsidRPr="002753E9">
          <w:rPr>
            <w:rStyle w:val="Hyperlink"/>
            <w:bCs/>
          </w:rPr>
          <w:t> </w:t>
        </w:r>
        <w:r w:rsidRPr="00597B8A">
          <w:rPr>
            <w:rStyle w:val="Hyperlink"/>
            <w:bCs/>
          </w:rPr>
          <w:t>Unies</w:t>
        </w:r>
      </w:hyperlink>
      <w:r w:rsidRPr="00597B8A">
        <w:rPr>
          <w:bCs/>
        </w:rPr>
        <w:t>.</w:t>
      </w:r>
      <w:hyperlink r:id="rId19" w:history="1"/>
    </w:p>
    <w:p w14:paraId="46F2C3C2" w14:textId="484031BF" w:rsidR="00307FB4" w:rsidRPr="002753E9" w:rsidRDefault="00597B8A" w:rsidP="00597B8A">
      <w:pPr>
        <w:rPr>
          <w:bCs/>
        </w:rPr>
      </w:pPr>
      <w:r w:rsidRPr="002753E9">
        <w:rPr>
          <w:bCs/>
        </w:rPr>
        <w:t>Je vous souhaite une manifestation constructive et agréable.</w:t>
      </w:r>
    </w:p>
    <w:p w14:paraId="6A4CD67F" w14:textId="77777777" w:rsidR="00307FB4" w:rsidRPr="002753E9" w:rsidRDefault="00307FB4" w:rsidP="00E7063C">
      <w:pPr>
        <w:spacing w:after="120"/>
        <w:rPr>
          <w:bCs/>
        </w:rPr>
      </w:pPr>
      <w:r w:rsidRPr="002753E9">
        <w:rPr>
          <w:bCs/>
        </w:rPr>
        <w:t>Veuillez agréer, Madame, Monsieur, l'assurance de ma considération distinguée.</w: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95"/>
        <w:gridCol w:w="2595"/>
      </w:tblGrid>
      <w:tr w:rsidR="00597B8A" w:rsidRPr="002753E9" w14:paraId="01D41D4D" w14:textId="77777777" w:rsidTr="00E7063C">
        <w:trPr>
          <w:trHeight w:val="2192"/>
        </w:trPr>
        <w:tc>
          <w:tcPr>
            <w:tcW w:w="7395" w:type="dxa"/>
          </w:tcPr>
          <w:p w14:paraId="3930F1DE" w14:textId="77777777" w:rsidR="00E7063C" w:rsidRDefault="00E7063C" w:rsidP="00E7063C">
            <w:pPr>
              <w:tabs>
                <w:tab w:val="left" w:pos="1418"/>
                <w:tab w:val="left" w:pos="1702"/>
                <w:tab w:val="left" w:pos="2160"/>
              </w:tabs>
              <w:spacing w:before="0"/>
              <w:ind w:left="-113" w:right="91" w:firstLine="11"/>
              <w:rPr>
                <w:i/>
                <w:iCs/>
                <w:color w:val="000000"/>
                <w:szCs w:val="24"/>
              </w:rPr>
            </w:pPr>
          </w:p>
          <w:p w14:paraId="23D63B69" w14:textId="5A7E452F" w:rsidR="00597B8A" w:rsidRDefault="00597B8A" w:rsidP="00E7063C">
            <w:pPr>
              <w:tabs>
                <w:tab w:val="left" w:pos="1418"/>
                <w:tab w:val="left" w:pos="1702"/>
                <w:tab w:val="left" w:pos="2160"/>
              </w:tabs>
              <w:spacing w:before="0"/>
              <w:ind w:left="-113" w:right="91" w:firstLine="11"/>
              <w:rPr>
                <w:i/>
                <w:iCs/>
                <w:color w:val="000000"/>
                <w:szCs w:val="24"/>
              </w:rPr>
            </w:pPr>
            <w:r w:rsidRPr="002753E9">
              <w:rPr>
                <w:i/>
                <w:iCs/>
                <w:color w:val="000000"/>
                <w:szCs w:val="24"/>
              </w:rPr>
              <w:t>(</w:t>
            </w:r>
            <w:proofErr w:type="gramStart"/>
            <w:r w:rsidRPr="002753E9">
              <w:rPr>
                <w:i/>
                <w:iCs/>
                <w:color w:val="000000"/>
                <w:szCs w:val="24"/>
              </w:rPr>
              <w:t>signé</w:t>
            </w:r>
            <w:proofErr w:type="gramEnd"/>
            <w:r w:rsidRPr="002753E9">
              <w:rPr>
                <w:i/>
                <w:iCs/>
                <w:color w:val="000000"/>
                <w:szCs w:val="24"/>
              </w:rPr>
              <w:t>)</w:t>
            </w:r>
          </w:p>
          <w:p w14:paraId="1043FD32" w14:textId="77777777" w:rsidR="00E7063C" w:rsidRPr="002753E9" w:rsidRDefault="00E7063C" w:rsidP="00E7063C">
            <w:pPr>
              <w:tabs>
                <w:tab w:val="left" w:pos="1418"/>
                <w:tab w:val="left" w:pos="1702"/>
                <w:tab w:val="left" w:pos="2160"/>
              </w:tabs>
              <w:spacing w:before="0"/>
              <w:ind w:left="-113" w:right="91" w:firstLine="11"/>
              <w:rPr>
                <w:i/>
                <w:iCs/>
                <w:color w:val="000000"/>
                <w:szCs w:val="24"/>
              </w:rPr>
            </w:pPr>
          </w:p>
          <w:p w14:paraId="6CB2025C" w14:textId="6B55480D" w:rsidR="00597B8A" w:rsidRPr="002753E9" w:rsidRDefault="00597B8A" w:rsidP="00E7063C">
            <w:pPr>
              <w:tabs>
                <w:tab w:val="left" w:pos="1418"/>
                <w:tab w:val="left" w:pos="1702"/>
                <w:tab w:val="left" w:pos="2160"/>
              </w:tabs>
              <w:spacing w:before="0"/>
              <w:ind w:left="-115" w:right="92" w:firstLine="10"/>
              <w:rPr>
                <w:rFonts w:eastAsia="SimSun"/>
                <w:szCs w:val="24"/>
              </w:rPr>
            </w:pPr>
            <w:r w:rsidRPr="002753E9">
              <w:rPr>
                <w:color w:val="000000"/>
                <w:szCs w:val="24"/>
              </w:rPr>
              <w:t>Seizo Onoe</w:t>
            </w:r>
            <w:r w:rsidRPr="002753E9">
              <w:rPr>
                <w:color w:val="000000"/>
                <w:szCs w:val="24"/>
              </w:rPr>
              <w:br/>
              <w:t xml:space="preserve">Directeur du Bureau de la normalisation </w:t>
            </w:r>
            <w:r w:rsidRPr="002753E9">
              <w:rPr>
                <w:color w:val="000000"/>
                <w:szCs w:val="24"/>
              </w:rPr>
              <w:br/>
              <w:t>des télécommunications</w:t>
            </w:r>
          </w:p>
        </w:tc>
        <w:tc>
          <w:tcPr>
            <w:tcW w:w="2595" w:type="dxa"/>
            <w:textDirection w:val="btLr"/>
          </w:tcPr>
          <w:p w14:paraId="04116DC0" w14:textId="77777777" w:rsidR="00597B8A" w:rsidRPr="002753E9" w:rsidRDefault="00597B8A" w:rsidP="000B735E">
            <w:pPr>
              <w:spacing w:before="0" w:after="120"/>
              <w:ind w:left="113" w:right="113"/>
              <w:jc w:val="center"/>
              <w:rPr>
                <w:rFonts w:cstheme="minorHAnsi"/>
                <w:sz w:val="20"/>
              </w:rPr>
            </w:pPr>
            <w:r w:rsidRPr="002753E9">
              <w:rPr>
                <w:noProof/>
                <w:color w:val="000000"/>
                <w:sz w:val="22"/>
                <w:szCs w:val="18"/>
              </w:rPr>
              <w:drawing>
                <wp:inline distT="0" distB="0" distL="0" distR="0" wp14:anchorId="06F8EDD3" wp14:editId="69C9589F">
                  <wp:extent cx="1240325" cy="1240325"/>
                  <wp:effectExtent l="0" t="0" r="0" b="0"/>
                  <wp:docPr id="1418310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53483" cy="1253483"/>
                          </a:xfrm>
                          <a:prstGeom prst="rect">
                            <a:avLst/>
                          </a:prstGeom>
                          <a:noFill/>
                          <a:ln>
                            <a:noFill/>
                          </a:ln>
                        </pic:spPr>
                      </pic:pic>
                    </a:graphicData>
                  </a:graphic>
                </wp:inline>
              </w:drawing>
            </w:r>
            <w:r w:rsidRPr="002753E9">
              <w:rPr>
                <w:rFonts w:cstheme="minorHAnsi"/>
                <w:color w:val="000000"/>
                <w:sz w:val="20"/>
              </w:rPr>
              <w:t xml:space="preserve"> </w:t>
            </w:r>
          </w:p>
          <w:p w14:paraId="2BAC08A3" w14:textId="2BE7E86B" w:rsidR="00597B8A" w:rsidRPr="002753E9" w:rsidRDefault="00985CE0" w:rsidP="000B735E">
            <w:pPr>
              <w:tabs>
                <w:tab w:val="left" w:pos="1418"/>
                <w:tab w:val="left" w:pos="1702"/>
                <w:tab w:val="left" w:pos="2160"/>
              </w:tabs>
              <w:ind w:right="92"/>
              <w:jc w:val="center"/>
              <w:rPr>
                <w:rFonts w:eastAsia="SimSun"/>
                <w:sz w:val="20"/>
              </w:rPr>
            </w:pPr>
            <w:r w:rsidRPr="002753E9">
              <w:rPr>
                <w:color w:val="000000"/>
                <w:sz w:val="20"/>
              </w:rPr>
              <w:t>Plus d'informations</w:t>
            </w:r>
          </w:p>
        </w:tc>
      </w:tr>
    </w:tbl>
    <w:p w14:paraId="3B647157" w14:textId="77777777" w:rsidR="00517A03" w:rsidRPr="002753E9" w:rsidRDefault="00517A03" w:rsidP="00597B8A">
      <w:pPr>
        <w:rPr>
          <w:bCs/>
        </w:rPr>
      </w:pPr>
    </w:p>
    <w:sectPr w:rsidR="00517A03" w:rsidRPr="002753E9" w:rsidSect="00A15179">
      <w:headerReference w:type="default" r:id="rId21"/>
      <w:footerReference w:type="first" r:id="rId22"/>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default"/>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0B836DF8"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7AAD7E9A" w:rsidR="00697BC1" w:rsidRPr="00697BC1" w:rsidRDefault="00C222CE"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597B8A">
      <w:rPr>
        <w:noProof/>
        <w:sz w:val="18"/>
        <w:szCs w:val="16"/>
      </w:rPr>
      <w:t>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10DE5738"/>
    <w:multiLevelType w:val="hybridMultilevel"/>
    <w:tmpl w:val="8F06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C5A77C7"/>
    <w:multiLevelType w:val="hybridMultilevel"/>
    <w:tmpl w:val="D674AC54"/>
    <w:lvl w:ilvl="0" w:tplc="CD84F918">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120867">
    <w:abstractNumId w:val="1"/>
  </w:num>
  <w:num w:numId="2" w16cid:durableId="2119984868">
    <w:abstractNumId w:val="4"/>
  </w:num>
  <w:num w:numId="3" w16cid:durableId="2075545744">
    <w:abstractNumId w:val="3"/>
  </w:num>
  <w:num w:numId="4" w16cid:durableId="1871449755">
    <w:abstractNumId w:val="0"/>
  </w:num>
  <w:num w:numId="5" w16cid:durableId="2136827233">
    <w:abstractNumId w:val="5"/>
  </w:num>
  <w:num w:numId="6" w16cid:durableId="1650554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B79A3"/>
    <w:rsid w:val="002152A3"/>
    <w:rsid w:val="0023667A"/>
    <w:rsid w:val="002753E9"/>
    <w:rsid w:val="002937DB"/>
    <w:rsid w:val="002E395D"/>
    <w:rsid w:val="00307FB4"/>
    <w:rsid w:val="003131F0"/>
    <w:rsid w:val="00333A80"/>
    <w:rsid w:val="00341117"/>
    <w:rsid w:val="00364E95"/>
    <w:rsid w:val="00372875"/>
    <w:rsid w:val="003742F8"/>
    <w:rsid w:val="003B1E80"/>
    <w:rsid w:val="003B66E8"/>
    <w:rsid w:val="003E66AD"/>
    <w:rsid w:val="004033F1"/>
    <w:rsid w:val="00414B0C"/>
    <w:rsid w:val="00423C21"/>
    <w:rsid w:val="004257AC"/>
    <w:rsid w:val="0043711B"/>
    <w:rsid w:val="004419E9"/>
    <w:rsid w:val="00445B68"/>
    <w:rsid w:val="0048088B"/>
    <w:rsid w:val="004977C9"/>
    <w:rsid w:val="004B732E"/>
    <w:rsid w:val="004D51F4"/>
    <w:rsid w:val="004D64E0"/>
    <w:rsid w:val="005120A2"/>
    <w:rsid w:val="0051210D"/>
    <w:rsid w:val="005136D2"/>
    <w:rsid w:val="00517A03"/>
    <w:rsid w:val="00597B8A"/>
    <w:rsid w:val="005A3DD9"/>
    <w:rsid w:val="005B1DFC"/>
    <w:rsid w:val="00601682"/>
    <w:rsid w:val="00603470"/>
    <w:rsid w:val="00625E79"/>
    <w:rsid w:val="006333F7"/>
    <w:rsid w:val="006427A1"/>
    <w:rsid w:val="00644741"/>
    <w:rsid w:val="00697BC1"/>
    <w:rsid w:val="006A6FFE"/>
    <w:rsid w:val="006C5A91"/>
    <w:rsid w:val="006F52F7"/>
    <w:rsid w:val="00716BBC"/>
    <w:rsid w:val="007321BC"/>
    <w:rsid w:val="00760063"/>
    <w:rsid w:val="00775E4B"/>
    <w:rsid w:val="0079553B"/>
    <w:rsid w:val="00795679"/>
    <w:rsid w:val="007A40FE"/>
    <w:rsid w:val="00810105"/>
    <w:rsid w:val="008157E0"/>
    <w:rsid w:val="00850477"/>
    <w:rsid w:val="00854E1D"/>
    <w:rsid w:val="00887FA6"/>
    <w:rsid w:val="008C4397"/>
    <w:rsid w:val="008C465A"/>
    <w:rsid w:val="008F2C9B"/>
    <w:rsid w:val="00923CD6"/>
    <w:rsid w:val="00935AA8"/>
    <w:rsid w:val="00971C9A"/>
    <w:rsid w:val="00981564"/>
    <w:rsid w:val="00985CE0"/>
    <w:rsid w:val="009D51FA"/>
    <w:rsid w:val="009F1E23"/>
    <w:rsid w:val="00A05799"/>
    <w:rsid w:val="00A15179"/>
    <w:rsid w:val="00A51537"/>
    <w:rsid w:val="00A5280F"/>
    <w:rsid w:val="00A5645A"/>
    <w:rsid w:val="00A60FC1"/>
    <w:rsid w:val="00A97C37"/>
    <w:rsid w:val="00AA131B"/>
    <w:rsid w:val="00AC37B5"/>
    <w:rsid w:val="00AD752F"/>
    <w:rsid w:val="00AF08A4"/>
    <w:rsid w:val="00AF0D7D"/>
    <w:rsid w:val="00B27B41"/>
    <w:rsid w:val="00B42659"/>
    <w:rsid w:val="00B46F2D"/>
    <w:rsid w:val="00B60868"/>
    <w:rsid w:val="00B8573E"/>
    <w:rsid w:val="00BB24C0"/>
    <w:rsid w:val="00BD6ECF"/>
    <w:rsid w:val="00C26F2E"/>
    <w:rsid w:val="00C302E3"/>
    <w:rsid w:val="00C41B89"/>
    <w:rsid w:val="00C45376"/>
    <w:rsid w:val="00C9028F"/>
    <w:rsid w:val="00CA0416"/>
    <w:rsid w:val="00CB1125"/>
    <w:rsid w:val="00CB4E80"/>
    <w:rsid w:val="00CD042E"/>
    <w:rsid w:val="00CF2560"/>
    <w:rsid w:val="00CF5B46"/>
    <w:rsid w:val="00D46B68"/>
    <w:rsid w:val="00D542A5"/>
    <w:rsid w:val="00DC3D47"/>
    <w:rsid w:val="00DD77DA"/>
    <w:rsid w:val="00E06C61"/>
    <w:rsid w:val="00E13DB3"/>
    <w:rsid w:val="00E2408B"/>
    <w:rsid w:val="00E62CEA"/>
    <w:rsid w:val="00E7063C"/>
    <w:rsid w:val="00E72AE1"/>
    <w:rsid w:val="00ED6A7A"/>
    <w:rsid w:val="00EE4C36"/>
    <w:rsid w:val="00EF6A23"/>
    <w:rsid w:val="00F346CE"/>
    <w:rsid w:val="00F34F98"/>
    <w:rsid w:val="00F40540"/>
    <w:rsid w:val="00F50446"/>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table" w:styleId="TableGrid">
    <w:name w:val="Table Grid"/>
    <w:basedOn w:val="TableNormal"/>
    <w:rsid w:val="00597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etaverse/virtual-worlds/2nd-citiverse-assembly/" TargetMode="External"/><Relationship Id="rId18" Type="http://schemas.openxmlformats.org/officeDocument/2006/relationships/hyperlink" Target="https://www.itu.int/un-virtual-worlds-day/2026/"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metaverse/virtual-worlds/2nd-citiverse-assembly/" TargetMode="External"/><Relationship Id="rId17" Type="http://schemas.openxmlformats.org/officeDocument/2006/relationships/hyperlink" Target="https://www.itu.int/un-virtual-worlds-day/2026/" TargetMode="External"/><Relationship Id="rId2" Type="http://schemas.openxmlformats.org/officeDocument/2006/relationships/numbering" Target="numbering.xml"/><Relationship Id="rId16" Type="http://schemas.openxmlformats.org/officeDocument/2006/relationships/hyperlink" Target="https://www.itu.int/un-virtual-worlds-day/2026/"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un-virtual-worlds-day/202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ITU-T/studygroups/2025-2028/20/Pages/default.aspx" TargetMode="External"/><Relationship Id="rId23" Type="http://schemas.openxmlformats.org/officeDocument/2006/relationships/fontTable" Target="fontTable.xml"/><Relationship Id="rId10" Type="http://schemas.openxmlformats.org/officeDocument/2006/relationships/hyperlink" Target="https://www.itu.int/un-virtual-worlds-day/2026/" TargetMode="External"/><Relationship Id="rId19" Type="http://schemas.openxmlformats.org/officeDocument/2006/relationships/hyperlink" Target="https://www.itu.int/un-virtual-worlds-day/2026/" TargetMode="External"/><Relationship Id="rId4" Type="http://schemas.openxmlformats.org/officeDocument/2006/relationships/settings" Target="settings.xml"/><Relationship Id="rId9" Type="http://schemas.openxmlformats.org/officeDocument/2006/relationships/hyperlink" Target="mailto:virtualworlds@itu.int" TargetMode="External"/><Relationship Id="rId14" Type="http://schemas.openxmlformats.org/officeDocument/2006/relationships/hyperlink" Target="https://www.itu.int/en/ITU-T/studygroups/2025-2028/20/Pages/default.aspx"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0</TotalTime>
  <Pages>2</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6395</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Maguire, Mairéad</cp:lastModifiedBy>
  <cp:revision>2</cp:revision>
  <cp:lastPrinted>2011-04-15T08:01:00Z</cp:lastPrinted>
  <dcterms:created xsi:type="dcterms:W3CDTF">2026-04-08T13:58:00Z</dcterms:created>
  <dcterms:modified xsi:type="dcterms:W3CDTF">2026-04-08T13:58:00Z</dcterms:modified>
</cp:coreProperties>
</file>