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25"/>
        <w:gridCol w:w="3736"/>
        <w:gridCol w:w="4436"/>
      </w:tblGrid>
      <w:tr w:rsidR="00720F32" w14:paraId="0B56EE86" w14:textId="77777777" w:rsidTr="00720F32">
        <w:trPr>
          <w:cantSplit/>
        </w:trPr>
        <w:tc>
          <w:tcPr>
            <w:tcW w:w="1693" w:type="dxa"/>
            <w:gridSpan w:val="2"/>
          </w:tcPr>
          <w:p w14:paraId="44D11BA6" w14:textId="77777777" w:rsidR="00720F32" w:rsidRPr="00720F32" w:rsidRDefault="00720F32" w:rsidP="00956D38">
            <w:pPr>
              <w:tabs>
                <w:tab w:val="left" w:pos="4111"/>
              </w:tabs>
              <w:spacing w:before="10"/>
              <w:rPr>
                <w:b/>
                <w:bCs/>
                <w:szCs w:val="24"/>
                <w:lang w:eastAsia="zh-CN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4C70608F" wp14:editId="0E351C07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251E93EF" w14:textId="77777777" w:rsidR="00720F32" w:rsidRPr="00390EC6" w:rsidRDefault="00720F32" w:rsidP="00720F32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211E0F7E" w14:textId="77777777" w:rsidR="00720F32" w:rsidRPr="00841612" w:rsidRDefault="00720F32" w:rsidP="00720F32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4436" w:type="dxa"/>
          </w:tcPr>
          <w:p w14:paraId="19451C2F" w14:textId="77777777" w:rsidR="00720F32" w:rsidRDefault="00720F32" w:rsidP="00720F32">
            <w:pPr>
              <w:tabs>
                <w:tab w:val="clear" w:pos="794"/>
                <w:tab w:val="left" w:pos="559"/>
                <w:tab w:val="left" w:pos="4111"/>
              </w:tabs>
              <w:ind w:left="559" w:hanging="559"/>
              <w:rPr>
                <w:lang w:eastAsia="zh-CN"/>
              </w:rPr>
            </w:pPr>
          </w:p>
        </w:tc>
      </w:tr>
      <w:tr w:rsidR="00720F32" w:rsidRPr="00F11716" w14:paraId="1321931B" w14:textId="77777777" w:rsidTr="00FB35F9">
        <w:trPr>
          <w:cantSplit/>
        </w:trPr>
        <w:tc>
          <w:tcPr>
            <w:tcW w:w="5429" w:type="dxa"/>
            <w:gridSpan w:val="3"/>
          </w:tcPr>
          <w:p w14:paraId="21094E0B" w14:textId="77777777" w:rsidR="00720F32" w:rsidRPr="00F11716" w:rsidRDefault="00720F32" w:rsidP="00956D38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4436" w:type="dxa"/>
            <w:vAlign w:val="center"/>
          </w:tcPr>
          <w:p w14:paraId="7D03BAC8" w14:textId="19380DF4" w:rsidR="00720F32" w:rsidRPr="00F11716" w:rsidRDefault="001062D8" w:rsidP="00FB35F9">
            <w:pPr>
              <w:tabs>
                <w:tab w:val="clear" w:pos="794"/>
                <w:tab w:val="left" w:pos="559"/>
                <w:tab w:val="left" w:pos="4111"/>
              </w:tabs>
              <w:spacing w:after="120"/>
              <w:ind w:left="561" w:hanging="561"/>
              <w:rPr>
                <w:b/>
                <w:bCs/>
                <w:sz w:val="22"/>
                <w:szCs w:val="22"/>
                <w:lang w:eastAsia="zh-CN"/>
              </w:rPr>
            </w:pPr>
            <w:r w:rsidRPr="00F11716">
              <w:rPr>
                <w:color w:val="000000"/>
                <w:sz w:val="22"/>
                <w:szCs w:val="22"/>
                <w:lang w:val="zh-CN"/>
              </w:rPr>
              <w:t>2026</w:t>
            </w:r>
            <w:r w:rsidRPr="00F11716">
              <w:rPr>
                <w:color w:val="000000"/>
                <w:sz w:val="22"/>
                <w:szCs w:val="22"/>
                <w:lang w:val="zh-CN"/>
              </w:rPr>
              <w:t>年</w:t>
            </w:r>
            <w:r w:rsidRPr="00F11716">
              <w:rPr>
                <w:color w:val="000000"/>
                <w:sz w:val="22"/>
                <w:szCs w:val="22"/>
                <w:lang w:val="zh-CN"/>
              </w:rPr>
              <w:t>3</w:t>
            </w:r>
            <w:r w:rsidRPr="00F11716">
              <w:rPr>
                <w:color w:val="000000"/>
                <w:sz w:val="22"/>
                <w:szCs w:val="22"/>
                <w:lang w:val="zh-CN"/>
              </w:rPr>
              <w:t>月</w:t>
            </w:r>
            <w:r w:rsidR="007D632C" w:rsidRPr="00F11716"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5</w:t>
            </w:r>
            <w:r w:rsidRPr="00F11716">
              <w:rPr>
                <w:color w:val="000000"/>
                <w:sz w:val="22"/>
                <w:szCs w:val="22"/>
                <w:lang w:val="zh-CN"/>
              </w:rPr>
              <w:t>日</w:t>
            </w:r>
            <w:r w:rsidR="00720F32" w:rsidRPr="00F11716">
              <w:rPr>
                <w:rFonts w:hint="eastAsia"/>
                <w:sz w:val="22"/>
                <w:szCs w:val="22"/>
                <w:lang w:eastAsia="zh-CN"/>
              </w:rPr>
              <w:t>，日内瓦</w:t>
            </w:r>
          </w:p>
        </w:tc>
      </w:tr>
      <w:tr w:rsidR="006E14B5" w:rsidRPr="00F11716" w14:paraId="0748734D" w14:textId="77777777" w:rsidTr="00CC50C4">
        <w:trPr>
          <w:cantSplit/>
        </w:trPr>
        <w:tc>
          <w:tcPr>
            <w:tcW w:w="1268" w:type="dxa"/>
          </w:tcPr>
          <w:p w14:paraId="0A151D72" w14:textId="77777777" w:rsidR="006E14B5" w:rsidRPr="00F11716" w:rsidRDefault="006E14B5" w:rsidP="00956D38">
            <w:pPr>
              <w:tabs>
                <w:tab w:val="left" w:pos="4111"/>
              </w:tabs>
              <w:spacing w:before="10"/>
              <w:rPr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sz w:val="22"/>
                <w:szCs w:val="22"/>
                <w:lang w:eastAsia="zh-CN"/>
              </w:rPr>
              <w:t>文号：</w:t>
            </w:r>
          </w:p>
          <w:p w14:paraId="67175F73" w14:textId="77777777" w:rsidR="006E14B5" w:rsidRPr="00F11716" w:rsidRDefault="006E14B5" w:rsidP="00720F32">
            <w:pPr>
              <w:tabs>
                <w:tab w:val="left" w:pos="4111"/>
              </w:tabs>
              <w:spacing w:before="10"/>
              <w:rPr>
                <w:rFonts w:ascii="Futura Lt BT" w:hAnsi="Futura Lt BT"/>
                <w:sz w:val="22"/>
                <w:szCs w:val="22"/>
                <w:lang w:eastAsia="zh-CN"/>
              </w:rPr>
            </w:pPr>
          </w:p>
        </w:tc>
        <w:tc>
          <w:tcPr>
            <w:tcW w:w="4161" w:type="dxa"/>
            <w:gridSpan w:val="2"/>
          </w:tcPr>
          <w:p w14:paraId="06B5B219" w14:textId="016ACAAE" w:rsidR="006E14B5" w:rsidRPr="00F11716" w:rsidRDefault="006E14B5" w:rsidP="004C1C6C">
            <w:pPr>
              <w:tabs>
                <w:tab w:val="left" w:pos="4111"/>
              </w:tabs>
              <w:spacing w:before="60"/>
              <w:rPr>
                <w:b/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b/>
                <w:sz w:val="22"/>
                <w:szCs w:val="22"/>
                <w:lang w:eastAsia="zh-CN"/>
              </w:rPr>
              <w:t>电信标准化局第</w:t>
            </w:r>
            <w:r w:rsidR="001062D8" w:rsidRPr="00F11716">
              <w:rPr>
                <w:rFonts w:hint="eastAsia"/>
                <w:b/>
                <w:sz w:val="22"/>
                <w:szCs w:val="22"/>
                <w:lang w:eastAsia="zh-CN"/>
              </w:rPr>
              <w:t>1</w:t>
            </w:r>
            <w:r w:rsidR="008165C1" w:rsidRPr="00F11716">
              <w:rPr>
                <w:rFonts w:hint="eastAsia"/>
                <w:b/>
                <w:sz w:val="22"/>
                <w:szCs w:val="22"/>
                <w:lang w:eastAsia="zh-CN"/>
              </w:rPr>
              <w:t>21</w:t>
            </w:r>
            <w:r w:rsidRPr="00F11716">
              <w:rPr>
                <w:rFonts w:hint="eastAsia"/>
                <w:b/>
                <w:sz w:val="22"/>
                <w:szCs w:val="22"/>
                <w:lang w:eastAsia="zh-CN"/>
              </w:rPr>
              <w:t>号通函</w:t>
            </w:r>
          </w:p>
          <w:p w14:paraId="037E0B1A" w14:textId="5F0780D7" w:rsidR="006E14B5" w:rsidRPr="00F11716" w:rsidRDefault="007D632C" w:rsidP="00720F32">
            <w:pPr>
              <w:tabs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CB</w:t>
            </w:r>
          </w:p>
        </w:tc>
        <w:tc>
          <w:tcPr>
            <w:tcW w:w="4436" w:type="dxa"/>
            <w:vMerge w:val="restart"/>
          </w:tcPr>
          <w:p w14:paraId="157CA9C2" w14:textId="77777777" w:rsidR="006E14B5" w:rsidRPr="00F11716" w:rsidRDefault="006E14B5" w:rsidP="00CC50C4">
            <w:pPr>
              <w:tabs>
                <w:tab w:val="left" w:pos="4111"/>
              </w:tabs>
              <w:spacing w:before="0"/>
              <w:rPr>
                <w:b/>
                <w:bCs/>
                <w:sz w:val="22"/>
                <w:szCs w:val="22"/>
                <w:lang w:eastAsia="zh-CN"/>
              </w:rPr>
            </w:pPr>
            <w:bookmarkStart w:id="0" w:name="Addressee_E"/>
            <w:bookmarkEnd w:id="0"/>
            <w:r w:rsidRPr="00F11716">
              <w:rPr>
                <w:rFonts w:hint="eastAsia"/>
                <w:b/>
                <w:bCs/>
                <w:sz w:val="22"/>
                <w:szCs w:val="22"/>
                <w:lang w:eastAsia="zh-CN"/>
              </w:rPr>
              <w:t>致：</w:t>
            </w:r>
          </w:p>
          <w:p w14:paraId="6A892BA0" w14:textId="2A511012" w:rsidR="006E14B5" w:rsidRPr="00F11716" w:rsidRDefault="006E14B5" w:rsidP="00956D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-</w:t>
            </w:r>
            <w:r w:rsidRPr="00F11716">
              <w:rPr>
                <w:sz w:val="22"/>
                <w:szCs w:val="22"/>
                <w:lang w:eastAsia="zh-CN"/>
              </w:rPr>
              <w:tab/>
            </w:r>
            <w:proofErr w:type="gramStart"/>
            <w:r w:rsidRPr="00F11716">
              <w:rPr>
                <w:rFonts w:hint="eastAsia"/>
                <w:sz w:val="22"/>
                <w:szCs w:val="22"/>
                <w:lang w:eastAsia="zh-CN"/>
              </w:rPr>
              <w:t>国际电联各成员国主管部门</w:t>
            </w:r>
            <w:r w:rsidR="00562035" w:rsidRPr="00F11716"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proofErr w:type="gramEnd"/>
          </w:p>
          <w:p w14:paraId="05F8B2D8" w14:textId="7BE0AF7C" w:rsidR="00DB6452" w:rsidRPr="00F11716" w:rsidRDefault="00DB6452" w:rsidP="00956D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-</w:t>
            </w:r>
            <w:r w:rsidRPr="00F11716">
              <w:rPr>
                <w:sz w:val="22"/>
                <w:szCs w:val="22"/>
                <w:lang w:eastAsia="zh-CN"/>
              </w:rPr>
              <w:tab/>
            </w:r>
            <w:r w:rsidRPr="00F11716">
              <w:rPr>
                <w:color w:val="000000"/>
                <w:sz w:val="22"/>
                <w:szCs w:val="22"/>
                <w:lang w:eastAsia="zh-CN"/>
              </w:rPr>
              <w:t>巴勒斯坦国（第</w:t>
            </w:r>
            <w:r w:rsidRPr="00F11716">
              <w:rPr>
                <w:color w:val="000000"/>
                <w:sz w:val="22"/>
                <w:szCs w:val="22"/>
                <w:lang w:eastAsia="zh-CN"/>
              </w:rPr>
              <w:t>99</w:t>
            </w:r>
            <w:r w:rsidRPr="00F11716">
              <w:rPr>
                <w:color w:val="000000"/>
                <w:sz w:val="22"/>
                <w:szCs w:val="22"/>
                <w:lang w:eastAsia="zh-CN"/>
              </w:rPr>
              <w:t>号决议（</w:t>
            </w:r>
            <w:r w:rsidRPr="00F11716">
              <w:rPr>
                <w:color w:val="000000"/>
                <w:sz w:val="22"/>
                <w:szCs w:val="22"/>
                <w:lang w:eastAsia="zh-CN"/>
              </w:rPr>
              <w:t>2018</w:t>
            </w:r>
            <w:r w:rsidRPr="00F11716">
              <w:rPr>
                <w:color w:val="000000"/>
                <w:sz w:val="22"/>
                <w:szCs w:val="22"/>
                <w:lang w:eastAsia="zh-CN"/>
              </w:rPr>
              <w:t>年，</w:t>
            </w:r>
            <w:r w:rsidR="00F11716" w:rsidRPr="00F11716">
              <w:rPr>
                <w:color w:val="000000"/>
                <w:sz w:val="22"/>
                <w:szCs w:val="22"/>
                <w:lang w:val="en-US" w:eastAsia="zh-CN"/>
              </w:rPr>
              <w:br/>
            </w:r>
            <w:r w:rsidRPr="00F11716">
              <w:rPr>
                <w:color w:val="000000"/>
                <w:sz w:val="22"/>
                <w:szCs w:val="22"/>
                <w:lang w:eastAsia="zh-CN"/>
              </w:rPr>
              <w:t>迪拜，修订版）</w:t>
            </w:r>
            <w:proofErr w:type="gramStart"/>
            <w:r w:rsidRPr="00F11716">
              <w:rPr>
                <w:color w:val="000000"/>
                <w:sz w:val="22"/>
                <w:szCs w:val="22"/>
                <w:lang w:eastAsia="zh-CN"/>
              </w:rPr>
              <w:t>）</w:t>
            </w:r>
            <w:r w:rsidRPr="00F11716"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proofErr w:type="gramEnd"/>
          </w:p>
          <w:p w14:paraId="2B5B8326" w14:textId="77777777" w:rsidR="006E14B5" w:rsidRPr="00F11716" w:rsidRDefault="006E14B5" w:rsidP="00DB6452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-</w:t>
            </w:r>
            <w:r w:rsidRPr="00F11716">
              <w:rPr>
                <w:sz w:val="22"/>
                <w:szCs w:val="22"/>
                <w:lang w:eastAsia="zh-CN"/>
              </w:rPr>
              <w:tab/>
              <w:t>ITU-</w:t>
            </w:r>
            <w:proofErr w:type="gramStart"/>
            <w:r w:rsidRPr="00F11716">
              <w:rPr>
                <w:sz w:val="22"/>
                <w:szCs w:val="22"/>
                <w:lang w:eastAsia="zh-CN"/>
              </w:rPr>
              <w:t>T</w:t>
            </w:r>
            <w:r w:rsidRPr="00F11716">
              <w:rPr>
                <w:rFonts w:hint="eastAsia"/>
                <w:sz w:val="22"/>
                <w:szCs w:val="22"/>
                <w:lang w:eastAsia="zh-CN"/>
              </w:rPr>
              <w:t>部门成员；</w:t>
            </w:r>
            <w:proofErr w:type="gramEnd"/>
          </w:p>
          <w:p w14:paraId="70C32377" w14:textId="2511E64C" w:rsidR="006E14B5" w:rsidRPr="00F11716" w:rsidRDefault="006E14B5" w:rsidP="00DB6452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-</w:t>
            </w:r>
            <w:r w:rsidR="00DB6452" w:rsidRPr="00F11716">
              <w:rPr>
                <w:sz w:val="22"/>
                <w:szCs w:val="22"/>
                <w:lang w:eastAsia="zh-CN"/>
              </w:rPr>
              <w:tab/>
            </w:r>
            <w:r w:rsidRPr="00F11716">
              <w:rPr>
                <w:sz w:val="22"/>
                <w:szCs w:val="22"/>
                <w:lang w:eastAsia="zh-CN"/>
              </w:rPr>
              <w:t>ITU-</w:t>
            </w:r>
            <w:proofErr w:type="gramStart"/>
            <w:r w:rsidRPr="00F11716">
              <w:rPr>
                <w:sz w:val="22"/>
                <w:szCs w:val="22"/>
                <w:lang w:eastAsia="zh-CN"/>
              </w:rPr>
              <w:t>T</w:t>
            </w:r>
            <w:r w:rsidRPr="00F11716">
              <w:rPr>
                <w:rFonts w:hint="eastAsia"/>
                <w:sz w:val="22"/>
                <w:szCs w:val="22"/>
                <w:lang w:eastAsia="zh-CN"/>
              </w:rPr>
              <w:t>部门准成员；</w:t>
            </w:r>
            <w:proofErr w:type="gramEnd"/>
          </w:p>
          <w:p w14:paraId="09348432" w14:textId="51724A01" w:rsidR="006E14B5" w:rsidRPr="00F11716" w:rsidRDefault="006E14B5" w:rsidP="00DB6452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-</w:t>
            </w:r>
            <w:r w:rsidR="00DB6452" w:rsidRPr="00F11716">
              <w:rPr>
                <w:sz w:val="22"/>
                <w:szCs w:val="22"/>
                <w:lang w:eastAsia="zh-CN"/>
              </w:rPr>
              <w:tab/>
            </w:r>
            <w:proofErr w:type="gramStart"/>
            <w:r w:rsidR="008165C1" w:rsidRPr="00F11716">
              <w:rPr>
                <w:rFonts w:hint="eastAsia"/>
                <w:sz w:val="22"/>
                <w:szCs w:val="22"/>
                <w:lang w:eastAsia="zh-CN"/>
              </w:rPr>
              <w:t>国际电联</w:t>
            </w:r>
            <w:r w:rsidRPr="00F11716">
              <w:rPr>
                <w:rFonts w:hint="eastAsia"/>
                <w:sz w:val="22"/>
                <w:szCs w:val="22"/>
                <w:lang w:eastAsia="zh-CN"/>
              </w:rPr>
              <w:t>学术成员</w:t>
            </w:r>
            <w:r w:rsidR="008165C1" w:rsidRPr="00F11716">
              <w:rPr>
                <w:rFonts w:hint="eastAsia"/>
                <w:sz w:val="22"/>
                <w:szCs w:val="22"/>
                <w:lang w:eastAsia="zh-CN"/>
              </w:rPr>
              <w:t>；</w:t>
            </w:r>
            <w:proofErr w:type="gramEnd"/>
          </w:p>
          <w:p w14:paraId="6005D2F3" w14:textId="6936B383" w:rsidR="008165C1" w:rsidRPr="00F11716" w:rsidRDefault="008165C1" w:rsidP="008165C1">
            <w:pPr>
              <w:pStyle w:val="Tabletext"/>
              <w:ind w:left="283" w:hanging="283"/>
              <w:rPr>
                <w:rFonts w:cstheme="minorHAnsi"/>
                <w:sz w:val="22"/>
                <w:szCs w:val="22"/>
              </w:rPr>
            </w:pPr>
            <w:r w:rsidRPr="00F11716">
              <w:rPr>
                <w:sz w:val="22"/>
                <w:szCs w:val="22"/>
              </w:rPr>
              <w:t>-</w:t>
            </w:r>
            <w:r w:rsidRPr="00F11716">
              <w:rPr>
                <w:sz w:val="22"/>
                <w:szCs w:val="22"/>
              </w:rPr>
              <w:tab/>
            </w:r>
            <w:proofErr w:type="gramStart"/>
            <w:r w:rsidRPr="00F11716">
              <w:rPr>
                <w:color w:val="000000"/>
                <w:sz w:val="22"/>
                <w:szCs w:val="22"/>
                <w:lang w:val="zh-CN"/>
              </w:rPr>
              <w:t>各国常驻日内瓦代表团和大使馆</w:t>
            </w:r>
            <w:r w:rsidRPr="00F11716">
              <w:rPr>
                <w:rFonts w:hint="eastAsia"/>
                <w:color w:val="000000"/>
                <w:sz w:val="22"/>
                <w:szCs w:val="22"/>
                <w:lang w:val="zh-CN"/>
              </w:rPr>
              <w:t>；</w:t>
            </w:r>
            <w:proofErr w:type="gramEnd"/>
          </w:p>
          <w:p w14:paraId="5A7AA9FD" w14:textId="58502D90" w:rsidR="008165C1" w:rsidRPr="00F11716" w:rsidRDefault="008165C1" w:rsidP="008165C1">
            <w:pPr>
              <w:pStyle w:val="Tabletext"/>
              <w:ind w:left="283" w:hanging="283"/>
              <w:rPr>
                <w:rFonts w:cstheme="minorHAnsi"/>
                <w:sz w:val="22"/>
                <w:szCs w:val="22"/>
              </w:rPr>
            </w:pPr>
            <w:r w:rsidRPr="00F11716">
              <w:rPr>
                <w:sz w:val="22"/>
                <w:szCs w:val="22"/>
              </w:rPr>
              <w:t>-</w:t>
            </w:r>
            <w:r w:rsidRPr="00F11716">
              <w:rPr>
                <w:sz w:val="22"/>
                <w:szCs w:val="22"/>
              </w:rPr>
              <w:tab/>
            </w:r>
            <w:r w:rsidRPr="00F11716">
              <w:rPr>
                <w:color w:val="000000"/>
                <w:sz w:val="22"/>
                <w:szCs w:val="22"/>
                <w:lang w:val="zh-CN"/>
              </w:rPr>
              <w:t>相关国际、</w:t>
            </w:r>
            <w:proofErr w:type="gramStart"/>
            <w:r w:rsidRPr="00F11716">
              <w:rPr>
                <w:color w:val="000000"/>
                <w:sz w:val="22"/>
                <w:szCs w:val="22"/>
                <w:lang w:val="zh-CN"/>
              </w:rPr>
              <w:t>区域和国家组织</w:t>
            </w:r>
            <w:r w:rsidRPr="00F11716">
              <w:rPr>
                <w:rFonts w:hint="eastAsia"/>
                <w:color w:val="000000"/>
                <w:sz w:val="22"/>
                <w:szCs w:val="22"/>
                <w:lang w:val="zh-CN"/>
              </w:rPr>
              <w:t>；</w:t>
            </w:r>
            <w:proofErr w:type="gramEnd"/>
          </w:p>
          <w:p w14:paraId="2ED83676" w14:textId="327042AA" w:rsidR="008165C1" w:rsidRPr="00F11716" w:rsidRDefault="008165C1" w:rsidP="008165C1">
            <w:pPr>
              <w:pStyle w:val="Tabletext"/>
              <w:ind w:left="283" w:hanging="283"/>
              <w:rPr>
                <w:rFonts w:cstheme="minorHAnsi"/>
                <w:sz w:val="22"/>
                <w:szCs w:val="22"/>
              </w:rPr>
            </w:pPr>
            <w:r w:rsidRPr="00F11716">
              <w:rPr>
                <w:sz w:val="22"/>
                <w:szCs w:val="22"/>
              </w:rPr>
              <w:t>-</w:t>
            </w:r>
            <w:r w:rsidRPr="00F11716">
              <w:rPr>
                <w:sz w:val="22"/>
                <w:szCs w:val="22"/>
              </w:rPr>
              <w:tab/>
            </w:r>
            <w:proofErr w:type="gramStart"/>
            <w:r w:rsidRPr="00F11716">
              <w:rPr>
                <w:color w:val="000000"/>
                <w:sz w:val="22"/>
                <w:szCs w:val="22"/>
                <w:lang w:val="zh-CN"/>
              </w:rPr>
              <w:t>运营卫星系统的政府间组织</w:t>
            </w:r>
            <w:r w:rsidRPr="00F11716">
              <w:rPr>
                <w:rFonts w:hint="eastAsia"/>
                <w:color w:val="000000"/>
                <w:sz w:val="22"/>
                <w:szCs w:val="22"/>
                <w:lang w:val="zh-CN"/>
              </w:rPr>
              <w:t>；</w:t>
            </w:r>
            <w:proofErr w:type="gramEnd"/>
          </w:p>
          <w:p w14:paraId="37AE27C2" w14:textId="26E7635E" w:rsidR="008165C1" w:rsidRPr="00F11716" w:rsidRDefault="008165C1" w:rsidP="008165C1">
            <w:pPr>
              <w:pStyle w:val="Tabletext"/>
              <w:ind w:left="283" w:hanging="283"/>
              <w:rPr>
                <w:rFonts w:cstheme="minorHAnsi"/>
                <w:sz w:val="22"/>
                <w:szCs w:val="22"/>
              </w:rPr>
            </w:pPr>
            <w:r w:rsidRPr="00F11716">
              <w:rPr>
                <w:sz w:val="22"/>
                <w:szCs w:val="22"/>
              </w:rPr>
              <w:t>-</w:t>
            </w:r>
            <w:r w:rsidRPr="00F11716">
              <w:rPr>
                <w:sz w:val="22"/>
                <w:szCs w:val="22"/>
              </w:rPr>
              <w:tab/>
            </w:r>
            <w:proofErr w:type="gramStart"/>
            <w:r w:rsidRPr="00F11716">
              <w:rPr>
                <w:color w:val="000000"/>
                <w:sz w:val="22"/>
                <w:szCs w:val="22"/>
                <w:lang w:val="zh-CN"/>
              </w:rPr>
              <w:t>联合国；</w:t>
            </w:r>
            <w:proofErr w:type="gramEnd"/>
          </w:p>
          <w:p w14:paraId="2F37FD9E" w14:textId="2B76806B" w:rsidR="008165C1" w:rsidRPr="00F11716" w:rsidRDefault="008165C1" w:rsidP="008165C1">
            <w:pPr>
              <w:pStyle w:val="Tabletext"/>
              <w:ind w:left="283" w:hanging="283"/>
              <w:rPr>
                <w:rFonts w:cstheme="minorHAnsi"/>
                <w:sz w:val="22"/>
                <w:szCs w:val="22"/>
              </w:rPr>
            </w:pPr>
            <w:r w:rsidRPr="00F11716">
              <w:rPr>
                <w:sz w:val="22"/>
                <w:szCs w:val="22"/>
              </w:rPr>
              <w:t>-</w:t>
            </w:r>
            <w:r w:rsidRPr="00F11716">
              <w:rPr>
                <w:sz w:val="22"/>
                <w:szCs w:val="22"/>
              </w:rPr>
              <w:tab/>
            </w:r>
            <w:r w:rsidRPr="00F11716">
              <w:rPr>
                <w:color w:val="000000"/>
                <w:sz w:val="22"/>
                <w:szCs w:val="22"/>
                <w:lang w:val="zh-CN"/>
              </w:rPr>
              <w:t>联合国各专门机构和国际原子能机构</w:t>
            </w:r>
          </w:p>
          <w:p w14:paraId="08BD44D2" w14:textId="77777777" w:rsidR="008165C1" w:rsidRPr="00F11716" w:rsidRDefault="008165C1" w:rsidP="00DB6452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val="en-US" w:eastAsia="zh-CN"/>
              </w:rPr>
            </w:pPr>
          </w:p>
          <w:p w14:paraId="2FBD9C8A" w14:textId="77777777" w:rsidR="00DB6452" w:rsidRPr="00F11716" w:rsidRDefault="00DB6452" w:rsidP="00956D38">
            <w:pPr>
              <w:tabs>
                <w:tab w:val="clear" w:pos="794"/>
                <w:tab w:val="left" w:pos="141"/>
                <w:tab w:val="left" w:pos="4111"/>
              </w:tabs>
              <w:spacing w:before="0"/>
              <w:ind w:left="141" w:hanging="141"/>
              <w:rPr>
                <w:b/>
                <w:bCs/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b/>
                <w:bCs/>
                <w:sz w:val="22"/>
                <w:szCs w:val="22"/>
                <w:lang w:eastAsia="zh-CN"/>
              </w:rPr>
              <w:t>抄送：</w:t>
            </w:r>
          </w:p>
          <w:p w14:paraId="3EC01E4C" w14:textId="156B96F6" w:rsidR="006E14B5" w:rsidRPr="00F11716" w:rsidRDefault="006E14B5" w:rsidP="00DB6452">
            <w:pPr>
              <w:tabs>
                <w:tab w:val="clear" w:pos="794"/>
                <w:tab w:val="left" w:pos="4111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-</w:t>
            </w:r>
            <w:r w:rsidRPr="00F11716">
              <w:rPr>
                <w:sz w:val="22"/>
                <w:szCs w:val="22"/>
                <w:lang w:eastAsia="zh-CN"/>
              </w:rPr>
              <w:tab/>
            </w:r>
            <w:r w:rsidR="00DB6452" w:rsidRPr="00F11716">
              <w:rPr>
                <w:color w:val="000000"/>
                <w:sz w:val="22"/>
                <w:szCs w:val="22"/>
                <w:lang w:val="zh-CN" w:eastAsia="zh-CN"/>
              </w:rPr>
              <w:t>ITU-</w:t>
            </w:r>
            <w:proofErr w:type="gramStart"/>
            <w:r w:rsidR="00DB6452" w:rsidRPr="00F11716">
              <w:rPr>
                <w:color w:val="000000"/>
                <w:sz w:val="22"/>
                <w:szCs w:val="22"/>
                <w:lang w:val="zh-CN" w:eastAsia="zh-CN"/>
              </w:rPr>
              <w:t>T</w:t>
            </w:r>
            <w:r w:rsidR="00DB6452" w:rsidRPr="00F11716">
              <w:rPr>
                <w:color w:val="000000"/>
                <w:sz w:val="22"/>
                <w:szCs w:val="22"/>
                <w:lang w:val="zh-CN" w:eastAsia="zh-CN"/>
              </w:rPr>
              <w:t>各研究组的正副主席</w:t>
            </w:r>
            <w:r w:rsidR="00DB6452" w:rsidRPr="00F11716"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；</w:t>
            </w:r>
            <w:proofErr w:type="gramEnd"/>
          </w:p>
          <w:p w14:paraId="6B5722EC" w14:textId="77777777" w:rsidR="006E14B5" w:rsidRPr="00F11716" w:rsidRDefault="006E14B5" w:rsidP="00DB6452">
            <w:pPr>
              <w:tabs>
                <w:tab w:val="clear" w:pos="794"/>
                <w:tab w:val="left" w:pos="4111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-</w:t>
            </w:r>
            <w:r w:rsidRPr="00F11716">
              <w:rPr>
                <w:sz w:val="22"/>
                <w:szCs w:val="22"/>
                <w:lang w:eastAsia="zh-CN"/>
              </w:rPr>
              <w:tab/>
            </w:r>
            <w:proofErr w:type="gramStart"/>
            <w:r w:rsidRPr="00F11716">
              <w:rPr>
                <w:rFonts w:hint="eastAsia"/>
                <w:sz w:val="22"/>
                <w:szCs w:val="22"/>
                <w:lang w:eastAsia="zh-CN"/>
              </w:rPr>
              <w:t>电信发展局主任；</w:t>
            </w:r>
            <w:proofErr w:type="gramEnd"/>
          </w:p>
          <w:p w14:paraId="08E3A55C" w14:textId="77777777" w:rsidR="006E14B5" w:rsidRPr="00F11716" w:rsidRDefault="006E14B5" w:rsidP="00DB645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-</w:t>
            </w:r>
            <w:r w:rsidRPr="00F11716">
              <w:rPr>
                <w:sz w:val="22"/>
                <w:szCs w:val="22"/>
                <w:lang w:eastAsia="zh-CN"/>
              </w:rPr>
              <w:tab/>
            </w:r>
            <w:r w:rsidRPr="00F11716">
              <w:rPr>
                <w:rFonts w:hint="eastAsia"/>
                <w:sz w:val="22"/>
                <w:szCs w:val="22"/>
                <w:lang w:eastAsia="zh-CN"/>
              </w:rPr>
              <w:t>无线电通信局主任</w:t>
            </w:r>
          </w:p>
          <w:p w14:paraId="204B6402" w14:textId="77777777" w:rsidR="006E14B5" w:rsidRPr="00F11716" w:rsidRDefault="006E14B5" w:rsidP="00956D38">
            <w:pPr>
              <w:tabs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</w:p>
        </w:tc>
      </w:tr>
      <w:tr w:rsidR="006E14B5" w:rsidRPr="00F11716" w14:paraId="6B7F26C9" w14:textId="77777777" w:rsidTr="00CC50C4">
        <w:trPr>
          <w:cantSplit/>
        </w:trPr>
        <w:tc>
          <w:tcPr>
            <w:tcW w:w="1268" w:type="dxa"/>
          </w:tcPr>
          <w:p w14:paraId="6E5E4287" w14:textId="00224C8E" w:rsidR="007D632C" w:rsidRPr="00F11716" w:rsidRDefault="007D632C" w:rsidP="00191798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sz w:val="22"/>
                <w:szCs w:val="22"/>
                <w:lang w:eastAsia="zh-CN"/>
              </w:rPr>
              <w:t>联系人：</w:t>
            </w:r>
          </w:p>
          <w:p w14:paraId="017C0AE5" w14:textId="2FEB3BB4" w:rsidR="006E14B5" w:rsidRPr="00F11716" w:rsidRDefault="006E14B5" w:rsidP="00191798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sz w:val="22"/>
                <w:szCs w:val="22"/>
                <w:lang w:eastAsia="zh-CN"/>
              </w:rPr>
              <w:t>电话：</w:t>
            </w:r>
          </w:p>
        </w:tc>
        <w:tc>
          <w:tcPr>
            <w:tcW w:w="4161" w:type="dxa"/>
            <w:gridSpan w:val="2"/>
          </w:tcPr>
          <w:p w14:paraId="287006E5" w14:textId="77777777" w:rsidR="007D632C" w:rsidRPr="00F11716" w:rsidRDefault="007D632C" w:rsidP="00191798">
            <w:pPr>
              <w:tabs>
                <w:tab w:val="left" w:pos="4111"/>
              </w:tabs>
              <w:spacing w:before="40" w:after="40"/>
              <w:rPr>
                <w:rFonts w:cstheme="minorHAnsi"/>
                <w:bCs/>
                <w:sz w:val="22"/>
                <w:szCs w:val="22"/>
                <w:lang w:val="it-IT"/>
              </w:rPr>
            </w:pPr>
            <w:r w:rsidRPr="00F11716">
              <w:rPr>
                <w:rFonts w:cstheme="minorHAnsi"/>
                <w:bCs/>
                <w:sz w:val="22"/>
                <w:szCs w:val="22"/>
                <w:lang w:val="it-IT"/>
              </w:rPr>
              <w:t>Cristina Bueti</w:t>
            </w:r>
          </w:p>
          <w:p w14:paraId="0EBAB655" w14:textId="4914975B" w:rsidR="006E14B5" w:rsidRPr="00F11716" w:rsidRDefault="007D632C" w:rsidP="00191798">
            <w:pPr>
              <w:tabs>
                <w:tab w:val="left" w:pos="4111"/>
              </w:tabs>
              <w:spacing w:before="40" w:after="40"/>
              <w:rPr>
                <w:sz w:val="22"/>
                <w:szCs w:val="22"/>
                <w:lang w:eastAsia="zh-CN"/>
              </w:rPr>
            </w:pPr>
            <w:r w:rsidRPr="00F11716">
              <w:rPr>
                <w:rFonts w:cstheme="minorHAnsi"/>
                <w:sz w:val="22"/>
                <w:szCs w:val="22"/>
                <w:lang w:val="it-IT"/>
              </w:rPr>
              <w:t>+41 22 730 6301</w:t>
            </w:r>
            <w:r w:rsidRPr="00F11716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436" w:type="dxa"/>
            <w:vMerge/>
          </w:tcPr>
          <w:p w14:paraId="2BF184C4" w14:textId="77777777" w:rsidR="006E14B5" w:rsidRPr="00F11716" w:rsidRDefault="006E14B5" w:rsidP="00956D38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6E14B5" w:rsidRPr="00F11716" w14:paraId="391AE15B" w14:textId="77777777" w:rsidTr="00CC50C4">
        <w:trPr>
          <w:cantSplit/>
        </w:trPr>
        <w:tc>
          <w:tcPr>
            <w:tcW w:w="1268" w:type="dxa"/>
          </w:tcPr>
          <w:p w14:paraId="07FFCB78" w14:textId="77777777" w:rsidR="006E14B5" w:rsidRPr="00F11716" w:rsidRDefault="006E14B5" w:rsidP="00191798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sz w:val="22"/>
                <w:szCs w:val="22"/>
                <w:lang w:eastAsia="zh-CN"/>
              </w:rPr>
              <w:t>传真：</w:t>
            </w:r>
          </w:p>
        </w:tc>
        <w:tc>
          <w:tcPr>
            <w:tcW w:w="4161" w:type="dxa"/>
            <w:gridSpan w:val="2"/>
          </w:tcPr>
          <w:p w14:paraId="7B2D7FC0" w14:textId="77777777" w:rsidR="006E14B5" w:rsidRPr="00F11716" w:rsidRDefault="006E14B5" w:rsidP="00191798">
            <w:pPr>
              <w:tabs>
                <w:tab w:val="left" w:pos="4111"/>
              </w:tabs>
              <w:spacing w:before="40" w:after="40"/>
              <w:rPr>
                <w:rStyle w:val="Hyperlink"/>
                <w:sz w:val="22"/>
                <w:szCs w:val="22"/>
                <w:lang w:eastAsia="zh-CN"/>
              </w:rPr>
            </w:pPr>
            <w:r w:rsidRPr="00F11716">
              <w:rPr>
                <w:sz w:val="22"/>
                <w:szCs w:val="22"/>
                <w:lang w:eastAsia="zh-CN"/>
              </w:rPr>
              <w:t>+41 22 730 5853</w:t>
            </w:r>
          </w:p>
        </w:tc>
        <w:tc>
          <w:tcPr>
            <w:tcW w:w="4436" w:type="dxa"/>
            <w:vMerge/>
          </w:tcPr>
          <w:p w14:paraId="1B8ADBB1" w14:textId="77777777" w:rsidR="006E14B5" w:rsidRPr="00F11716" w:rsidRDefault="006E14B5" w:rsidP="00956D38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6E14B5" w:rsidRPr="00F11716" w14:paraId="27E1B28D" w14:textId="77777777" w:rsidTr="00CC50C4">
        <w:trPr>
          <w:cantSplit/>
        </w:trPr>
        <w:tc>
          <w:tcPr>
            <w:tcW w:w="1268" w:type="dxa"/>
          </w:tcPr>
          <w:p w14:paraId="5744218B" w14:textId="77777777" w:rsidR="006E14B5" w:rsidRPr="00F11716" w:rsidRDefault="006E14B5" w:rsidP="00F11716">
            <w:pPr>
              <w:spacing w:before="40"/>
              <w:rPr>
                <w:sz w:val="22"/>
                <w:szCs w:val="22"/>
                <w:lang w:eastAsia="zh-CN"/>
              </w:rPr>
            </w:pPr>
            <w:r w:rsidRPr="00F11716">
              <w:rPr>
                <w:rFonts w:ascii="Calibri" w:hAnsi="Calibri" w:hint="eastAsia"/>
                <w:sz w:val="22"/>
                <w:szCs w:val="22"/>
                <w:lang w:eastAsia="zh-CN"/>
              </w:rPr>
              <w:t>电子邮件</w:t>
            </w:r>
            <w:r w:rsidRPr="00F11716"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4161" w:type="dxa"/>
            <w:gridSpan w:val="2"/>
          </w:tcPr>
          <w:p w14:paraId="6BC7C841" w14:textId="4A7845B5" w:rsidR="006E14B5" w:rsidRPr="00F11716" w:rsidRDefault="007D632C" w:rsidP="00F11716">
            <w:pPr>
              <w:tabs>
                <w:tab w:val="left" w:pos="4111"/>
              </w:tabs>
              <w:spacing w:before="40"/>
              <w:rPr>
                <w:sz w:val="22"/>
                <w:szCs w:val="22"/>
                <w:lang w:eastAsia="zh-CN"/>
              </w:rPr>
            </w:pPr>
            <w:hyperlink r:id="rId9" w:history="1">
              <w:r w:rsidRPr="00F11716">
                <w:rPr>
                  <w:rStyle w:val="Hyperlink"/>
                  <w:rFonts w:cstheme="minorHAnsi"/>
                  <w:sz w:val="22"/>
                  <w:szCs w:val="22"/>
                  <w:lang w:val="it-IT"/>
                </w:rPr>
                <w:t>virtualworlds@itu.int</w:t>
              </w:r>
            </w:hyperlink>
          </w:p>
          <w:p w14:paraId="6A5A61FE" w14:textId="77777777" w:rsidR="006E14B5" w:rsidRPr="00F11716" w:rsidRDefault="006E14B5" w:rsidP="00F11716">
            <w:pPr>
              <w:tabs>
                <w:tab w:val="left" w:pos="4111"/>
              </w:tabs>
              <w:spacing w:before="40"/>
              <w:rPr>
                <w:sz w:val="22"/>
                <w:szCs w:val="22"/>
                <w:lang w:eastAsia="zh-CN"/>
              </w:rPr>
            </w:pPr>
          </w:p>
        </w:tc>
        <w:tc>
          <w:tcPr>
            <w:tcW w:w="4436" w:type="dxa"/>
            <w:vMerge/>
          </w:tcPr>
          <w:p w14:paraId="286E3B32" w14:textId="77777777" w:rsidR="006E14B5" w:rsidRPr="00F11716" w:rsidRDefault="006E14B5" w:rsidP="00956D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</w:p>
        </w:tc>
      </w:tr>
      <w:tr w:rsidR="00720F32" w:rsidRPr="00F11716" w14:paraId="70F45D40" w14:textId="77777777" w:rsidTr="00CC50C4">
        <w:trPr>
          <w:cantSplit/>
        </w:trPr>
        <w:tc>
          <w:tcPr>
            <w:tcW w:w="1268" w:type="dxa"/>
          </w:tcPr>
          <w:p w14:paraId="6DD381C7" w14:textId="77777777" w:rsidR="00720F32" w:rsidRPr="00F11716" w:rsidRDefault="00720F32" w:rsidP="0014089B">
            <w:pPr>
              <w:spacing w:after="40"/>
              <w:rPr>
                <w:b/>
                <w:bCs/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b/>
                <w:bCs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8597" w:type="dxa"/>
            <w:gridSpan w:val="3"/>
          </w:tcPr>
          <w:p w14:paraId="66269378" w14:textId="3AA8224D" w:rsidR="00720F32" w:rsidRPr="00F11716" w:rsidRDefault="008165C1" w:rsidP="00F11716">
            <w:pPr>
              <w:tabs>
                <w:tab w:val="left" w:pos="4111"/>
              </w:tabs>
              <w:spacing w:after="120"/>
              <w:rPr>
                <w:b/>
                <w:sz w:val="22"/>
                <w:szCs w:val="22"/>
                <w:lang w:eastAsia="zh-CN"/>
              </w:rPr>
            </w:pP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第三个联合国虚拟世界日：</w:t>
            </w:r>
            <w:r w:rsidRPr="00F11716">
              <w:rPr>
                <w:rFonts w:ascii="STKaiti" w:eastAsia="STKaiti" w:hAnsi="STKaiti"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人工智能、空间智能和城市元宇宙：塑造可信的数字未来</w:t>
            </w:r>
            <w:r w:rsidR="00F11716">
              <w:rPr>
                <w:rFonts w:ascii="STKaiti" w:eastAsia="STKaiti" w:hAnsi="STKaiti"/>
                <w:b/>
                <w:bCs/>
                <w:color w:val="000000"/>
                <w:sz w:val="22"/>
                <w:szCs w:val="22"/>
                <w:lang w:val="en-US" w:eastAsia="zh-CN"/>
              </w:rPr>
              <w:br/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（</w:t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2026</w:t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年</w:t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5</w:t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月</w:t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11</w:t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日至</w:t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12</w:t>
            </w:r>
            <w:r w:rsidRPr="00F11716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日，瑞士日内瓦）</w:t>
            </w:r>
          </w:p>
        </w:tc>
      </w:tr>
    </w:tbl>
    <w:p w14:paraId="44801F23" w14:textId="77777777" w:rsidR="0063445E" w:rsidRPr="00F11716" w:rsidRDefault="0063445E" w:rsidP="007F2D5C">
      <w:pPr>
        <w:spacing w:before="240"/>
        <w:rPr>
          <w:sz w:val="22"/>
          <w:szCs w:val="22"/>
          <w:lang w:eastAsia="zh-CN"/>
        </w:rPr>
      </w:pPr>
      <w:bookmarkStart w:id="1" w:name="StartTyping_E"/>
      <w:bookmarkEnd w:id="1"/>
      <w:r w:rsidRPr="00F11716">
        <w:rPr>
          <w:rFonts w:hint="eastAsia"/>
          <w:sz w:val="22"/>
          <w:szCs w:val="22"/>
          <w:lang w:eastAsia="zh-CN"/>
        </w:rPr>
        <w:t>尊敬的先生</w:t>
      </w:r>
      <w:r w:rsidRPr="00F11716">
        <w:rPr>
          <w:rFonts w:hint="eastAsia"/>
          <w:sz w:val="22"/>
          <w:szCs w:val="22"/>
          <w:lang w:eastAsia="zh-CN"/>
        </w:rPr>
        <w:t>/</w:t>
      </w:r>
      <w:r w:rsidRPr="00F11716">
        <w:rPr>
          <w:rFonts w:hint="eastAsia"/>
          <w:sz w:val="22"/>
          <w:szCs w:val="22"/>
          <w:lang w:eastAsia="zh-CN"/>
        </w:rPr>
        <w:t>女士：</w:t>
      </w:r>
    </w:p>
    <w:p w14:paraId="136808F4" w14:textId="514DC9DF" w:rsidR="000C43BC" w:rsidRPr="00F11716" w:rsidRDefault="000C43BC" w:rsidP="000C43BC">
      <w:pPr>
        <w:rPr>
          <w:rFonts w:cs="Calibri"/>
          <w:sz w:val="22"/>
          <w:szCs w:val="22"/>
          <w:lang w:eastAsia="zh-CN"/>
        </w:rPr>
      </w:pPr>
      <w:r w:rsidRPr="00F11716">
        <w:rPr>
          <w:sz w:val="22"/>
          <w:szCs w:val="22"/>
          <w:lang w:val="zh-CN" w:eastAsia="zh-CN"/>
        </w:rPr>
        <w:t>1</w:t>
      </w:r>
      <w:r w:rsidRPr="00F11716">
        <w:rPr>
          <w:sz w:val="22"/>
          <w:szCs w:val="22"/>
          <w:lang w:val="zh-CN" w:eastAsia="zh-CN"/>
        </w:rPr>
        <w:tab/>
      </w:r>
      <w:r w:rsidR="008165C1" w:rsidRPr="00F11716">
        <w:rPr>
          <w:sz w:val="22"/>
          <w:szCs w:val="22"/>
          <w:lang w:val="zh-CN" w:eastAsia="zh-CN"/>
        </w:rPr>
        <w:t>国际电信联盟（</w:t>
      </w:r>
      <w:r w:rsidR="002A0E3D" w:rsidRPr="00F11716">
        <w:rPr>
          <w:rFonts w:hint="eastAsia"/>
          <w:sz w:val="22"/>
          <w:szCs w:val="22"/>
          <w:lang w:val="zh-CN" w:eastAsia="zh-CN"/>
        </w:rPr>
        <w:t>国际电联</w:t>
      </w:r>
      <w:r w:rsidR="008165C1" w:rsidRPr="00F11716">
        <w:rPr>
          <w:sz w:val="22"/>
          <w:szCs w:val="22"/>
          <w:lang w:val="zh-CN" w:eastAsia="zh-CN"/>
        </w:rPr>
        <w:t>）代表联合国粮农组织（</w:t>
      </w:r>
      <w:r w:rsidR="008165C1" w:rsidRPr="00F11716">
        <w:rPr>
          <w:sz w:val="22"/>
          <w:szCs w:val="22"/>
          <w:lang w:val="zh-CN" w:eastAsia="zh-CN"/>
        </w:rPr>
        <w:t>FAO</w:t>
      </w:r>
      <w:r w:rsidR="008165C1" w:rsidRPr="00F11716">
        <w:rPr>
          <w:sz w:val="22"/>
          <w:szCs w:val="22"/>
          <w:lang w:val="zh-CN" w:eastAsia="zh-CN"/>
        </w:rPr>
        <w:t>）、国际劳工组织国际培训中心（</w:t>
      </w:r>
      <w:r w:rsidR="008165C1" w:rsidRPr="00F11716">
        <w:rPr>
          <w:sz w:val="22"/>
          <w:szCs w:val="22"/>
          <w:lang w:val="zh-CN" w:eastAsia="zh-CN"/>
        </w:rPr>
        <w:t>ITCILO</w:t>
      </w:r>
      <w:r w:rsidR="008165C1" w:rsidRPr="00F11716">
        <w:rPr>
          <w:sz w:val="22"/>
          <w:szCs w:val="22"/>
          <w:lang w:val="zh-CN" w:eastAsia="zh-CN"/>
        </w:rPr>
        <w:t>）、联合国开发计划署（</w:t>
      </w:r>
      <w:r w:rsidR="008165C1" w:rsidRPr="00F11716">
        <w:rPr>
          <w:sz w:val="22"/>
          <w:szCs w:val="22"/>
          <w:lang w:val="zh-CN" w:eastAsia="zh-CN"/>
        </w:rPr>
        <w:t>UNDP</w:t>
      </w:r>
      <w:r w:rsidR="008165C1" w:rsidRPr="00F11716">
        <w:rPr>
          <w:sz w:val="22"/>
          <w:szCs w:val="22"/>
          <w:lang w:val="zh-CN" w:eastAsia="zh-CN"/>
        </w:rPr>
        <w:t>）、联合国非洲经济委员会（</w:t>
      </w:r>
      <w:r w:rsidR="008165C1" w:rsidRPr="00F11716">
        <w:rPr>
          <w:sz w:val="22"/>
          <w:szCs w:val="22"/>
          <w:lang w:val="zh-CN" w:eastAsia="zh-CN"/>
        </w:rPr>
        <w:t>UNECA</w:t>
      </w:r>
      <w:r w:rsidR="008165C1" w:rsidRPr="00F11716">
        <w:rPr>
          <w:sz w:val="22"/>
          <w:szCs w:val="22"/>
          <w:lang w:val="zh-CN" w:eastAsia="zh-CN"/>
        </w:rPr>
        <w:t>）、联合国欧洲经济委员会（</w:t>
      </w:r>
      <w:r w:rsidR="008165C1" w:rsidRPr="00F11716">
        <w:rPr>
          <w:sz w:val="22"/>
          <w:szCs w:val="22"/>
          <w:lang w:val="zh-CN" w:eastAsia="zh-CN"/>
        </w:rPr>
        <w:t>UNECE</w:t>
      </w:r>
      <w:r w:rsidR="008165C1" w:rsidRPr="00F11716">
        <w:rPr>
          <w:sz w:val="22"/>
          <w:szCs w:val="22"/>
          <w:lang w:val="zh-CN" w:eastAsia="zh-CN"/>
        </w:rPr>
        <w:t>）、联合国拉丁美洲及加勒比经济委员会（</w:t>
      </w:r>
      <w:r w:rsidR="008165C1" w:rsidRPr="00F11716">
        <w:rPr>
          <w:sz w:val="22"/>
          <w:szCs w:val="22"/>
          <w:lang w:val="zh-CN" w:eastAsia="zh-CN"/>
        </w:rPr>
        <w:t>UNECLAC</w:t>
      </w:r>
      <w:r w:rsidR="008165C1" w:rsidRPr="00F11716">
        <w:rPr>
          <w:sz w:val="22"/>
          <w:szCs w:val="22"/>
          <w:lang w:val="zh-CN" w:eastAsia="zh-CN"/>
        </w:rPr>
        <w:t>），联合国危地马拉、联合国人居署（</w:t>
      </w:r>
      <w:r w:rsidR="008165C1" w:rsidRPr="00F11716">
        <w:rPr>
          <w:sz w:val="22"/>
          <w:szCs w:val="22"/>
          <w:lang w:val="zh-CN" w:eastAsia="zh-CN"/>
        </w:rPr>
        <w:t>UN-Habitat</w:t>
      </w:r>
      <w:r w:rsidR="008165C1" w:rsidRPr="00F11716">
        <w:rPr>
          <w:sz w:val="22"/>
          <w:szCs w:val="22"/>
          <w:lang w:val="zh-CN" w:eastAsia="zh-CN"/>
        </w:rPr>
        <w:t>）、联合国合办职员养恤基金（</w:t>
      </w:r>
      <w:r w:rsidR="008165C1" w:rsidRPr="00F11716">
        <w:rPr>
          <w:sz w:val="22"/>
          <w:szCs w:val="22"/>
          <w:lang w:val="zh-CN" w:eastAsia="zh-CN"/>
        </w:rPr>
        <w:t>UNJSPF</w:t>
      </w:r>
      <w:r w:rsidR="008165C1" w:rsidRPr="00F11716">
        <w:rPr>
          <w:sz w:val="22"/>
          <w:szCs w:val="22"/>
          <w:lang w:val="zh-CN" w:eastAsia="zh-CN"/>
        </w:rPr>
        <w:t>）、联合国国际计算中心（</w:t>
      </w:r>
      <w:r w:rsidR="008165C1" w:rsidRPr="00F11716">
        <w:rPr>
          <w:sz w:val="22"/>
          <w:szCs w:val="22"/>
          <w:lang w:val="zh-CN" w:eastAsia="zh-CN"/>
        </w:rPr>
        <w:t>UNICC</w:t>
      </w:r>
      <w:r w:rsidR="008165C1" w:rsidRPr="00F11716">
        <w:rPr>
          <w:sz w:val="22"/>
          <w:szCs w:val="22"/>
          <w:lang w:val="zh-CN" w:eastAsia="zh-CN"/>
        </w:rPr>
        <w:t>）、联合国创新网络、联合国儿童基金会（</w:t>
      </w:r>
      <w:r w:rsidR="008165C1" w:rsidRPr="00F11716">
        <w:rPr>
          <w:sz w:val="22"/>
          <w:szCs w:val="22"/>
          <w:lang w:val="zh-CN" w:eastAsia="zh-CN"/>
        </w:rPr>
        <w:t>UNICEF</w:t>
      </w:r>
      <w:r w:rsidR="008165C1" w:rsidRPr="00F11716">
        <w:rPr>
          <w:sz w:val="22"/>
          <w:szCs w:val="22"/>
          <w:lang w:val="zh-CN" w:eastAsia="zh-CN"/>
        </w:rPr>
        <w:t>）、联合国旅游局、联合国社会发展研究所（</w:t>
      </w:r>
      <w:r w:rsidR="008165C1" w:rsidRPr="00F11716">
        <w:rPr>
          <w:sz w:val="22"/>
          <w:szCs w:val="22"/>
          <w:lang w:val="zh-CN" w:eastAsia="zh-CN"/>
        </w:rPr>
        <w:t>UNRISD</w:t>
      </w:r>
      <w:r w:rsidR="008165C1" w:rsidRPr="00F11716">
        <w:rPr>
          <w:sz w:val="22"/>
          <w:szCs w:val="22"/>
          <w:lang w:val="zh-CN" w:eastAsia="zh-CN"/>
        </w:rPr>
        <w:t>）、联合国大学（</w:t>
      </w:r>
      <w:r w:rsidR="008165C1" w:rsidRPr="00F11716">
        <w:rPr>
          <w:sz w:val="22"/>
          <w:szCs w:val="22"/>
          <w:lang w:val="zh-CN" w:eastAsia="zh-CN"/>
        </w:rPr>
        <w:t>UNU</w:t>
      </w:r>
      <w:r w:rsidR="008165C1" w:rsidRPr="00F11716">
        <w:rPr>
          <w:sz w:val="22"/>
          <w:szCs w:val="22"/>
          <w:lang w:val="zh-CN" w:eastAsia="zh-CN"/>
        </w:rPr>
        <w:t>）、联合国未来实验室、世界知识产权组织（</w:t>
      </w:r>
      <w:r w:rsidR="008165C1" w:rsidRPr="00F11716">
        <w:rPr>
          <w:sz w:val="22"/>
          <w:szCs w:val="22"/>
          <w:lang w:val="zh-CN" w:eastAsia="zh-CN"/>
        </w:rPr>
        <w:t>WIPO</w:t>
      </w:r>
      <w:r w:rsidR="008165C1" w:rsidRPr="00F11716">
        <w:rPr>
          <w:sz w:val="22"/>
          <w:szCs w:val="22"/>
          <w:lang w:val="zh-CN" w:eastAsia="zh-CN"/>
        </w:rPr>
        <w:t>），世界银行和世界气象组织（</w:t>
      </w:r>
      <w:r w:rsidR="008165C1" w:rsidRPr="00F11716">
        <w:rPr>
          <w:sz w:val="22"/>
          <w:szCs w:val="22"/>
          <w:lang w:val="zh-CN" w:eastAsia="zh-CN"/>
        </w:rPr>
        <w:t>WMO</w:t>
      </w:r>
      <w:r w:rsidR="008165C1" w:rsidRPr="00F11716">
        <w:rPr>
          <w:sz w:val="22"/>
          <w:szCs w:val="22"/>
          <w:lang w:val="zh-CN" w:eastAsia="zh-CN"/>
        </w:rPr>
        <w:t>）</w:t>
      </w:r>
      <w:proofErr w:type="gramStart"/>
      <w:r w:rsidR="008165C1" w:rsidRPr="00F11716">
        <w:rPr>
          <w:sz w:val="22"/>
          <w:szCs w:val="22"/>
          <w:lang w:val="zh-CN" w:eastAsia="zh-CN"/>
        </w:rPr>
        <w:t>谨邀请</w:t>
      </w:r>
      <w:proofErr w:type="gramEnd"/>
      <w:r w:rsidR="008165C1" w:rsidRPr="00F11716">
        <w:rPr>
          <w:sz w:val="22"/>
          <w:szCs w:val="22"/>
          <w:lang w:val="zh-CN" w:eastAsia="zh-CN"/>
        </w:rPr>
        <w:t>您参加</w:t>
      </w:r>
      <w:hyperlink r:id="rId10" w:history="1">
        <w:r w:rsidR="008165C1" w:rsidRPr="00F11716">
          <w:rPr>
            <w:rStyle w:val="Hyperlink"/>
            <w:b/>
            <w:bCs/>
            <w:sz w:val="22"/>
            <w:szCs w:val="22"/>
            <w:lang w:val="zh-CN" w:eastAsia="zh-CN"/>
          </w:rPr>
          <w:t>第三</w:t>
        </w:r>
        <w:r w:rsidR="0091435B" w:rsidRPr="00F11716">
          <w:rPr>
            <w:rStyle w:val="Hyperlink"/>
            <w:b/>
            <w:bCs/>
            <w:sz w:val="22"/>
            <w:szCs w:val="22"/>
            <w:lang w:val="zh-CN" w:eastAsia="zh-CN"/>
          </w:rPr>
          <w:t>个</w:t>
        </w:r>
        <w:r w:rsidR="008165C1" w:rsidRPr="00F11716">
          <w:rPr>
            <w:rStyle w:val="Hyperlink"/>
            <w:b/>
            <w:bCs/>
            <w:sz w:val="22"/>
            <w:szCs w:val="22"/>
            <w:lang w:val="zh-CN" w:eastAsia="zh-CN"/>
          </w:rPr>
          <w:t>联合国虚拟世界日</w:t>
        </w:r>
      </w:hyperlink>
      <w:r w:rsidR="008165C1" w:rsidRPr="00F11716">
        <w:rPr>
          <w:sz w:val="22"/>
          <w:szCs w:val="22"/>
          <w:lang w:val="zh-CN" w:eastAsia="zh-CN"/>
        </w:rPr>
        <w:t>。该活动将于</w:t>
      </w:r>
      <w:r w:rsidR="008165C1" w:rsidRPr="00F11716">
        <w:rPr>
          <w:sz w:val="22"/>
          <w:szCs w:val="22"/>
          <w:lang w:val="zh-CN" w:eastAsia="zh-CN"/>
        </w:rPr>
        <w:t>2026</w:t>
      </w:r>
      <w:r w:rsidR="008165C1" w:rsidRPr="00F11716">
        <w:rPr>
          <w:sz w:val="22"/>
          <w:szCs w:val="22"/>
          <w:lang w:val="zh-CN" w:eastAsia="zh-CN"/>
        </w:rPr>
        <w:t>年</w:t>
      </w:r>
      <w:r w:rsidR="008165C1" w:rsidRPr="00F11716">
        <w:rPr>
          <w:sz w:val="22"/>
          <w:szCs w:val="22"/>
          <w:lang w:val="zh-CN" w:eastAsia="zh-CN"/>
        </w:rPr>
        <w:t>5</w:t>
      </w:r>
      <w:r w:rsidR="008165C1" w:rsidRPr="00F11716">
        <w:rPr>
          <w:sz w:val="22"/>
          <w:szCs w:val="22"/>
          <w:lang w:val="zh-CN" w:eastAsia="zh-CN"/>
        </w:rPr>
        <w:t>月</w:t>
      </w:r>
      <w:r w:rsidR="008165C1" w:rsidRPr="00F11716">
        <w:rPr>
          <w:sz w:val="22"/>
          <w:szCs w:val="22"/>
          <w:lang w:val="zh-CN" w:eastAsia="zh-CN"/>
        </w:rPr>
        <w:t>11</w:t>
      </w:r>
      <w:r w:rsidR="008165C1" w:rsidRPr="00F11716">
        <w:rPr>
          <w:sz w:val="22"/>
          <w:szCs w:val="22"/>
          <w:lang w:val="zh-CN" w:eastAsia="zh-CN"/>
        </w:rPr>
        <w:t>日至</w:t>
      </w:r>
      <w:r w:rsidR="008165C1" w:rsidRPr="00F11716">
        <w:rPr>
          <w:sz w:val="22"/>
          <w:szCs w:val="22"/>
          <w:lang w:val="zh-CN" w:eastAsia="zh-CN"/>
        </w:rPr>
        <w:t>12</w:t>
      </w:r>
      <w:r w:rsidR="008165C1" w:rsidRPr="00F11716">
        <w:rPr>
          <w:sz w:val="22"/>
          <w:szCs w:val="22"/>
          <w:lang w:val="zh-CN" w:eastAsia="zh-CN"/>
        </w:rPr>
        <w:t>日在瑞士日内瓦举行，由国际电联承办</w:t>
      </w:r>
      <w:r w:rsidRPr="00F11716">
        <w:rPr>
          <w:sz w:val="22"/>
          <w:szCs w:val="22"/>
          <w:lang w:val="zh-CN" w:eastAsia="zh-CN"/>
        </w:rPr>
        <w:t>。</w:t>
      </w:r>
      <w:hyperlink r:id="rId11" w:history="1"/>
    </w:p>
    <w:p w14:paraId="192C2693" w14:textId="1F2C5576" w:rsidR="000C43BC" w:rsidRPr="00F11716" w:rsidRDefault="000C43BC" w:rsidP="000C43BC">
      <w:pPr>
        <w:rPr>
          <w:rFonts w:cs="Calibri"/>
          <w:sz w:val="22"/>
          <w:szCs w:val="22"/>
          <w:lang w:eastAsia="zh-CN"/>
        </w:rPr>
      </w:pPr>
      <w:r w:rsidRPr="00F11716">
        <w:rPr>
          <w:sz w:val="22"/>
          <w:szCs w:val="22"/>
          <w:lang w:val="zh-CN" w:eastAsia="zh-CN"/>
        </w:rPr>
        <w:t>2</w:t>
      </w:r>
      <w:r w:rsidRPr="00F11716">
        <w:rPr>
          <w:sz w:val="22"/>
          <w:szCs w:val="22"/>
          <w:lang w:val="zh-CN" w:eastAsia="zh-CN"/>
        </w:rPr>
        <w:tab/>
      </w:r>
      <w:r w:rsidR="008165C1" w:rsidRPr="00F11716">
        <w:rPr>
          <w:sz w:val="22"/>
          <w:szCs w:val="22"/>
          <w:lang w:val="zh-CN" w:eastAsia="zh-CN"/>
        </w:rPr>
        <w:t>第三个联合国虚拟世界日为决策</w:t>
      </w:r>
      <w:r w:rsidR="0091435B" w:rsidRPr="00F11716">
        <w:rPr>
          <w:rFonts w:hint="eastAsia"/>
          <w:sz w:val="22"/>
          <w:szCs w:val="22"/>
          <w:lang w:val="zh-CN" w:eastAsia="zh-CN"/>
        </w:rPr>
        <w:t>机构</w:t>
      </w:r>
      <w:r w:rsidR="008165C1" w:rsidRPr="00F11716">
        <w:rPr>
          <w:sz w:val="22"/>
          <w:szCs w:val="22"/>
          <w:lang w:val="zh-CN" w:eastAsia="zh-CN"/>
        </w:rPr>
        <w:t>、城市领导人、</w:t>
      </w:r>
      <w:r w:rsidR="00501313" w:rsidRPr="00F11716">
        <w:rPr>
          <w:rFonts w:hint="eastAsia"/>
          <w:sz w:val="22"/>
          <w:szCs w:val="22"/>
          <w:lang w:val="zh-CN" w:eastAsia="zh-CN"/>
        </w:rPr>
        <w:t>业界</w:t>
      </w:r>
      <w:r w:rsidR="008165C1" w:rsidRPr="00F11716">
        <w:rPr>
          <w:sz w:val="22"/>
          <w:szCs w:val="22"/>
          <w:lang w:val="zh-CN" w:eastAsia="zh-CN"/>
        </w:rPr>
        <w:t>和学术界提供了一个独特的联合国全球平台，以塑造人工智能支持的虚拟世界、空间智能和城市元宇宙如何支持可信的、以人为本的数字化转型。它将政府、城市、联合国实体、</w:t>
      </w:r>
      <w:r w:rsidR="00501313" w:rsidRPr="00F11716">
        <w:rPr>
          <w:rFonts w:hint="eastAsia"/>
          <w:sz w:val="22"/>
          <w:szCs w:val="22"/>
          <w:lang w:val="zh-CN" w:eastAsia="zh-CN"/>
        </w:rPr>
        <w:t>业界</w:t>
      </w:r>
      <w:r w:rsidR="008165C1" w:rsidRPr="00F11716">
        <w:rPr>
          <w:sz w:val="22"/>
          <w:szCs w:val="22"/>
          <w:lang w:val="zh-CN" w:eastAsia="zh-CN"/>
        </w:rPr>
        <w:t>和标准专家汇聚一堂，将政策重点与实际实施、伙伴关系和国际标准联系起来，帮助在国家和地方层面将全球承诺转化为可衡量的行动</w:t>
      </w:r>
      <w:r w:rsidRPr="00F11716">
        <w:rPr>
          <w:sz w:val="22"/>
          <w:szCs w:val="22"/>
          <w:lang w:val="zh-CN" w:eastAsia="zh-CN"/>
        </w:rPr>
        <w:t>。</w:t>
      </w:r>
    </w:p>
    <w:p w14:paraId="4DD09624" w14:textId="17115AB6" w:rsidR="000C43BC" w:rsidRPr="00F11716" w:rsidRDefault="000C43BC" w:rsidP="000C43BC">
      <w:pPr>
        <w:rPr>
          <w:rFonts w:cs="Calibri"/>
          <w:sz w:val="22"/>
          <w:szCs w:val="22"/>
          <w:lang w:eastAsia="zh-CN"/>
        </w:rPr>
      </w:pPr>
      <w:r w:rsidRPr="00F11716">
        <w:rPr>
          <w:sz w:val="22"/>
          <w:szCs w:val="22"/>
          <w:lang w:val="zh-CN" w:eastAsia="zh-CN"/>
        </w:rPr>
        <w:t>3</w:t>
      </w:r>
      <w:r w:rsidRPr="00F11716">
        <w:rPr>
          <w:sz w:val="22"/>
          <w:szCs w:val="22"/>
          <w:lang w:val="zh-CN" w:eastAsia="zh-CN"/>
        </w:rPr>
        <w:tab/>
      </w:r>
      <w:r w:rsidR="008165C1" w:rsidRPr="00F11716">
        <w:rPr>
          <w:sz w:val="22"/>
          <w:szCs w:val="22"/>
          <w:lang w:val="zh-CN" w:eastAsia="zh-CN"/>
        </w:rPr>
        <w:t>此次活动将包括大使圆桌会议，探讨在人工智能、空间智能和城市宇宙时代，</w:t>
      </w:r>
      <w:r w:rsidR="00501313" w:rsidRPr="00F11716">
        <w:rPr>
          <w:rFonts w:hint="eastAsia"/>
          <w:sz w:val="22"/>
          <w:szCs w:val="22"/>
          <w:lang w:val="zh-CN" w:eastAsia="zh-CN"/>
        </w:rPr>
        <w:t>《</w:t>
      </w:r>
      <w:r w:rsidR="008165C1" w:rsidRPr="00F11716">
        <w:rPr>
          <w:sz w:val="22"/>
          <w:szCs w:val="22"/>
          <w:lang w:val="zh-CN" w:eastAsia="zh-CN"/>
        </w:rPr>
        <w:t>全球数字契约</w:t>
      </w:r>
      <w:r w:rsidR="00501313" w:rsidRPr="00F11716">
        <w:rPr>
          <w:rFonts w:hint="eastAsia"/>
          <w:sz w:val="22"/>
          <w:szCs w:val="22"/>
          <w:lang w:val="zh-CN" w:eastAsia="zh-CN"/>
        </w:rPr>
        <w:t>》</w:t>
      </w:r>
      <w:r w:rsidR="008165C1" w:rsidRPr="00F11716">
        <w:rPr>
          <w:sz w:val="22"/>
          <w:szCs w:val="22"/>
          <w:lang w:val="zh-CN" w:eastAsia="zh-CN"/>
        </w:rPr>
        <w:t>如何从共同的全球承诺转变为现实世界的交付</w:t>
      </w:r>
      <w:r w:rsidRPr="00F11716">
        <w:rPr>
          <w:sz w:val="22"/>
          <w:szCs w:val="22"/>
          <w:lang w:val="zh-CN" w:eastAsia="zh-CN"/>
        </w:rPr>
        <w:t>。</w:t>
      </w:r>
    </w:p>
    <w:p w14:paraId="4F548C3D" w14:textId="6A2A205A" w:rsidR="008165C1" w:rsidRPr="00F11716" w:rsidRDefault="000C43BC" w:rsidP="00F11716">
      <w:pPr>
        <w:keepNext/>
        <w:keepLines/>
        <w:rPr>
          <w:rFonts w:cstheme="minorHAnsi"/>
          <w:sz w:val="22"/>
          <w:szCs w:val="22"/>
          <w:lang w:eastAsia="zh-CN"/>
        </w:rPr>
      </w:pPr>
      <w:r w:rsidRPr="00F11716">
        <w:rPr>
          <w:sz w:val="22"/>
          <w:szCs w:val="22"/>
          <w:lang w:val="zh-CN" w:eastAsia="zh-CN"/>
        </w:rPr>
        <w:lastRenderedPageBreak/>
        <w:t>4</w:t>
      </w:r>
      <w:r w:rsidRPr="00F11716">
        <w:rPr>
          <w:sz w:val="22"/>
          <w:szCs w:val="22"/>
          <w:lang w:val="zh-CN" w:eastAsia="zh-CN"/>
        </w:rPr>
        <w:tab/>
      </w:r>
      <w:r w:rsidR="008165C1" w:rsidRPr="00F11716">
        <w:rPr>
          <w:sz w:val="22"/>
          <w:szCs w:val="22"/>
          <w:lang w:val="zh-CN" w:eastAsia="zh-CN"/>
        </w:rPr>
        <w:t>联合国虚拟世界日将与以下</w:t>
      </w:r>
      <w:r w:rsidR="00501313" w:rsidRPr="00F11716">
        <w:rPr>
          <w:rFonts w:hint="eastAsia"/>
          <w:sz w:val="22"/>
          <w:szCs w:val="22"/>
          <w:lang w:val="zh-CN" w:eastAsia="zh-CN"/>
        </w:rPr>
        <w:t>活动</w:t>
      </w:r>
      <w:r w:rsidR="008165C1" w:rsidRPr="00F11716">
        <w:rPr>
          <w:sz w:val="22"/>
          <w:szCs w:val="22"/>
          <w:lang w:val="zh-CN" w:eastAsia="zh-CN"/>
        </w:rPr>
        <w:t>同期举办：</w:t>
      </w:r>
    </w:p>
    <w:p w14:paraId="0D6B2347" w14:textId="641812D7" w:rsidR="00501313" w:rsidRPr="00F11716" w:rsidRDefault="008165C1" w:rsidP="00F11716">
      <w:pPr>
        <w:pStyle w:val="ListParagraph"/>
        <w:keepNext/>
        <w:keepLines/>
        <w:numPr>
          <w:ilvl w:val="0"/>
          <w:numId w:val="5"/>
        </w:numPr>
        <w:ind w:leftChars="0" w:hanging="720"/>
        <w:rPr>
          <w:rFonts w:asciiTheme="minorHAnsi" w:hAnsiTheme="minorHAnsi" w:cstheme="minorHAnsi"/>
          <w:sz w:val="22"/>
          <w:szCs w:val="22"/>
          <w:lang w:eastAsia="zh-CN"/>
        </w:rPr>
      </w:pPr>
      <w:hyperlink r:id="rId12" w:history="1"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zh-CN"/>
          </w:rPr>
          <w:t>第二届城市元宇宙大会（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zh-CN"/>
          </w:rPr>
          <w:t>2026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zh-CN"/>
          </w:rPr>
          <w:t>年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zh-CN"/>
          </w:rPr>
          <w:t>5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zh-CN"/>
          </w:rPr>
          <w:t>月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zh-CN"/>
          </w:rPr>
          <w:t>12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zh-CN"/>
          </w:rPr>
          <w:t>日）</w:t>
        </w:r>
      </w:hyperlink>
      <w:r w:rsidRPr="00F11716">
        <w:rPr>
          <w:rFonts w:asciiTheme="minorHAnsi" w:hAnsiTheme="minorHAnsi" w:cstheme="minorHAnsi"/>
          <w:sz w:val="22"/>
          <w:szCs w:val="22"/>
          <w:lang w:val="zh-CN"/>
        </w:rPr>
        <w:t>，以及</w:t>
      </w:r>
    </w:p>
    <w:p w14:paraId="561CBA85" w14:textId="5F38C634" w:rsidR="000C43BC" w:rsidRPr="00F11716" w:rsidRDefault="00501313" w:rsidP="00F11716">
      <w:pPr>
        <w:pStyle w:val="ListParagraph"/>
        <w:keepNext/>
        <w:keepLines/>
        <w:numPr>
          <w:ilvl w:val="0"/>
          <w:numId w:val="5"/>
        </w:numPr>
        <w:ind w:leftChars="0" w:hanging="720"/>
        <w:jc w:val="left"/>
        <w:rPr>
          <w:rFonts w:cs="Calibri"/>
          <w:sz w:val="22"/>
          <w:szCs w:val="22"/>
          <w:lang w:eastAsia="zh-CN"/>
        </w:rPr>
      </w:pPr>
      <w:hyperlink r:id="rId13" w:history="1"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en-GB" w:eastAsia="zh-CN"/>
          </w:rPr>
          <w:t>ITU-T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en-GB" w:eastAsia="zh-CN"/>
          </w:rPr>
          <w:t>第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en-GB" w:eastAsia="zh-CN"/>
          </w:rPr>
          <w:t>20</w:t>
        </w:r>
        <w:r w:rsidRPr="00F11716">
          <w:rPr>
            <w:rStyle w:val="Hyperlink"/>
            <w:rFonts w:asciiTheme="minorHAnsi" w:hAnsiTheme="minorHAnsi" w:cstheme="minorHAnsi"/>
            <w:sz w:val="22"/>
            <w:szCs w:val="22"/>
            <w:lang w:val="en-GB" w:eastAsia="zh-CN"/>
          </w:rPr>
          <w:t>研究组（物联网、数字孪生和可持续智慧城市及社区）</w:t>
        </w:r>
        <w:r w:rsidR="008165C1" w:rsidRPr="00F11716">
          <w:rPr>
            <w:rStyle w:val="Hyperlink"/>
            <w:rFonts w:asciiTheme="minorHAnsi" w:hAnsiTheme="minorHAnsi" w:cstheme="minorHAnsi"/>
            <w:sz w:val="22"/>
            <w:szCs w:val="22"/>
            <w:lang w:val="zh-CN" w:eastAsia="zh-CN"/>
          </w:rPr>
          <w:t>会议</w:t>
        </w:r>
        <w:r w:rsidR="00F11716">
          <w:rPr>
            <w:rStyle w:val="Hyperlink"/>
            <w:rFonts w:asciiTheme="minorHAnsi" w:hAnsiTheme="minorHAnsi" w:cstheme="minorHAnsi"/>
            <w:sz w:val="22"/>
            <w:szCs w:val="22"/>
            <w:lang w:eastAsia="zh-CN"/>
          </w:rPr>
          <w:br/>
        </w:r>
        <w:r w:rsidR="008165C1" w:rsidRPr="00F11716">
          <w:rPr>
            <w:rStyle w:val="Hyperlink"/>
            <w:rFonts w:asciiTheme="minorHAnsi" w:hAnsiTheme="minorHAnsi" w:cstheme="minorHAnsi"/>
            <w:sz w:val="22"/>
            <w:szCs w:val="22"/>
            <w:lang w:val="zh-CN" w:eastAsia="zh-CN"/>
          </w:rPr>
          <w:t>（</w:t>
        </w:r>
        <w:r w:rsidR="008165C1" w:rsidRPr="00F11716">
          <w:rPr>
            <w:rStyle w:val="Hyperlink"/>
            <w:rFonts w:asciiTheme="minorHAnsi" w:hAnsiTheme="minorHAnsi" w:cstheme="minorHAnsi"/>
            <w:sz w:val="22"/>
            <w:szCs w:val="22"/>
            <w:lang w:val="zh-CN" w:eastAsia="zh-CN"/>
          </w:rPr>
          <w:t>2026</w:t>
        </w:r>
        <w:r w:rsidR="008165C1" w:rsidRPr="00F11716">
          <w:rPr>
            <w:rStyle w:val="Hyperlink"/>
            <w:rFonts w:asciiTheme="minorHAnsi" w:hAnsiTheme="minorHAnsi" w:cstheme="minorHAnsi"/>
            <w:sz w:val="22"/>
            <w:szCs w:val="22"/>
            <w:lang w:val="zh-CN" w:eastAsia="zh-CN"/>
          </w:rPr>
          <w:t>年</w:t>
        </w:r>
        <w:r w:rsidR="008165C1" w:rsidRPr="00F11716">
          <w:rPr>
            <w:rStyle w:val="Hyperlink"/>
            <w:rFonts w:asciiTheme="minorHAnsi" w:hAnsiTheme="minorHAnsi" w:cstheme="minorHAnsi"/>
            <w:sz w:val="22"/>
            <w:szCs w:val="22"/>
            <w:lang w:val="zh-CN" w:eastAsia="zh-CN"/>
          </w:rPr>
          <w:t>5</w:t>
        </w:r>
        <w:r w:rsidR="008165C1" w:rsidRPr="00F11716">
          <w:rPr>
            <w:rStyle w:val="Hyperlink"/>
            <w:rFonts w:asciiTheme="minorHAnsi" w:hAnsiTheme="minorHAnsi" w:cstheme="minorHAnsi"/>
            <w:sz w:val="22"/>
            <w:szCs w:val="22"/>
            <w:lang w:val="zh-CN" w:eastAsia="zh-CN"/>
          </w:rPr>
          <w:t>月</w:t>
        </w:r>
        <w:r w:rsidR="008165C1" w:rsidRPr="00F11716">
          <w:rPr>
            <w:rStyle w:val="Hyperlink"/>
            <w:rFonts w:asciiTheme="minorHAnsi" w:hAnsiTheme="minorHAnsi" w:cstheme="minorHAnsi"/>
            <w:sz w:val="22"/>
            <w:szCs w:val="22"/>
            <w:lang w:val="zh-CN" w:eastAsia="zh-CN"/>
          </w:rPr>
          <w:t>12-21</w:t>
        </w:r>
        <w:r w:rsidR="008165C1" w:rsidRPr="00F11716">
          <w:rPr>
            <w:rStyle w:val="Hyperlink"/>
            <w:rFonts w:asciiTheme="minorHAnsi" w:hAnsiTheme="minorHAnsi" w:cstheme="minorHAnsi"/>
            <w:sz w:val="22"/>
            <w:szCs w:val="22"/>
            <w:lang w:val="zh-CN" w:eastAsia="zh-CN"/>
          </w:rPr>
          <w:t>日）</w:t>
        </w:r>
      </w:hyperlink>
      <w:r w:rsidR="008165C1" w:rsidRPr="00F11716">
        <w:rPr>
          <w:rFonts w:asciiTheme="minorHAnsi" w:hAnsiTheme="minorHAnsi" w:cstheme="minorHAnsi"/>
          <w:sz w:val="22"/>
          <w:szCs w:val="22"/>
          <w:lang w:val="zh-CN" w:eastAsia="zh-CN"/>
        </w:rPr>
        <w:t>。</w:t>
      </w:r>
      <w:hyperlink r:id="rId14" w:history="1"/>
    </w:p>
    <w:p w14:paraId="272C592F" w14:textId="2E2D8051" w:rsidR="000C43BC" w:rsidRPr="00F11716" w:rsidRDefault="000C43BC" w:rsidP="000C43BC">
      <w:pPr>
        <w:rPr>
          <w:rFonts w:cs="Calibri"/>
          <w:sz w:val="22"/>
          <w:szCs w:val="22"/>
          <w:lang w:eastAsia="zh-CN"/>
        </w:rPr>
      </w:pPr>
      <w:r w:rsidRPr="00F11716">
        <w:rPr>
          <w:sz w:val="22"/>
          <w:szCs w:val="22"/>
          <w:lang w:val="zh-CN" w:eastAsia="zh-CN"/>
        </w:rPr>
        <w:t>5</w:t>
      </w:r>
      <w:r w:rsidRPr="00F11716">
        <w:rPr>
          <w:sz w:val="22"/>
          <w:szCs w:val="22"/>
          <w:lang w:val="zh-CN" w:eastAsia="zh-CN"/>
        </w:rPr>
        <w:tab/>
      </w:r>
      <w:r w:rsidR="008165C1" w:rsidRPr="00F11716">
        <w:rPr>
          <w:sz w:val="22"/>
          <w:szCs w:val="22"/>
          <w:lang w:val="zh-CN" w:eastAsia="zh-CN"/>
        </w:rPr>
        <w:t>所有部门和相关学科的个人专家和组织均可免费参加</w:t>
      </w:r>
      <w:r w:rsidR="00076D11" w:rsidRPr="00F11716">
        <w:rPr>
          <w:sz w:val="22"/>
          <w:szCs w:val="22"/>
          <w:lang w:val="zh-CN" w:eastAsia="zh-CN"/>
        </w:rPr>
        <w:t>联合国虚拟世界日</w:t>
      </w:r>
      <w:r w:rsidR="00076D11" w:rsidRPr="00F11716">
        <w:rPr>
          <w:rFonts w:hint="eastAsia"/>
          <w:sz w:val="22"/>
          <w:szCs w:val="22"/>
          <w:lang w:val="zh-CN" w:eastAsia="zh-CN"/>
        </w:rPr>
        <w:t>活动</w:t>
      </w:r>
      <w:r w:rsidRPr="00F11716">
        <w:rPr>
          <w:sz w:val="22"/>
          <w:szCs w:val="22"/>
          <w:lang w:val="zh-CN" w:eastAsia="zh-CN"/>
        </w:rPr>
        <w:t>。</w:t>
      </w:r>
      <w:hyperlink r:id="rId15" w:history="1"/>
    </w:p>
    <w:p w14:paraId="6B6623E2" w14:textId="04F33327" w:rsidR="000C43BC" w:rsidRPr="00F11716" w:rsidRDefault="000C43BC" w:rsidP="000C43BC">
      <w:pPr>
        <w:rPr>
          <w:rFonts w:cs="Calibri"/>
          <w:sz w:val="22"/>
          <w:szCs w:val="22"/>
          <w:lang w:eastAsia="zh-CN"/>
        </w:rPr>
      </w:pPr>
      <w:r w:rsidRPr="00F11716">
        <w:rPr>
          <w:sz w:val="22"/>
          <w:szCs w:val="22"/>
          <w:lang w:val="zh-CN" w:eastAsia="zh-CN"/>
        </w:rPr>
        <w:t>6</w:t>
      </w:r>
      <w:r w:rsidRPr="00F11716">
        <w:rPr>
          <w:sz w:val="22"/>
          <w:szCs w:val="22"/>
          <w:lang w:val="zh-CN" w:eastAsia="zh-CN"/>
        </w:rPr>
        <w:tab/>
      </w:r>
      <w:r w:rsidR="008165C1" w:rsidRPr="00F11716">
        <w:rPr>
          <w:sz w:val="22"/>
          <w:szCs w:val="22"/>
          <w:lang w:val="zh-CN" w:eastAsia="zh-CN"/>
        </w:rPr>
        <w:t>为使国际电联能够做出必要的会务安排，请与会者尽快通过</w:t>
      </w:r>
      <w:hyperlink r:id="rId16" w:history="1">
        <w:r w:rsidR="00076D11" w:rsidRPr="00F11716">
          <w:rPr>
            <w:rStyle w:val="Hyperlink"/>
            <w:sz w:val="22"/>
            <w:szCs w:val="22"/>
            <w:lang w:val="zh-CN" w:eastAsia="zh-CN"/>
          </w:rPr>
          <w:t>联合国虚拟世界日</w:t>
        </w:r>
        <w:r w:rsidR="008165C1" w:rsidRPr="00F11716">
          <w:rPr>
            <w:rStyle w:val="Hyperlink"/>
            <w:sz w:val="22"/>
            <w:szCs w:val="22"/>
            <w:lang w:val="zh-CN" w:eastAsia="zh-CN"/>
          </w:rPr>
          <w:t>主页</w:t>
        </w:r>
      </w:hyperlink>
      <w:r w:rsidR="008165C1" w:rsidRPr="00F11716">
        <w:rPr>
          <w:sz w:val="22"/>
          <w:szCs w:val="22"/>
          <w:lang w:val="zh-CN" w:eastAsia="zh-CN"/>
        </w:rPr>
        <w:t>进行</w:t>
      </w:r>
      <w:r w:rsidR="00076D11" w:rsidRPr="00F11716">
        <w:rPr>
          <w:rFonts w:hint="eastAsia"/>
          <w:sz w:val="22"/>
          <w:szCs w:val="22"/>
          <w:lang w:val="zh-CN" w:eastAsia="zh-CN"/>
        </w:rPr>
        <w:t>在线</w:t>
      </w:r>
      <w:r w:rsidR="008165C1" w:rsidRPr="00F11716">
        <w:rPr>
          <w:sz w:val="22"/>
          <w:szCs w:val="22"/>
          <w:lang w:val="zh-CN" w:eastAsia="zh-CN"/>
        </w:rPr>
        <w:t>注册。名额有限，注册将以先到先得的方式进行。远程参会和现场参会均需</w:t>
      </w:r>
      <w:proofErr w:type="gramStart"/>
      <w:r w:rsidR="008165C1" w:rsidRPr="00F11716">
        <w:rPr>
          <w:sz w:val="22"/>
          <w:szCs w:val="22"/>
          <w:lang w:val="zh-CN" w:eastAsia="zh-CN"/>
        </w:rPr>
        <w:t>注册且预注册</w:t>
      </w:r>
      <w:proofErr w:type="gramEnd"/>
      <w:r w:rsidR="008165C1" w:rsidRPr="00F11716">
        <w:rPr>
          <w:sz w:val="22"/>
          <w:szCs w:val="22"/>
          <w:lang w:val="zh-CN" w:eastAsia="zh-CN"/>
        </w:rPr>
        <w:t>仅以在线方式进行</w:t>
      </w:r>
      <w:r w:rsidRPr="00F11716">
        <w:rPr>
          <w:sz w:val="22"/>
          <w:szCs w:val="22"/>
          <w:lang w:val="zh-CN" w:eastAsia="zh-CN"/>
        </w:rPr>
        <w:t>。</w:t>
      </w:r>
      <w:hyperlink r:id="rId17" w:history="1"/>
      <w:hyperlink r:id="rId18" w:history="1"/>
    </w:p>
    <w:p w14:paraId="487B7DB4" w14:textId="5985A0FE" w:rsidR="000C43BC" w:rsidRPr="00F11716" w:rsidRDefault="000C43BC" w:rsidP="000C43BC">
      <w:pPr>
        <w:rPr>
          <w:rFonts w:cs="Calibri"/>
          <w:sz w:val="22"/>
          <w:szCs w:val="22"/>
          <w:lang w:eastAsia="zh-CN"/>
        </w:rPr>
      </w:pPr>
      <w:r w:rsidRPr="00F11716">
        <w:rPr>
          <w:sz w:val="22"/>
          <w:szCs w:val="22"/>
          <w:lang w:val="zh-CN" w:eastAsia="zh-CN"/>
        </w:rPr>
        <w:t>7</w:t>
      </w:r>
      <w:r w:rsidRPr="00F11716">
        <w:rPr>
          <w:sz w:val="22"/>
          <w:szCs w:val="22"/>
          <w:lang w:val="zh-CN" w:eastAsia="zh-CN"/>
        </w:rPr>
        <w:tab/>
      </w:r>
      <w:r w:rsidR="008165C1" w:rsidRPr="00F11716">
        <w:rPr>
          <w:sz w:val="22"/>
          <w:szCs w:val="22"/>
          <w:lang w:val="zh-CN" w:eastAsia="zh-CN"/>
        </w:rPr>
        <w:t>谨在此提醒您，一些国家的公民需要获得签证才能入境瑞士并在此逗留。</w:t>
      </w:r>
      <w:r w:rsidR="008165C1" w:rsidRPr="00F11716">
        <w:rPr>
          <w:b/>
          <w:bCs/>
          <w:sz w:val="22"/>
          <w:szCs w:val="22"/>
          <w:lang w:val="zh-CN" w:eastAsia="zh-CN"/>
        </w:rPr>
        <w:t>签证必须至少在</w:t>
      </w:r>
      <w:r w:rsidR="00076D11" w:rsidRPr="00F11716">
        <w:rPr>
          <w:rFonts w:hint="eastAsia"/>
          <w:b/>
          <w:bCs/>
          <w:sz w:val="22"/>
          <w:szCs w:val="22"/>
          <w:lang w:val="zh-CN" w:eastAsia="zh-CN"/>
        </w:rPr>
        <w:t>讲习班开幕之</w:t>
      </w:r>
      <w:r w:rsidR="008165C1" w:rsidRPr="00F11716">
        <w:rPr>
          <w:b/>
          <w:bCs/>
          <w:sz w:val="22"/>
          <w:szCs w:val="22"/>
          <w:lang w:val="zh-CN" w:eastAsia="zh-CN"/>
        </w:rPr>
        <w:t>日的四（</w:t>
      </w:r>
      <w:r w:rsidR="008165C1" w:rsidRPr="00F11716">
        <w:rPr>
          <w:b/>
          <w:bCs/>
          <w:sz w:val="22"/>
          <w:szCs w:val="22"/>
          <w:lang w:val="zh-CN" w:eastAsia="zh-CN"/>
        </w:rPr>
        <w:t>4</w:t>
      </w:r>
      <w:r w:rsidR="008165C1" w:rsidRPr="00F11716">
        <w:rPr>
          <w:b/>
          <w:bCs/>
          <w:sz w:val="22"/>
          <w:szCs w:val="22"/>
          <w:lang w:val="zh-CN" w:eastAsia="zh-CN"/>
        </w:rPr>
        <w:t>）</w:t>
      </w:r>
      <w:proofErr w:type="gramStart"/>
      <w:r w:rsidR="008165C1" w:rsidRPr="00F11716">
        <w:rPr>
          <w:b/>
          <w:bCs/>
          <w:sz w:val="22"/>
          <w:szCs w:val="22"/>
          <w:lang w:val="zh-CN" w:eastAsia="zh-CN"/>
        </w:rPr>
        <w:t>个</w:t>
      </w:r>
      <w:proofErr w:type="gramEnd"/>
      <w:r w:rsidR="008165C1" w:rsidRPr="00F11716">
        <w:rPr>
          <w:b/>
          <w:bCs/>
          <w:sz w:val="22"/>
          <w:szCs w:val="22"/>
          <w:lang w:val="zh-CN" w:eastAsia="zh-CN"/>
        </w:rPr>
        <w:t>星期前</w:t>
      </w:r>
      <w:r w:rsidR="008165C1" w:rsidRPr="00F11716">
        <w:rPr>
          <w:sz w:val="22"/>
          <w:szCs w:val="22"/>
          <w:lang w:val="zh-CN" w:eastAsia="zh-CN"/>
        </w:rPr>
        <w:t>向驻贵国的瑞士代表机构（使馆或领事馆）申请，并随后领取。如贵国没有此类机构，则请向</w:t>
      </w:r>
      <w:proofErr w:type="gramStart"/>
      <w:r w:rsidR="008165C1" w:rsidRPr="00F11716">
        <w:rPr>
          <w:sz w:val="22"/>
          <w:szCs w:val="22"/>
          <w:lang w:val="zh-CN" w:eastAsia="zh-CN"/>
        </w:rPr>
        <w:t>驻离出发国</w:t>
      </w:r>
      <w:proofErr w:type="gramEnd"/>
      <w:r w:rsidR="008165C1" w:rsidRPr="00F11716">
        <w:rPr>
          <w:sz w:val="22"/>
          <w:szCs w:val="22"/>
          <w:lang w:val="zh-CN" w:eastAsia="zh-CN"/>
        </w:rPr>
        <w:t>最近的国家的此类机构申请并领取</w:t>
      </w:r>
      <w:r w:rsidRPr="00F11716">
        <w:rPr>
          <w:sz w:val="22"/>
          <w:szCs w:val="22"/>
          <w:lang w:val="zh-CN" w:eastAsia="zh-CN"/>
        </w:rPr>
        <w:t>。</w:t>
      </w:r>
    </w:p>
    <w:p w14:paraId="199861A7" w14:textId="2752C369" w:rsidR="00561D97" w:rsidRPr="00F11716" w:rsidRDefault="000C43BC" w:rsidP="00561D97">
      <w:pPr>
        <w:keepNext/>
        <w:rPr>
          <w:sz w:val="22"/>
          <w:szCs w:val="22"/>
          <w:lang w:val="zh-CN" w:eastAsia="zh-CN"/>
        </w:rPr>
      </w:pPr>
      <w:r w:rsidRPr="00F11716">
        <w:rPr>
          <w:sz w:val="22"/>
          <w:szCs w:val="22"/>
          <w:lang w:val="zh-CN" w:eastAsia="zh-CN"/>
        </w:rPr>
        <w:t>8</w:t>
      </w:r>
      <w:r w:rsidRPr="00F11716">
        <w:rPr>
          <w:sz w:val="22"/>
          <w:szCs w:val="22"/>
          <w:lang w:val="zh-CN" w:eastAsia="zh-CN"/>
        </w:rPr>
        <w:tab/>
      </w:r>
      <w:r w:rsidR="008165C1" w:rsidRPr="00F11716">
        <w:rPr>
          <w:sz w:val="22"/>
          <w:szCs w:val="22"/>
          <w:lang w:val="zh-CN" w:eastAsia="zh-CN"/>
        </w:rPr>
        <w:t>包括注册和日程安排在内的其他详细信息和文件将在</w:t>
      </w:r>
      <w:hyperlink r:id="rId19" w:history="1">
        <w:r w:rsidR="008165C1" w:rsidRPr="00F11716">
          <w:rPr>
            <w:rStyle w:val="Hyperlink"/>
            <w:sz w:val="22"/>
            <w:szCs w:val="22"/>
            <w:lang w:val="zh-CN" w:eastAsia="zh-CN"/>
          </w:rPr>
          <w:t>联合国虚拟世界日主页</w:t>
        </w:r>
      </w:hyperlink>
      <w:r w:rsidR="008165C1" w:rsidRPr="00F11716">
        <w:rPr>
          <w:sz w:val="22"/>
          <w:szCs w:val="22"/>
          <w:lang w:val="zh-CN" w:eastAsia="zh-CN"/>
        </w:rPr>
        <w:t>上提供</w:t>
      </w:r>
      <w:r w:rsidR="006F4F4D" w:rsidRPr="00F11716">
        <w:rPr>
          <w:rFonts w:hint="eastAsia"/>
          <w:sz w:val="22"/>
          <w:szCs w:val="22"/>
          <w:lang w:val="zh-CN" w:eastAsia="zh-CN"/>
        </w:rPr>
        <w:t>。</w:t>
      </w:r>
    </w:p>
    <w:p w14:paraId="05090731" w14:textId="05E6F354" w:rsidR="000C43BC" w:rsidRPr="00F11716" w:rsidRDefault="000C43BC" w:rsidP="00F11716">
      <w:pPr>
        <w:keepNext/>
        <w:spacing w:after="120"/>
        <w:ind w:firstLineChars="200" w:firstLine="440"/>
        <w:rPr>
          <w:rFonts w:cs="Calibri"/>
          <w:sz w:val="22"/>
          <w:szCs w:val="22"/>
          <w:lang w:eastAsia="zh-CN"/>
        </w:rPr>
      </w:pPr>
      <w:r w:rsidRPr="00F11716">
        <w:rPr>
          <w:sz w:val="22"/>
          <w:szCs w:val="22"/>
          <w:lang w:val="zh-CN" w:eastAsia="zh-CN"/>
        </w:rPr>
        <w:t>祝您与会顺利且富有成效。</w:t>
      </w: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2"/>
        <w:gridCol w:w="2588"/>
      </w:tblGrid>
      <w:tr w:rsidR="00F11716" w:rsidRPr="00F11716" w14:paraId="652E6D3A" w14:textId="77777777" w:rsidTr="00F11716">
        <w:trPr>
          <w:trHeight w:val="2090"/>
        </w:trPr>
        <w:tc>
          <w:tcPr>
            <w:tcW w:w="7216" w:type="dxa"/>
            <w:hideMark/>
          </w:tcPr>
          <w:p w14:paraId="317E009A" w14:textId="77777777" w:rsidR="00F11716" w:rsidRPr="00F11716" w:rsidRDefault="00F11716" w:rsidP="00F11716">
            <w:pPr>
              <w:spacing w:before="240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F11716">
              <w:rPr>
                <w:rFonts w:ascii="Calibri" w:hAnsi="Calibri" w:hint="eastAsia"/>
                <w:sz w:val="22"/>
                <w:szCs w:val="22"/>
                <w:lang w:eastAsia="zh-CN"/>
              </w:rPr>
              <w:t>顺致敬意！</w:t>
            </w:r>
          </w:p>
          <w:p w14:paraId="54962DAC" w14:textId="5B24BF4E" w:rsidR="00F11716" w:rsidRPr="00F11716" w:rsidRDefault="00F11716" w:rsidP="00F11716">
            <w:pPr>
              <w:spacing w:before="1200" w:after="120"/>
              <w:rPr>
                <w:sz w:val="22"/>
                <w:szCs w:val="22"/>
                <w:lang w:eastAsia="zh-CN"/>
              </w:rPr>
            </w:pPr>
            <w:r w:rsidRPr="00F11716">
              <w:rPr>
                <w:rFonts w:ascii="Calibri" w:hAnsi="Calibri" w:cs="Calibri" w:hint="eastAsia"/>
                <w:noProof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 wp14:anchorId="2C76DF29" wp14:editId="675BFAD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241300</wp:posOffset>
                  </wp:positionV>
                  <wp:extent cx="895237" cy="336306"/>
                  <wp:effectExtent l="0" t="0" r="635" b="6985"/>
                  <wp:wrapNone/>
                  <wp:docPr id="1595120773" name="Picture 159512077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37" cy="33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1716">
              <w:rPr>
                <w:rFonts w:ascii="Calibri" w:hAnsi="Calibri" w:hint="eastAsia"/>
                <w:sz w:val="22"/>
                <w:szCs w:val="22"/>
                <w:lang w:eastAsia="zh-CN"/>
              </w:rPr>
              <w:t>电信标准化局主任</w:t>
            </w:r>
            <w:r w:rsidRPr="00F11716">
              <w:rPr>
                <w:rFonts w:ascii="Calibri" w:hAnsi="Calibri"/>
                <w:sz w:val="22"/>
                <w:szCs w:val="22"/>
                <w:lang w:eastAsia="zh-CN"/>
              </w:rPr>
              <w:br/>
            </w:r>
            <w:r w:rsidRPr="00F11716">
              <w:rPr>
                <w:rFonts w:ascii="Calibri" w:hAnsi="Calibri" w:hint="eastAsia"/>
                <w:sz w:val="22"/>
                <w:szCs w:val="22"/>
                <w:lang w:eastAsia="zh-CN"/>
              </w:rPr>
              <w:t>尾</w:t>
            </w:r>
            <w:proofErr w:type="gramStart"/>
            <w:r w:rsidRPr="00F11716">
              <w:rPr>
                <w:rFonts w:ascii="Calibri" w:hAnsi="Calibri" w:hint="eastAsia"/>
                <w:sz w:val="22"/>
                <w:szCs w:val="22"/>
                <w:lang w:eastAsia="zh-CN"/>
              </w:rPr>
              <w:t>上诚藏</w:t>
            </w:r>
            <w:proofErr w:type="gramEnd"/>
          </w:p>
        </w:tc>
        <w:tc>
          <w:tcPr>
            <w:tcW w:w="2534" w:type="dxa"/>
            <w:textDirection w:val="btLr"/>
            <w:hideMark/>
          </w:tcPr>
          <w:p w14:paraId="206313ED" w14:textId="51708A61" w:rsidR="00F11716" w:rsidRPr="00F11716" w:rsidRDefault="00F11716">
            <w:pPr>
              <w:spacing w:before="0" w:after="120"/>
              <w:ind w:left="113" w:right="113"/>
              <w:jc w:val="center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F11716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E0960A2" wp14:editId="10C108D2">
                  <wp:extent cx="1238250" cy="1238250"/>
                  <wp:effectExtent l="0" t="0" r="0" b="0"/>
                  <wp:docPr id="16994005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71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140028EB" w14:textId="741FF379" w:rsidR="00F11716" w:rsidRPr="00F11716" w:rsidRDefault="00F11716">
            <w:pPr>
              <w:tabs>
                <w:tab w:val="left" w:pos="1418"/>
                <w:tab w:val="left" w:pos="1702"/>
                <w:tab w:val="left" w:pos="2160"/>
              </w:tabs>
              <w:ind w:right="92"/>
              <w:jc w:val="center"/>
              <w:rPr>
                <w:sz w:val="22"/>
                <w:szCs w:val="22"/>
                <w:lang w:val="en-US"/>
              </w:rPr>
            </w:pPr>
            <w:r w:rsidRPr="00F11716">
              <w:rPr>
                <w:rFonts w:cstheme="minorHAnsi" w:hint="eastAsia"/>
                <w:sz w:val="22"/>
                <w:szCs w:val="22"/>
                <w:lang w:eastAsia="zh-CN"/>
              </w:rPr>
              <w:t>更多信息</w:t>
            </w:r>
          </w:p>
        </w:tc>
      </w:tr>
    </w:tbl>
    <w:p w14:paraId="10913A37" w14:textId="2C58AD13" w:rsidR="000A239F" w:rsidRPr="001B073D" w:rsidRDefault="000A239F" w:rsidP="001B073D"/>
    <w:sectPr w:rsidR="000A239F" w:rsidRPr="001B073D">
      <w:headerReference w:type="default" r:id="rId22"/>
      <w:footerReference w:type="first" r:id="rId23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BA0D" w14:textId="77777777" w:rsidR="001062D8" w:rsidRDefault="001062D8">
      <w:r>
        <w:separator/>
      </w:r>
    </w:p>
  </w:endnote>
  <w:endnote w:type="continuationSeparator" w:id="0">
    <w:p w14:paraId="37144BAC" w14:textId="77777777" w:rsidR="001062D8" w:rsidRDefault="0010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CBFF" w14:textId="77777777" w:rsidR="002D2024" w:rsidRPr="004C241D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6"/>
      </w:rPr>
    </w:pPr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Switzerland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A2B6" w14:textId="77777777" w:rsidR="001062D8" w:rsidRDefault="001062D8">
      <w:r>
        <w:separator/>
      </w:r>
    </w:p>
  </w:footnote>
  <w:footnote w:type="continuationSeparator" w:id="0">
    <w:p w14:paraId="7C5F1AB3" w14:textId="77777777" w:rsidR="001062D8" w:rsidRDefault="0010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83E" w14:textId="77777777" w:rsidR="00841612" w:rsidRDefault="002D2024" w:rsidP="00590119">
    <w:pPr>
      <w:pStyle w:val="Header"/>
      <w:rPr>
        <w:sz w:val="18"/>
        <w:szCs w:val="16"/>
      </w:rPr>
    </w:pPr>
    <w:r w:rsidRPr="002D2024">
      <w:rPr>
        <w:sz w:val="18"/>
        <w:szCs w:val="16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</w:rPr>
      <w:t xml:space="preserve"> -</w:t>
    </w:r>
  </w:p>
  <w:p w14:paraId="20223F51" w14:textId="696A1DD8" w:rsidR="000B25B1" w:rsidRDefault="000B25B1" w:rsidP="00590119">
    <w:pPr>
      <w:pStyle w:val="Header"/>
      <w:rPr>
        <w:sz w:val="18"/>
        <w:szCs w:val="16"/>
        <w:lang w:val="en-US" w:eastAsia="zh-CN"/>
      </w:rPr>
    </w:pPr>
    <w:r>
      <w:rPr>
        <w:rFonts w:hint="eastAsia"/>
        <w:sz w:val="18"/>
        <w:szCs w:val="16"/>
        <w:lang w:eastAsia="zh-CN"/>
      </w:rPr>
      <w:t>电信化标准局第</w:t>
    </w:r>
    <w:r>
      <w:rPr>
        <w:rFonts w:hint="eastAsia"/>
        <w:sz w:val="18"/>
        <w:szCs w:val="16"/>
        <w:lang w:eastAsia="zh-CN"/>
      </w:rPr>
      <w:t>12</w:t>
    </w:r>
    <w:r w:rsidR="00076D11">
      <w:rPr>
        <w:rFonts w:hint="eastAsia"/>
        <w:sz w:val="18"/>
        <w:szCs w:val="16"/>
        <w:lang w:eastAsia="zh-CN"/>
      </w:rPr>
      <w:t>1</w:t>
    </w:r>
    <w:r>
      <w:rPr>
        <w:rFonts w:hint="eastAsia"/>
        <w:sz w:val="18"/>
        <w:szCs w:val="16"/>
        <w:lang w:eastAsia="zh-CN"/>
      </w:rPr>
      <w:t>号通函</w:t>
    </w:r>
  </w:p>
  <w:p w14:paraId="098D52A8" w14:textId="77777777" w:rsidR="00F11716" w:rsidRPr="00F11716" w:rsidRDefault="00F11716" w:rsidP="00590119">
    <w:pPr>
      <w:pStyle w:val="Header"/>
      <w:rPr>
        <w:sz w:val="18"/>
        <w:szCs w:val="16"/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5738"/>
    <w:multiLevelType w:val="hybridMultilevel"/>
    <w:tmpl w:val="8F0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18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21E4D7B"/>
    <w:multiLevelType w:val="hybridMultilevel"/>
    <w:tmpl w:val="6B4CCE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6687A"/>
    <w:multiLevelType w:val="hybridMultilevel"/>
    <w:tmpl w:val="DE5C149E"/>
    <w:lvl w:ilvl="0" w:tplc="F34EB58C">
      <w:start w:val="150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73812">
    <w:abstractNumId w:val="4"/>
    <w:lvlOverride w:ilvl="0">
      <w:lvl w:ilvl="0" w:tplc="DFD0AD1E">
        <w:start w:val="10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  <w:num w:numId="2" w16cid:durableId="167982007">
    <w:abstractNumId w:val="2"/>
    <w:lvlOverride w:ilvl="0">
      <w:lvl w:ilvl="0" w:tplc="08090005">
        <w:start w:val="1"/>
        <w:numFmt w:val="bullet"/>
        <w:lvlText w:val="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" w16cid:durableId="1511333570">
    <w:abstractNumId w:val="1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</w:num>
  <w:num w:numId="4" w16cid:durableId="835804561">
    <w:abstractNumId w:val="3"/>
    <w:lvlOverride w:ilvl="0">
      <w:lvl w:ilvl="0" w:tplc="F34EB58C">
        <w:start w:val="150"/>
        <w:numFmt w:val="bullet"/>
        <w:lvlText w:val=""/>
        <w:lvlJc w:val="left"/>
        <w:pPr>
          <w:ind w:left="360" w:hanging="360"/>
        </w:pPr>
        <w:rPr>
          <w:rFonts w:ascii="Symbol" w:eastAsia="Times New Roman" w:hAnsi="Symbol" w:hint="default"/>
          <w:b w:val="0"/>
        </w:rPr>
      </w:lvl>
    </w:lvlOverride>
  </w:num>
  <w:num w:numId="5" w16cid:durableId="26613187">
    <w:abstractNumId w:val="0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D8"/>
    <w:rsid w:val="00027EE3"/>
    <w:rsid w:val="0005280C"/>
    <w:rsid w:val="00076D11"/>
    <w:rsid w:val="00081BA5"/>
    <w:rsid w:val="00090E72"/>
    <w:rsid w:val="00094C0B"/>
    <w:rsid w:val="000A239F"/>
    <w:rsid w:val="000A2484"/>
    <w:rsid w:val="000B25B1"/>
    <w:rsid w:val="000C43BC"/>
    <w:rsid w:val="001062D8"/>
    <w:rsid w:val="001159BF"/>
    <w:rsid w:val="00117471"/>
    <w:rsid w:val="00124B7E"/>
    <w:rsid w:val="0014089B"/>
    <w:rsid w:val="00160A43"/>
    <w:rsid w:val="00191798"/>
    <w:rsid w:val="001B073D"/>
    <w:rsid w:val="001D6E70"/>
    <w:rsid w:val="00234A9B"/>
    <w:rsid w:val="00282732"/>
    <w:rsid w:val="00284869"/>
    <w:rsid w:val="002A0E3D"/>
    <w:rsid w:val="002D2024"/>
    <w:rsid w:val="002E05E3"/>
    <w:rsid w:val="002E4ED2"/>
    <w:rsid w:val="00303A2A"/>
    <w:rsid w:val="003064AD"/>
    <w:rsid w:val="0031429A"/>
    <w:rsid w:val="00321629"/>
    <w:rsid w:val="00334A24"/>
    <w:rsid w:val="0035674D"/>
    <w:rsid w:val="00375116"/>
    <w:rsid w:val="0038630E"/>
    <w:rsid w:val="003F1CCA"/>
    <w:rsid w:val="004163F2"/>
    <w:rsid w:val="00437787"/>
    <w:rsid w:val="004532C7"/>
    <w:rsid w:val="00464015"/>
    <w:rsid w:val="00486359"/>
    <w:rsid w:val="004C1C6C"/>
    <w:rsid w:val="004C241D"/>
    <w:rsid w:val="00501313"/>
    <w:rsid w:val="00503D2D"/>
    <w:rsid w:val="005103F5"/>
    <w:rsid w:val="0051312A"/>
    <w:rsid w:val="00513FF3"/>
    <w:rsid w:val="00561D97"/>
    <w:rsid w:val="00562035"/>
    <w:rsid w:val="00590119"/>
    <w:rsid w:val="005C26FD"/>
    <w:rsid w:val="006063A0"/>
    <w:rsid w:val="00624E27"/>
    <w:rsid w:val="00627AE8"/>
    <w:rsid w:val="0063445E"/>
    <w:rsid w:val="006B463C"/>
    <w:rsid w:val="006B7182"/>
    <w:rsid w:val="006D22B1"/>
    <w:rsid w:val="006D42C6"/>
    <w:rsid w:val="006E14B5"/>
    <w:rsid w:val="006F4F4D"/>
    <w:rsid w:val="007103CB"/>
    <w:rsid w:val="00720F32"/>
    <w:rsid w:val="007568DA"/>
    <w:rsid w:val="007B645F"/>
    <w:rsid w:val="007D632C"/>
    <w:rsid w:val="007F2D5C"/>
    <w:rsid w:val="008165C1"/>
    <w:rsid w:val="00841612"/>
    <w:rsid w:val="0084436D"/>
    <w:rsid w:val="00873D40"/>
    <w:rsid w:val="00897827"/>
    <w:rsid w:val="008B2BDA"/>
    <w:rsid w:val="009128F1"/>
    <w:rsid w:val="0091435B"/>
    <w:rsid w:val="009424FC"/>
    <w:rsid w:val="00956D38"/>
    <w:rsid w:val="009727EA"/>
    <w:rsid w:val="00974486"/>
    <w:rsid w:val="009C2FF6"/>
    <w:rsid w:val="00A1090D"/>
    <w:rsid w:val="00A16AB0"/>
    <w:rsid w:val="00A55D76"/>
    <w:rsid w:val="00AA3151"/>
    <w:rsid w:val="00B01F79"/>
    <w:rsid w:val="00B56B75"/>
    <w:rsid w:val="00B637B4"/>
    <w:rsid w:val="00B94333"/>
    <w:rsid w:val="00BB5392"/>
    <w:rsid w:val="00BC7AEE"/>
    <w:rsid w:val="00BE339D"/>
    <w:rsid w:val="00BF5AE8"/>
    <w:rsid w:val="00C03E87"/>
    <w:rsid w:val="00C14F22"/>
    <w:rsid w:val="00C23182"/>
    <w:rsid w:val="00C23986"/>
    <w:rsid w:val="00C324FF"/>
    <w:rsid w:val="00C408DE"/>
    <w:rsid w:val="00C6016A"/>
    <w:rsid w:val="00C7008A"/>
    <w:rsid w:val="00C916ED"/>
    <w:rsid w:val="00CC50C4"/>
    <w:rsid w:val="00CD208D"/>
    <w:rsid w:val="00D16F47"/>
    <w:rsid w:val="00D2501B"/>
    <w:rsid w:val="00D34F86"/>
    <w:rsid w:val="00D925BB"/>
    <w:rsid w:val="00DB6452"/>
    <w:rsid w:val="00E35907"/>
    <w:rsid w:val="00E41E39"/>
    <w:rsid w:val="00E47AFF"/>
    <w:rsid w:val="00E612C7"/>
    <w:rsid w:val="00F07A3C"/>
    <w:rsid w:val="00F11716"/>
    <w:rsid w:val="00F346AB"/>
    <w:rsid w:val="00F9383A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03904"/>
  <w15:docId w15:val="{EB0446F2-4DD8-492A-A1DC-8A46AFBF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4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link w:val="FooterChar"/>
    <w:uiPriority w:val="99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,CEO_Hyperlink,超?级链,Style 58,超????,하이퍼링크2,超链接1"/>
    <w:basedOn w:val="DefaultParagraphFont"/>
    <w:qFormat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0C43B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80" w:lineRule="exact"/>
      <w:ind w:leftChars="400" w:left="840"/>
      <w:jc w:val="both"/>
      <w:textAlignment w:val="auto"/>
    </w:pPr>
    <w:rPr>
      <w:rFonts w:ascii="Times New Roman" w:eastAsiaTheme="minorEastAsia" w:hAnsi="Times New Roman"/>
      <w:sz w:val="21"/>
      <w:szCs w:val="24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43BC"/>
    <w:rPr>
      <w:rFonts w:eastAsiaTheme="minorEastAsia"/>
      <w:sz w:val="21"/>
      <w:szCs w:val="24"/>
      <w:lang w:eastAsia="ja-JP"/>
    </w:rPr>
  </w:style>
  <w:style w:type="character" w:styleId="FootnoteReference">
    <w:name w:val="footnote reference"/>
    <w:uiPriority w:val="99"/>
    <w:rsid w:val="000A239F"/>
    <w:rPr>
      <w:rFonts w:ascii="Times New Roman" w:eastAsia="SimSun" w:hAnsi="Times New Roman"/>
      <w:color w:val="000000"/>
      <w:spacing w:val="-5"/>
      <w:w w:val="130"/>
      <w:position w:val="-4"/>
      <w:sz w:val="18"/>
      <w:vertAlign w:val="superscript"/>
    </w:rPr>
  </w:style>
  <w:style w:type="paragraph" w:customStyle="1" w:styleId="Headingb">
    <w:name w:val="Heading_b"/>
    <w:basedOn w:val="Normal"/>
    <w:next w:val="Normal"/>
    <w:qFormat/>
    <w:rsid w:val="000A239F"/>
    <w:pPr>
      <w:keepNext/>
      <w:spacing w:before="160" w:after="120" w:line="280" w:lineRule="exact"/>
      <w:jc w:val="both"/>
    </w:pPr>
    <w:rPr>
      <w:rFonts w:ascii="Calibri" w:hAnsi="Calibri"/>
      <w:b/>
      <w:sz w:val="21"/>
      <w:szCs w:val="10"/>
      <w:lang w:val="en-US" w:eastAsia="zh-CN"/>
    </w:rPr>
  </w:style>
  <w:style w:type="paragraph" w:customStyle="1" w:styleId="AnnexNo">
    <w:name w:val="Annex_No"/>
    <w:basedOn w:val="Normal"/>
    <w:next w:val="Normal"/>
    <w:rsid w:val="000A239F"/>
    <w:pPr>
      <w:keepNext/>
      <w:keepLines/>
      <w:spacing w:before="480" w:after="80" w:line="280" w:lineRule="exact"/>
      <w:jc w:val="center"/>
    </w:pPr>
    <w:rPr>
      <w:rFonts w:ascii="Calibri" w:hAnsi="Calibri"/>
      <w:sz w:val="28"/>
      <w:szCs w:val="1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A239F"/>
    <w:rPr>
      <w:rFonts w:asciiTheme="minorHAnsi" w:hAnsiTheme="minorHAnsi"/>
      <w:caps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14F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3182"/>
    <w:rPr>
      <w:color w:val="605E5C"/>
      <w:shd w:val="clear" w:color="auto" w:fill="E1DFDD"/>
    </w:rPr>
  </w:style>
  <w:style w:type="paragraph" w:customStyle="1" w:styleId="Tabletext">
    <w:name w:val="Table_text"/>
    <w:basedOn w:val="Normal"/>
    <w:rsid w:val="008165C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80" w:lineRule="exact"/>
      <w:jc w:val="both"/>
    </w:pPr>
    <w:rPr>
      <w:sz w:val="21"/>
      <w:szCs w:val="10"/>
      <w:lang w:val="en-US" w:eastAsia="zh-CN"/>
    </w:rPr>
  </w:style>
  <w:style w:type="paragraph" w:customStyle="1" w:styleId="Normalaftertitle">
    <w:name w:val="Normal after title"/>
    <w:basedOn w:val="Normal"/>
    <w:next w:val="Normal"/>
    <w:rsid w:val="00F1171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studygroups/2025-2028/20/Pages/default.aspx" TargetMode="External"/><Relationship Id="rId18" Type="http://schemas.openxmlformats.org/officeDocument/2006/relationships/hyperlink" Target="https://aiforgood.itu.int/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itu.int/metaverse/virtual-worlds/2nd-citiverse-assembly/" TargetMode="External"/><Relationship Id="rId17" Type="http://schemas.openxmlformats.org/officeDocument/2006/relationships/hyperlink" Target="https://www.itu.int/en/ITU-T/studygroups/2025-2028/21/Pages/default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un-virtual-worlds-day/2026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go/fgea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rec/T-REC-A.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un-virtual-worlds-day/2026/" TargetMode="External"/><Relationship Id="rId19" Type="http://schemas.openxmlformats.org/officeDocument/2006/relationships/hyperlink" Target="https://www.itu.int/un-virtual-worlds-day/202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rtualworlds@itu.int" TargetMode="External"/><Relationship Id="rId14" Type="http://schemas.openxmlformats.org/officeDocument/2006/relationships/hyperlink" Target="https://www.itu.int/en/ITU-T/focusgroups/eai/Pages/reg.aspx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TSB\PC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0F96-560D-4036-89C5-DA392277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PC_TSB_Circular.dotx</Template>
  <TotalTime>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2158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Kong, Hongli</dc:creator>
  <cp:lastModifiedBy>Maguire, Mairéad</cp:lastModifiedBy>
  <cp:revision>2</cp:revision>
  <cp:lastPrinted>2011-04-11T13:21:00Z</cp:lastPrinted>
  <dcterms:created xsi:type="dcterms:W3CDTF">2026-04-08T14:00:00Z</dcterms:created>
  <dcterms:modified xsi:type="dcterms:W3CDTF">2026-04-08T14:00:00Z</dcterms:modified>
</cp:coreProperties>
</file>