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5D25F25A" w14:textId="77777777" w:rsidTr="00D517B2">
        <w:trPr>
          <w:cantSplit/>
          <w:trHeight w:val="1134"/>
        </w:trPr>
        <w:tc>
          <w:tcPr>
            <w:tcW w:w="798" w:type="pct"/>
          </w:tcPr>
          <w:p w14:paraId="213B54C1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7D805AA2" wp14:editId="4021FFA6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7C2F411B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3BE1B693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3682"/>
        <w:gridCol w:w="4395"/>
      </w:tblGrid>
      <w:tr w:rsidR="00D517B2" w:rsidRPr="00D517B2" w14:paraId="58BAEED9" w14:textId="77777777" w:rsidTr="00654E86">
        <w:trPr>
          <w:cantSplit/>
          <w:jc w:val="center"/>
        </w:trPr>
        <w:tc>
          <w:tcPr>
            <w:tcW w:w="810" w:type="pct"/>
          </w:tcPr>
          <w:p w14:paraId="13CF5571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10" w:type="pct"/>
          </w:tcPr>
          <w:p w14:paraId="140D955D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80" w:type="pct"/>
          </w:tcPr>
          <w:p w14:paraId="6827C4EF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72703530" w14:textId="77777777" w:rsidTr="00654E86">
        <w:trPr>
          <w:cantSplit/>
          <w:jc w:val="center"/>
        </w:trPr>
        <w:tc>
          <w:tcPr>
            <w:tcW w:w="810" w:type="pct"/>
          </w:tcPr>
          <w:p w14:paraId="1669D580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10" w:type="pct"/>
          </w:tcPr>
          <w:p w14:paraId="75303ABB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80" w:type="pct"/>
          </w:tcPr>
          <w:p w14:paraId="564A10B8" w14:textId="7E50B012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654E86">
              <w:rPr>
                <w:position w:val="2"/>
              </w:rPr>
              <w:t>5</w:t>
            </w:r>
            <w:r w:rsidR="00654E86">
              <w:rPr>
                <w:rFonts w:hint="cs"/>
                <w:position w:val="2"/>
                <w:rtl/>
                <w:lang w:bidi="ar-EG"/>
              </w:rPr>
              <w:t xml:space="preserve"> مارس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</w:t>
            </w:r>
            <w:r w:rsidR="0099778F">
              <w:rPr>
                <w:position w:val="2"/>
              </w:rPr>
              <w:t>6</w:t>
            </w:r>
          </w:p>
        </w:tc>
      </w:tr>
      <w:tr w:rsidR="00372F67" w:rsidRPr="00D517B2" w14:paraId="6CFE73C6" w14:textId="77777777" w:rsidTr="00654E86">
        <w:trPr>
          <w:cantSplit/>
          <w:jc w:val="center"/>
        </w:trPr>
        <w:tc>
          <w:tcPr>
            <w:tcW w:w="810" w:type="pct"/>
          </w:tcPr>
          <w:p w14:paraId="55B5642D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10" w:type="pct"/>
          </w:tcPr>
          <w:p w14:paraId="2AD1085D" w14:textId="0AA9F35F" w:rsidR="00372F67" w:rsidRPr="00D517B2" w:rsidRDefault="00654E86" w:rsidP="00654E86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654E86">
              <w:rPr>
                <w:b/>
                <w:position w:val="2"/>
                <w:lang w:val="en-GB"/>
              </w:rPr>
              <w:t>TSB Circular 121</w:t>
            </w:r>
            <w:r w:rsidRPr="00654E86">
              <w:rPr>
                <w:b/>
                <w:position w:val="2"/>
                <w:lang w:val="en-GB"/>
              </w:rPr>
              <w:br/>
            </w:r>
            <w:r w:rsidRPr="00654E86">
              <w:rPr>
                <w:position w:val="2"/>
                <w:lang w:val="en-GB"/>
              </w:rPr>
              <w:t>CB</w:t>
            </w:r>
          </w:p>
        </w:tc>
        <w:tc>
          <w:tcPr>
            <w:tcW w:w="2280" w:type="pct"/>
            <w:vMerge w:val="restart"/>
          </w:tcPr>
          <w:p w14:paraId="13659A77" w14:textId="77777777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654E86">
              <w:rPr>
                <w:b/>
                <w:bCs/>
                <w:position w:val="2"/>
                <w:rtl/>
              </w:rPr>
              <w:t>إلى:</w:t>
            </w:r>
          </w:p>
          <w:p w14:paraId="3BE38A11" w14:textId="3C70768D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إدارات الدول الأعضاء في الاتحاد؛</w:t>
            </w:r>
          </w:p>
          <w:p w14:paraId="233488EB" w14:textId="07C8A090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دولة فلسطين (القرار 99 (المراجَع في دبي، 2018))؛</w:t>
            </w:r>
          </w:p>
          <w:p w14:paraId="31755193" w14:textId="36C46D8F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أعضاء قطاع تقييس الاتصالات في الاتحاد؛</w:t>
            </w:r>
          </w:p>
          <w:p w14:paraId="7CC742B3" w14:textId="28ABD819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المنتسبين إلى قطاع تقييس الاتصالات؛</w:t>
            </w:r>
          </w:p>
          <w:p w14:paraId="0356C61E" w14:textId="638E060E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الهيئات الأكاديمية المنضمة إلى الاتحاد؛</w:t>
            </w:r>
          </w:p>
          <w:p w14:paraId="32FB0E64" w14:textId="5A8B3228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البعثات الدائمة والسفارات في جنيف؛</w:t>
            </w:r>
          </w:p>
          <w:p w14:paraId="6463F395" w14:textId="29101807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المنظمات الدولية والإقليمية والوطنية ذات الصلة؛</w:t>
            </w:r>
          </w:p>
          <w:p w14:paraId="6984927D" w14:textId="697682CE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المنظمات الحكومية الدولية المشغِّلة لأنظمة ساتلية؛</w:t>
            </w:r>
          </w:p>
          <w:p w14:paraId="1DF4ACD0" w14:textId="028516DF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الأمم المتحدة؛</w:t>
            </w:r>
          </w:p>
          <w:p w14:paraId="4E967483" w14:textId="46CB0A0E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وكالات الأمم المتحدة المتخصصة والوكالة الدولية للطاقة الذرية</w:t>
            </w:r>
          </w:p>
          <w:p w14:paraId="7D00B455" w14:textId="77777777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</w:rPr>
            </w:pPr>
            <w:r w:rsidRPr="00654E86">
              <w:rPr>
                <w:b/>
                <w:bCs/>
                <w:position w:val="2"/>
                <w:rtl/>
              </w:rPr>
              <w:t>نسخة إلى:</w:t>
            </w:r>
          </w:p>
          <w:p w14:paraId="1F130C8E" w14:textId="764D98E5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spacing w:val="-4"/>
                <w:position w:val="2"/>
                <w:rtl/>
              </w:rPr>
              <w:t>رؤساء لجان دراسات قطاع تقييس الاتصالات ونوابهم؛</w:t>
            </w:r>
          </w:p>
          <w:p w14:paraId="38D557D0" w14:textId="19EF89EC" w:rsidR="00654E86" w:rsidRPr="00654E86" w:rsidRDefault="00654E86" w:rsidP="00654E86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مدير مكتب تنمية الاتصالات؛</w:t>
            </w:r>
          </w:p>
          <w:p w14:paraId="3C21852A" w14:textId="158AD89C" w:rsidR="00372F67" w:rsidRPr="00D517B2" w:rsidRDefault="00654E86" w:rsidP="00654E86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654E86">
              <w:rPr>
                <w:position w:val="2"/>
                <w:rtl/>
              </w:rPr>
              <w:t>مدير مكتب الاتصالات الراديوية</w:t>
            </w:r>
          </w:p>
        </w:tc>
      </w:tr>
      <w:tr w:rsidR="00372F67" w:rsidRPr="00D517B2" w14:paraId="4605FD6E" w14:textId="77777777" w:rsidTr="00654E86">
        <w:trPr>
          <w:cantSplit/>
          <w:jc w:val="center"/>
        </w:trPr>
        <w:tc>
          <w:tcPr>
            <w:tcW w:w="810" w:type="pct"/>
          </w:tcPr>
          <w:p w14:paraId="78AC52C3" w14:textId="77777777" w:rsidR="00372F67" w:rsidRPr="00A9156F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للاتصال:</w:t>
            </w:r>
          </w:p>
        </w:tc>
        <w:tc>
          <w:tcPr>
            <w:tcW w:w="1910" w:type="pct"/>
          </w:tcPr>
          <w:p w14:paraId="05EFE8F9" w14:textId="6D282C5D" w:rsidR="00372F67" w:rsidRPr="00654E86" w:rsidRDefault="00654E86" w:rsidP="00654E86">
            <w:pPr>
              <w:spacing w:before="80" w:after="60" w:line="300" w:lineRule="exact"/>
              <w:jc w:val="left"/>
              <w:rPr>
                <w:bCs/>
                <w:position w:val="2"/>
                <w:lang w:val="en-GB"/>
              </w:rPr>
            </w:pPr>
            <w:r w:rsidRPr="00654E86">
              <w:rPr>
                <w:bCs/>
                <w:position w:val="2"/>
                <w:lang w:val="en-GB"/>
              </w:rPr>
              <w:t>Cristina Bueti</w:t>
            </w:r>
          </w:p>
        </w:tc>
        <w:tc>
          <w:tcPr>
            <w:tcW w:w="2280" w:type="pct"/>
            <w:vMerge/>
          </w:tcPr>
          <w:p w14:paraId="5FC93BBF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13A4518E" w14:textId="77777777" w:rsidTr="00654E86">
        <w:trPr>
          <w:cantSplit/>
          <w:jc w:val="center"/>
        </w:trPr>
        <w:tc>
          <w:tcPr>
            <w:tcW w:w="810" w:type="pct"/>
          </w:tcPr>
          <w:p w14:paraId="6ED84624" w14:textId="24ADF72C" w:rsidR="00372F67" w:rsidRDefault="00654E86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الهاتف</w:t>
            </w:r>
            <w:r w:rsidR="00372F67"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10" w:type="pct"/>
          </w:tcPr>
          <w:p w14:paraId="7A07C378" w14:textId="7F013A58" w:rsidR="00372F67" w:rsidRPr="00BC5C0E" w:rsidRDefault="00654E86" w:rsidP="00654E86">
            <w:pPr>
              <w:spacing w:before="80" w:after="60" w:line="300" w:lineRule="exact"/>
              <w:jc w:val="left"/>
              <w:rPr>
                <w:b/>
                <w:position w:val="2"/>
                <w:rtl/>
              </w:rPr>
            </w:pPr>
            <w:r w:rsidRPr="00654E86">
              <w:rPr>
                <w:position w:val="2"/>
                <w:lang w:val="en-GB"/>
              </w:rPr>
              <w:t>+41 22 730 6301</w:t>
            </w:r>
          </w:p>
        </w:tc>
        <w:tc>
          <w:tcPr>
            <w:tcW w:w="2280" w:type="pct"/>
            <w:vMerge/>
          </w:tcPr>
          <w:p w14:paraId="16E2BE1E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2B2FA10F" w14:textId="77777777" w:rsidTr="00654E86">
        <w:trPr>
          <w:cantSplit/>
          <w:jc w:val="center"/>
        </w:trPr>
        <w:tc>
          <w:tcPr>
            <w:tcW w:w="810" w:type="pct"/>
          </w:tcPr>
          <w:p w14:paraId="21D96118" w14:textId="77777777" w:rsidR="00372F67" w:rsidRPr="00A9156F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10" w:type="pct"/>
          </w:tcPr>
          <w:p w14:paraId="2B6EAB83" w14:textId="18A14C85" w:rsidR="00372F67" w:rsidRPr="00654E86" w:rsidRDefault="00654E86" w:rsidP="00654E86">
            <w:pPr>
              <w:spacing w:before="80" w:after="60" w:line="300" w:lineRule="exact"/>
              <w:jc w:val="left"/>
              <w:rPr>
                <w:b/>
                <w:position w:val="2"/>
                <w:lang w:val="en-GB"/>
              </w:rPr>
            </w:pPr>
            <w:r w:rsidRPr="00654E86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80" w:type="pct"/>
            <w:vMerge/>
          </w:tcPr>
          <w:p w14:paraId="4FB6999B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0B30D4E0" w14:textId="77777777" w:rsidTr="00654E86">
        <w:trPr>
          <w:cantSplit/>
          <w:jc w:val="center"/>
        </w:trPr>
        <w:tc>
          <w:tcPr>
            <w:tcW w:w="810" w:type="pct"/>
          </w:tcPr>
          <w:p w14:paraId="5D427671" w14:textId="77777777" w:rsidR="00372F67" w:rsidRPr="00A9156F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10" w:type="pct"/>
          </w:tcPr>
          <w:p w14:paraId="59C6BD84" w14:textId="063EAB27" w:rsidR="00372F67" w:rsidRPr="006E1BAD" w:rsidRDefault="00654E86" w:rsidP="00654E86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r w:rsidRPr="00654E86">
                <w:rPr>
                  <w:rStyle w:val="Hyperlink"/>
                  <w:position w:val="2"/>
                  <w:lang w:val="en-GB"/>
                </w:rPr>
                <w:t>virtualworlds@itu.int</w:t>
              </w:r>
            </w:hyperlink>
          </w:p>
        </w:tc>
        <w:tc>
          <w:tcPr>
            <w:tcW w:w="2280" w:type="pct"/>
            <w:vMerge/>
          </w:tcPr>
          <w:p w14:paraId="38616372" w14:textId="77777777" w:rsidR="00372F67" w:rsidRPr="00D517B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6EC42306" w14:textId="77777777" w:rsidTr="00654E86">
        <w:trPr>
          <w:cantSplit/>
          <w:jc w:val="center"/>
        </w:trPr>
        <w:tc>
          <w:tcPr>
            <w:tcW w:w="810" w:type="pct"/>
          </w:tcPr>
          <w:p w14:paraId="6B633B49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10" w:type="pct"/>
          </w:tcPr>
          <w:p w14:paraId="58E65C46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80" w:type="pct"/>
          </w:tcPr>
          <w:p w14:paraId="186ED3E8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65F020E4" w14:textId="77777777" w:rsidTr="001E2788">
        <w:trPr>
          <w:cantSplit/>
          <w:jc w:val="center"/>
        </w:trPr>
        <w:tc>
          <w:tcPr>
            <w:tcW w:w="810" w:type="pct"/>
          </w:tcPr>
          <w:p w14:paraId="7580A2C6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1FB04A01" w14:textId="6AD93B90" w:rsidR="00654E86" w:rsidRPr="00654E86" w:rsidRDefault="00654E86" w:rsidP="00654E86">
            <w:pPr>
              <w:spacing w:before="80" w:after="60" w:line="300" w:lineRule="exact"/>
              <w:rPr>
                <w:b/>
                <w:bCs/>
                <w:position w:val="2"/>
                <w:rtl/>
              </w:rPr>
            </w:pPr>
            <w:r w:rsidRPr="00654E86">
              <w:rPr>
                <w:b/>
                <w:bCs/>
                <w:spacing w:val="-4"/>
                <w:position w:val="2"/>
                <w:rtl/>
              </w:rPr>
              <w:t>يوم الأمم المتحدة الثالث للعوالم الافتراضية</w:t>
            </w:r>
            <w:r w:rsidRPr="00654E86">
              <w:rPr>
                <w:rFonts w:hint="cs"/>
                <w:b/>
                <w:bCs/>
                <w:spacing w:val="-4"/>
                <w:position w:val="2"/>
                <w:rtl/>
              </w:rPr>
              <w:t xml:space="preserve">: </w:t>
            </w:r>
            <w:r w:rsidRPr="00654E86">
              <w:rPr>
                <w:b/>
                <w:bCs/>
                <w:i/>
                <w:iCs/>
                <w:spacing w:val="-4"/>
                <w:position w:val="2"/>
                <w:rtl/>
              </w:rPr>
              <w:t xml:space="preserve">الذكاء الاصطناعي والذكاء المكاني وتكنولوجيا </w:t>
            </w:r>
            <w:proofErr w:type="spellStart"/>
            <w:r w:rsidRPr="00654E86">
              <w:rPr>
                <w:b/>
                <w:bCs/>
                <w:i/>
                <w:iCs/>
                <w:spacing w:val="-4"/>
                <w:position w:val="2"/>
                <w:rtl/>
              </w:rPr>
              <w:t>السيتيفيرس</w:t>
            </w:r>
            <w:proofErr w:type="spellEnd"/>
            <w:r w:rsidRPr="00654E86">
              <w:rPr>
                <w:b/>
                <w:bCs/>
                <w:spacing w:val="-4"/>
                <w:position w:val="2"/>
                <w:rtl/>
              </w:rPr>
              <w:t>:</w:t>
            </w:r>
            <w:r w:rsidRPr="00654E86">
              <w:rPr>
                <w:b/>
                <w:bCs/>
                <w:spacing w:val="-4"/>
                <w:position w:val="2"/>
                <w:rtl/>
              </w:rPr>
              <w:br/>
            </w:r>
            <w:r w:rsidRPr="00654E86">
              <w:rPr>
                <w:b/>
                <w:bCs/>
                <w:i/>
                <w:iCs/>
                <w:position w:val="2"/>
                <w:rtl/>
              </w:rPr>
              <w:t>تشكيل مستقبل رقمي موثوق</w:t>
            </w:r>
          </w:p>
          <w:p w14:paraId="62F18109" w14:textId="4913D876" w:rsidR="00CE1C08" w:rsidRPr="00D517B2" w:rsidRDefault="00654E86" w:rsidP="00654E86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 w:rsidRPr="00654E86">
              <w:rPr>
                <w:b/>
                <w:bCs/>
                <w:position w:val="2"/>
                <w:rtl/>
              </w:rPr>
              <w:t>(جنيف، سويسرا، 11-12 مايو 2026)</w:t>
            </w:r>
          </w:p>
        </w:tc>
      </w:tr>
    </w:tbl>
    <w:p w14:paraId="482AB6E0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29B6865E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1413819D" w14:textId="54B88A81" w:rsidR="00654E86" w:rsidRPr="00654E86" w:rsidRDefault="00654E86" w:rsidP="00654E86">
      <w:pPr>
        <w:rPr>
          <w:spacing w:val="-4"/>
          <w:lang w:val="ar-SA" w:bidi="ar-SY"/>
        </w:rPr>
      </w:pPr>
      <w:r w:rsidRPr="00654E86">
        <w:rPr>
          <w:spacing w:val="-4"/>
          <w:rtl/>
        </w:rPr>
        <w:t>1</w:t>
      </w:r>
      <w:r w:rsidRPr="00654E86">
        <w:rPr>
          <w:spacing w:val="-4"/>
          <w:rtl/>
        </w:rPr>
        <w:tab/>
        <w:t xml:space="preserve">يود الاتحاد الدولي للاتصالات </w:t>
      </w:r>
      <w:r w:rsidRPr="00654E86">
        <w:rPr>
          <w:spacing w:val="-4"/>
          <w:lang w:bidi="ar-SY"/>
        </w:rPr>
        <w:t>(ITU)</w:t>
      </w:r>
      <w:r w:rsidRPr="00654E86">
        <w:rPr>
          <w:spacing w:val="-4"/>
          <w:rtl/>
        </w:rPr>
        <w:t xml:space="preserve">، نيابةً عن منظمة الأمم المتحدة للأغذية والزراعة </w:t>
      </w:r>
      <w:r w:rsidRPr="00654E86">
        <w:rPr>
          <w:spacing w:val="-4"/>
          <w:lang w:bidi="ar-SY"/>
        </w:rPr>
        <w:t>(FAO)</w:t>
      </w:r>
      <w:r w:rsidRPr="00654E86">
        <w:rPr>
          <w:spacing w:val="-4"/>
          <w:rtl/>
        </w:rPr>
        <w:t xml:space="preserve">، والمركز الدولي للتدريب التابع لمنظمة العمل الدولية </w:t>
      </w:r>
      <w:r w:rsidRPr="00654E86">
        <w:rPr>
          <w:spacing w:val="-4"/>
          <w:lang w:bidi="ar-SY"/>
        </w:rPr>
        <w:t>(ITCILO)</w:t>
      </w:r>
      <w:r w:rsidRPr="00654E86">
        <w:rPr>
          <w:spacing w:val="-4"/>
          <w:rtl/>
        </w:rPr>
        <w:t xml:space="preserve">، وبرنامج الأمم المتحدة الإنمائي </w:t>
      </w:r>
      <w:r w:rsidRPr="00654E86">
        <w:rPr>
          <w:spacing w:val="-4"/>
          <w:lang w:bidi="ar-SY"/>
        </w:rPr>
        <w:t>(UNDP)</w:t>
      </w:r>
      <w:r w:rsidRPr="00654E86">
        <w:rPr>
          <w:spacing w:val="-4"/>
          <w:rtl/>
        </w:rPr>
        <w:t>، ولجنة الأمم المتحدة الاقتصادية لإفريقيا</w:t>
      </w:r>
      <w:r w:rsidRPr="00B56577">
        <w:rPr>
          <w:rFonts w:hint="cs"/>
          <w:spacing w:val="-4"/>
          <w:rtl/>
        </w:rPr>
        <w:t> </w:t>
      </w:r>
      <w:r w:rsidRPr="00654E86">
        <w:rPr>
          <w:spacing w:val="-4"/>
          <w:lang w:bidi="ar-SY"/>
        </w:rPr>
        <w:t>(UNECA)</w:t>
      </w:r>
      <w:r w:rsidRPr="00654E86">
        <w:rPr>
          <w:spacing w:val="-4"/>
          <w:rtl/>
        </w:rPr>
        <w:t xml:space="preserve">، ولجنة الأمم المتحدة الاقتصادية لأوروبا </w:t>
      </w:r>
      <w:r w:rsidRPr="00654E86">
        <w:rPr>
          <w:spacing w:val="-4"/>
          <w:lang w:bidi="ar-SY"/>
        </w:rPr>
        <w:t>(UNECE)</w:t>
      </w:r>
      <w:r w:rsidRPr="00654E86">
        <w:rPr>
          <w:spacing w:val="-4"/>
          <w:rtl/>
        </w:rPr>
        <w:t xml:space="preserve">، ولجنة الأمم المتحدة الاقتصادية لأمريكا اللاتينية ومنطقة البحر الكاريبي </w:t>
      </w:r>
      <w:r w:rsidRPr="00654E86">
        <w:rPr>
          <w:spacing w:val="-4"/>
          <w:lang w:bidi="ar-SY"/>
        </w:rPr>
        <w:t>(UNECLAC)</w:t>
      </w:r>
      <w:r w:rsidRPr="00654E86">
        <w:rPr>
          <w:spacing w:val="-4"/>
          <w:rtl/>
        </w:rPr>
        <w:t>، وفريق الأمم المتحدة القُطري في غواتيمالا، وبرنامج الأمم المتحدة للمستوطنات البشرية</w:t>
      </w:r>
      <w:r w:rsidRPr="00B56577">
        <w:rPr>
          <w:rFonts w:hint="cs"/>
          <w:spacing w:val="-4"/>
          <w:rtl/>
        </w:rPr>
        <w:t> </w:t>
      </w:r>
      <w:r w:rsidRPr="00654E86">
        <w:rPr>
          <w:spacing w:val="-4"/>
          <w:lang w:bidi="ar-SY"/>
        </w:rPr>
        <w:t>(UN-Habitat)</w:t>
      </w:r>
      <w:r w:rsidRPr="00654E86">
        <w:rPr>
          <w:spacing w:val="-4"/>
          <w:rtl/>
        </w:rPr>
        <w:t xml:space="preserve">، والصندوق المشترك للمعاشات التقاعدية لموظفي الأمم المتحدة </w:t>
      </w:r>
      <w:r w:rsidRPr="00654E86">
        <w:rPr>
          <w:spacing w:val="-4"/>
          <w:lang w:bidi="ar-SY"/>
        </w:rPr>
        <w:t>(UNJSPF)</w:t>
      </w:r>
      <w:r w:rsidRPr="00654E86">
        <w:rPr>
          <w:spacing w:val="-4"/>
          <w:rtl/>
        </w:rPr>
        <w:t xml:space="preserve">، ومركز الأمم المتحدة الدولي للحوسبة </w:t>
      </w:r>
      <w:r w:rsidRPr="00654E86">
        <w:rPr>
          <w:spacing w:val="-4"/>
          <w:lang w:bidi="ar-SY"/>
        </w:rPr>
        <w:t>(UNICC)</w:t>
      </w:r>
      <w:r w:rsidRPr="00654E86">
        <w:rPr>
          <w:spacing w:val="-4"/>
          <w:rtl/>
        </w:rPr>
        <w:t xml:space="preserve">، وشبكة الأمم المتحدة للابتكار، ومنظمة الأمم المتحدة للطفولة (اليونيسف)، ومنظمة الأمم المتحدة للسياحة، ومعهد الأمم المتحدة لبحوث التنمية الاجتماعية </w:t>
      </w:r>
      <w:r w:rsidRPr="00654E86">
        <w:rPr>
          <w:spacing w:val="-4"/>
          <w:lang w:bidi="ar-SY"/>
        </w:rPr>
        <w:t>(UNRISD)</w:t>
      </w:r>
      <w:r w:rsidRPr="00654E86">
        <w:rPr>
          <w:spacing w:val="-4"/>
          <w:rtl/>
        </w:rPr>
        <w:t xml:space="preserve">، وجامعة الأمم المتحدة </w:t>
      </w:r>
      <w:r w:rsidRPr="00654E86">
        <w:rPr>
          <w:spacing w:val="-4"/>
          <w:lang w:bidi="ar-SY"/>
        </w:rPr>
        <w:t>(UNU)</w:t>
      </w:r>
      <w:r w:rsidRPr="00654E86">
        <w:rPr>
          <w:spacing w:val="-4"/>
          <w:rtl/>
        </w:rPr>
        <w:t xml:space="preserve">، وشبكة مختبر سيناريوهات المستقبل التابعة للأمم المتحدة، والمنظمة العالمية للملكية الفكرية </w:t>
      </w:r>
      <w:r w:rsidRPr="00654E86">
        <w:rPr>
          <w:spacing w:val="-4"/>
          <w:lang w:bidi="ar-SY"/>
        </w:rPr>
        <w:t>(WIPO)</w:t>
      </w:r>
      <w:r w:rsidRPr="00654E86">
        <w:rPr>
          <w:spacing w:val="-4"/>
          <w:rtl/>
        </w:rPr>
        <w:t xml:space="preserve">، والبنك الدولي، والمنظمة العالمية للأرصاد الجوية </w:t>
      </w:r>
      <w:r w:rsidRPr="00654E86">
        <w:rPr>
          <w:spacing w:val="-4"/>
          <w:lang w:bidi="ar-SY"/>
        </w:rPr>
        <w:t>(WMO)</w:t>
      </w:r>
      <w:r w:rsidRPr="00654E86">
        <w:rPr>
          <w:spacing w:val="-4"/>
          <w:rtl/>
        </w:rPr>
        <w:t xml:space="preserve"> دعوتكم لحضور </w:t>
      </w:r>
      <w:hyperlink r:id="rId10" w:anchor="/ar" w:history="1">
        <w:r w:rsidRPr="00654E86">
          <w:rPr>
            <w:rStyle w:val="Hyperlink"/>
            <w:b/>
            <w:bCs/>
            <w:spacing w:val="-4"/>
            <w:rtl/>
          </w:rPr>
          <w:t>يوم الأمم المتحدة الثالث للعوالم الافتراضية</w:t>
        </w:r>
      </w:hyperlink>
      <w:r w:rsidRPr="00654E86">
        <w:rPr>
          <w:spacing w:val="-4"/>
          <w:rtl/>
        </w:rPr>
        <w:t>. وسيُعقد الحدث في جنيف، سويسرا، يومي 11 و12 مايو 2026، وسيستضيفه الاتحاد الدولي للاتصالات.</w:t>
      </w:r>
      <w:hyperlink r:id="rId11" w:history="1"/>
    </w:p>
    <w:p w14:paraId="4B602CA4" w14:textId="7F8DCF2D" w:rsidR="00654E86" w:rsidRPr="00654E86" w:rsidRDefault="00654E86" w:rsidP="00654E86">
      <w:pPr>
        <w:rPr>
          <w:spacing w:val="-2"/>
          <w:lang w:val="ar-SA" w:bidi="ar-SY"/>
        </w:rPr>
      </w:pPr>
      <w:r w:rsidRPr="00654E86">
        <w:rPr>
          <w:spacing w:val="-2"/>
          <w:rtl/>
        </w:rPr>
        <w:lastRenderedPageBreak/>
        <w:t>2</w:t>
      </w:r>
      <w:r w:rsidRPr="00654E86">
        <w:rPr>
          <w:spacing w:val="-2"/>
          <w:rtl/>
        </w:rPr>
        <w:tab/>
        <w:t xml:space="preserve">يوفر يوم الأمم المتحدة الثالث للعوالم الافتراضية منصة عالمية فريدة تتيحها الأمم المتحدة لتمكين واضعي السياسات وقادة المدن ودوائر الصناعة </w:t>
      </w:r>
      <w:r w:rsidRPr="00B56577">
        <w:rPr>
          <w:rFonts w:hint="cs"/>
          <w:spacing w:val="-2"/>
          <w:rtl/>
        </w:rPr>
        <w:t>والهيئات</w:t>
      </w:r>
      <w:r w:rsidRPr="00654E86">
        <w:rPr>
          <w:spacing w:val="-2"/>
          <w:rtl/>
        </w:rPr>
        <w:t xml:space="preserve"> الأكاديمية من تحديد كيف يمكن للعوالم الافتراضية المدعومة بالذكاء الاصطناعي والذكاء المكاني وتكنولوجيا </w:t>
      </w:r>
      <w:proofErr w:type="spellStart"/>
      <w:r w:rsidRPr="00654E86">
        <w:rPr>
          <w:spacing w:val="-2"/>
          <w:rtl/>
        </w:rPr>
        <w:t>السيتيفيرس</w:t>
      </w:r>
      <w:proofErr w:type="spellEnd"/>
      <w:r w:rsidRPr="00654E86">
        <w:rPr>
          <w:spacing w:val="-2"/>
          <w:rtl/>
        </w:rPr>
        <w:t xml:space="preserve"> أن تدعم التحول الرقمي الموثوق الذي يركز على الأفراد. و</w:t>
      </w:r>
      <w:r w:rsidRPr="00B56577">
        <w:rPr>
          <w:rFonts w:hint="cs"/>
          <w:spacing w:val="-2"/>
          <w:rtl/>
        </w:rPr>
        <w:t>ي</w:t>
      </w:r>
      <w:r w:rsidRPr="00654E86">
        <w:rPr>
          <w:spacing w:val="-2"/>
          <w:rtl/>
        </w:rPr>
        <w:t xml:space="preserve">جمع </w:t>
      </w:r>
      <w:r w:rsidRPr="00B56577">
        <w:rPr>
          <w:rFonts w:hint="cs"/>
          <w:spacing w:val="-2"/>
          <w:rtl/>
        </w:rPr>
        <w:t xml:space="preserve">الحدث </w:t>
      </w:r>
      <w:r w:rsidRPr="00654E86">
        <w:rPr>
          <w:spacing w:val="-2"/>
          <w:rtl/>
        </w:rPr>
        <w:t xml:space="preserve">بين ممثلي الحكومات والمدن وكيانات الأمم المتحدة ودوائر الصناعة وخبراء المعايير لربط الأولويات </w:t>
      </w:r>
      <w:proofErr w:type="spellStart"/>
      <w:r w:rsidRPr="00654E86">
        <w:rPr>
          <w:spacing w:val="-2"/>
          <w:rtl/>
        </w:rPr>
        <w:t>السياساتية</w:t>
      </w:r>
      <w:proofErr w:type="spellEnd"/>
      <w:r w:rsidRPr="00654E86">
        <w:rPr>
          <w:spacing w:val="-2"/>
          <w:rtl/>
        </w:rPr>
        <w:t xml:space="preserve"> بالتنفيذ العملي والشراكات والمعايير الدولية، ما يساعد على تحويل الالتزامات العالمية إلى إجراءات قابلة للقياس على الصعيدين الوطني والمحلي.</w:t>
      </w:r>
    </w:p>
    <w:p w14:paraId="439D69CB" w14:textId="77777777" w:rsidR="00654E86" w:rsidRPr="00654E86" w:rsidRDefault="00654E86" w:rsidP="00654E86">
      <w:pPr>
        <w:rPr>
          <w:lang w:val="ar-SA" w:bidi="ar-SY"/>
        </w:rPr>
      </w:pPr>
      <w:r w:rsidRPr="00654E86">
        <w:rPr>
          <w:rtl/>
        </w:rPr>
        <w:t>3</w:t>
      </w:r>
      <w:r w:rsidRPr="00654E86">
        <w:rPr>
          <w:rtl/>
        </w:rPr>
        <w:tab/>
        <w:t xml:space="preserve">وسيشمل الحدث مائدة مستديرة للسفراء لبحث كيف يمكن أن ينتقل التعاهد الرقمي العالمي من التزامات عالمية مشتركة إلى إنجازات واقعية في عصر الذكاء الاصطناعي والذكاء المكاني وتكنولوجيا </w:t>
      </w:r>
      <w:proofErr w:type="spellStart"/>
      <w:r w:rsidRPr="00654E86">
        <w:rPr>
          <w:rtl/>
        </w:rPr>
        <w:t>السيتيفيرس</w:t>
      </w:r>
      <w:proofErr w:type="spellEnd"/>
      <w:r w:rsidRPr="00654E86">
        <w:rPr>
          <w:rtl/>
        </w:rPr>
        <w:t>.</w:t>
      </w:r>
    </w:p>
    <w:p w14:paraId="08F05EE6" w14:textId="77777777" w:rsidR="00654E86" w:rsidRPr="00654E86" w:rsidRDefault="00654E86" w:rsidP="00654E86">
      <w:pPr>
        <w:rPr>
          <w:lang w:val="ar-SA" w:bidi="ar-SY"/>
        </w:rPr>
      </w:pPr>
      <w:r w:rsidRPr="00654E86">
        <w:rPr>
          <w:rtl/>
        </w:rPr>
        <w:t>4</w:t>
      </w:r>
      <w:r w:rsidRPr="00654E86">
        <w:rPr>
          <w:rtl/>
        </w:rPr>
        <w:tab/>
        <w:t>وسيُعقد حدث يوم الأمم المتحدة للعوالم الافتراضية بالاقتران مع:</w:t>
      </w:r>
    </w:p>
    <w:p w14:paraId="08756258" w14:textId="5670B270" w:rsidR="00654E86" w:rsidRPr="00654E86" w:rsidRDefault="00654E86" w:rsidP="00654E86">
      <w:pPr>
        <w:pStyle w:val="enumlev1"/>
        <w:rPr>
          <w:lang w:val="ar-SA"/>
        </w:rPr>
      </w:pPr>
      <w:r w:rsidRPr="00654E86">
        <w:sym w:font="Symbol" w:char="F0B7"/>
      </w:r>
      <w:r w:rsidRPr="00654E86">
        <w:tab/>
      </w:r>
      <w:hyperlink r:id="rId12" w:history="1">
        <w:r w:rsidRPr="00654E86">
          <w:rPr>
            <w:rStyle w:val="Hyperlink"/>
            <w:rtl/>
            <w:lang w:bidi="ar-SA"/>
          </w:rPr>
          <w:t xml:space="preserve">جمعية </w:t>
        </w:r>
        <w:proofErr w:type="spellStart"/>
        <w:r w:rsidRPr="00654E86">
          <w:rPr>
            <w:rStyle w:val="Hyperlink"/>
            <w:rtl/>
            <w:lang w:bidi="ar-SA"/>
          </w:rPr>
          <w:t>السيتيفيرس</w:t>
        </w:r>
        <w:proofErr w:type="spellEnd"/>
        <w:r w:rsidRPr="00654E86">
          <w:rPr>
            <w:rStyle w:val="Hyperlink"/>
            <w:rtl/>
            <w:lang w:bidi="ar-SA"/>
          </w:rPr>
          <w:t xml:space="preserve"> الثانية</w:t>
        </w:r>
      </w:hyperlink>
      <w:r w:rsidRPr="00654E86">
        <w:rPr>
          <w:rtl/>
          <w:lang w:bidi="ar-SA"/>
        </w:rPr>
        <w:t xml:space="preserve"> (12 مايو 2026)،</w:t>
      </w:r>
      <w:hyperlink r:id="rId13" w:history="1"/>
    </w:p>
    <w:p w14:paraId="1A4A73B5" w14:textId="1E7D31E2" w:rsidR="00654E86" w:rsidRPr="00654E86" w:rsidRDefault="00654E86" w:rsidP="00654E86">
      <w:pPr>
        <w:pStyle w:val="enumlev1"/>
        <w:rPr>
          <w:lang w:val="ar-SA"/>
        </w:rPr>
      </w:pPr>
      <w:r w:rsidRPr="00654E86">
        <w:sym w:font="Symbol" w:char="F0B7"/>
      </w:r>
      <w:r w:rsidRPr="00654E86">
        <w:tab/>
      </w:r>
      <w:hyperlink r:id="rId14" w:anchor="/ar" w:history="1">
        <w:r w:rsidRPr="00654E86">
          <w:rPr>
            <w:rStyle w:val="Hyperlink"/>
            <w:rtl/>
            <w:lang w:bidi="ar-SA"/>
          </w:rPr>
          <w:t>اجتماع لجنة الدراسات 20 لقطاع تقييس الاتصالات بشأن إنترنت الأشياء والتوائم الرقمية والمدن والمجتمعات الذكية المستدامة</w:t>
        </w:r>
      </w:hyperlink>
      <w:r w:rsidRPr="00654E86">
        <w:rPr>
          <w:rtl/>
          <w:lang w:bidi="ar-SA"/>
        </w:rPr>
        <w:t xml:space="preserve"> (12-21 مايو 2026).</w:t>
      </w:r>
      <w:hyperlink r:id="rId15" w:history="1"/>
    </w:p>
    <w:p w14:paraId="3545A0E6" w14:textId="77777777" w:rsidR="00654E86" w:rsidRPr="00654E86" w:rsidRDefault="00654E86" w:rsidP="00654E86">
      <w:pPr>
        <w:rPr>
          <w:lang w:val="ar-SA" w:bidi="ar-SY"/>
        </w:rPr>
      </w:pPr>
      <w:r w:rsidRPr="00654E86">
        <w:rPr>
          <w:rtl/>
        </w:rPr>
        <w:t>5</w:t>
      </w:r>
      <w:r w:rsidRPr="00654E86">
        <w:rPr>
          <w:rtl/>
        </w:rPr>
        <w:tab/>
        <w:t>والمشاركة في حدث يوم الأمم المتحدة للعوالم الافتراضية مجانية ومفتوحة لفرادى الخبراء والمنظمات من جميع القطاعات والتخصصات ذات الصلة.</w:t>
      </w:r>
    </w:p>
    <w:p w14:paraId="4B3A6F98" w14:textId="1A702F27" w:rsidR="00654E86" w:rsidRPr="00654E86" w:rsidRDefault="00654E86" w:rsidP="00654E86">
      <w:pPr>
        <w:rPr>
          <w:lang w:val="ar-SA" w:bidi="ar-SY"/>
        </w:rPr>
      </w:pPr>
      <w:r w:rsidRPr="00654E86">
        <w:rPr>
          <w:rtl/>
        </w:rPr>
        <w:t>6</w:t>
      </w:r>
      <w:r w:rsidRPr="00654E86">
        <w:rPr>
          <w:rtl/>
        </w:rPr>
        <w:tab/>
        <w:t xml:space="preserve">ولتمكين الاتحاد من اتخاذ الترتيبات اللازمة، يُرجى من المشاركين التسجيل عبر الإنترنت من خلال </w:t>
      </w:r>
      <w:hyperlink r:id="rId16" w:anchor="/ar" w:history="1">
        <w:r w:rsidRPr="00654E86">
          <w:rPr>
            <w:rStyle w:val="Hyperlink"/>
            <w:rtl/>
          </w:rPr>
          <w:t>الصفحة الرئيسية ليوم الأمم المتحدة للعوالم الافتراضية</w:t>
        </w:r>
      </w:hyperlink>
      <w:r w:rsidRPr="00654E86">
        <w:rPr>
          <w:rtl/>
        </w:rPr>
        <w:t>، في أقرب وقت ممكن. ونظراً لعدد الأماكن المحدود، ستعالَج طلبات التسجيل على أساس أسبقية تقديمها. والتسجيل إلزامي للمشاركة عن بُعد وفي مكان الحدث على السواء، ويجري</w:t>
      </w:r>
      <w:r w:rsidR="008B5F56">
        <w:rPr>
          <w:rFonts w:hint="cs"/>
          <w:rtl/>
        </w:rPr>
        <w:t xml:space="preserve"> التسجيل المسبق</w:t>
      </w:r>
      <w:r w:rsidRPr="00654E86">
        <w:rPr>
          <w:rtl/>
        </w:rPr>
        <w:t xml:space="preserve"> إلكترونياً حصرياً.</w:t>
      </w:r>
      <w:hyperlink r:id="rId17" w:history="1"/>
    </w:p>
    <w:p w14:paraId="1BD80478" w14:textId="77777777" w:rsidR="00654E86" w:rsidRPr="00654E86" w:rsidRDefault="00654E86" w:rsidP="00654E86">
      <w:pPr>
        <w:rPr>
          <w:lang w:val="ar-SA" w:bidi="ar-SY"/>
        </w:rPr>
      </w:pPr>
      <w:r w:rsidRPr="00654E86">
        <w:rPr>
          <w:rtl/>
        </w:rPr>
        <w:t>7</w:t>
      </w:r>
      <w:r w:rsidRPr="00654E86">
        <w:rPr>
          <w:rtl/>
        </w:rPr>
        <w:tab/>
        <w:t xml:space="preserve">وأود أن أذكّركم بأن على مواطني بعض البلدان الحصول على تأشيرة لدخول سويسرا وقضاء بعض الوقت فيها. </w:t>
      </w:r>
      <w:r w:rsidRPr="00654E86">
        <w:rPr>
          <w:b/>
          <w:bCs/>
          <w:rtl/>
        </w:rPr>
        <w:t>ويجب طلب التأشيرة قبل تاريخ بدء الحدث بأربعة (4) أسابيع على الأقل</w:t>
      </w:r>
      <w:r w:rsidRPr="00654E86">
        <w:rPr>
          <w:rtl/>
        </w:rPr>
        <w:t>، والحصول عليها من المكتب (السفارة أو القنصلية) الذي يمثل سويسرا في بلدكم، أو من أقرب مكتب من بلد المغادرة في حالة عدم وجود مثل هذا المكتب في بلدكم.</w:t>
      </w:r>
    </w:p>
    <w:p w14:paraId="493038CC" w14:textId="1FA65224" w:rsidR="00654E86" w:rsidRPr="00654E86" w:rsidRDefault="00654E86" w:rsidP="00654E86">
      <w:pPr>
        <w:rPr>
          <w:lang w:val="ar-SA" w:bidi="ar-SY"/>
        </w:rPr>
      </w:pPr>
      <w:r w:rsidRPr="00654E86">
        <w:rPr>
          <w:rtl/>
        </w:rPr>
        <w:t>8</w:t>
      </w:r>
      <w:r w:rsidRPr="00654E86">
        <w:rPr>
          <w:rtl/>
        </w:rPr>
        <w:tab/>
      </w:r>
      <w:r w:rsidRPr="00654E86">
        <w:rPr>
          <w:rtl/>
        </w:rPr>
        <w:tab/>
        <w:t xml:space="preserve">وستتاح تفاصيل ووثائق إضافية، بما في ذلك ما يتعلق بالتسجيل والبرنامج، في </w:t>
      </w:r>
      <w:hyperlink r:id="rId18" w:anchor="/ar" w:history="1">
        <w:r w:rsidRPr="00654E86">
          <w:rPr>
            <w:rStyle w:val="Hyperlink"/>
            <w:rtl/>
          </w:rPr>
          <w:t>الصفحة الرئيسية ليوم الأمم المتحدة للعوالم الافتراضية</w:t>
        </w:r>
      </w:hyperlink>
      <w:r w:rsidRPr="00654E86">
        <w:rPr>
          <w:rtl/>
        </w:rPr>
        <w:t>.</w:t>
      </w:r>
      <w:hyperlink r:id="rId19" w:history="1"/>
    </w:p>
    <w:p w14:paraId="59FFD5B5" w14:textId="77777777" w:rsidR="00654E86" w:rsidRPr="00654E86" w:rsidRDefault="00654E86" w:rsidP="00654E86">
      <w:pPr>
        <w:rPr>
          <w:lang w:val="ar-SA" w:bidi="ar-SY"/>
        </w:rPr>
      </w:pPr>
      <w:r w:rsidRPr="00654E86">
        <w:rPr>
          <w:rtl/>
        </w:rPr>
        <w:t>أتمنى لكم حدثاً مثمراً وممتعاً.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654E86" w:rsidRPr="00D517B2" w14:paraId="4EAD0E84" w14:textId="77777777" w:rsidTr="00CE00B7">
        <w:trPr>
          <w:trHeight w:val="2516"/>
        </w:trPr>
        <w:tc>
          <w:tcPr>
            <w:tcW w:w="3014" w:type="pct"/>
          </w:tcPr>
          <w:p w14:paraId="53BCB339" w14:textId="77777777" w:rsidR="00654E86" w:rsidRPr="00D517B2" w:rsidRDefault="00654E86" w:rsidP="00CE00B7">
            <w:pPr>
              <w:spacing w:before="240"/>
              <w:ind w:left="-57"/>
              <w:jc w:val="left"/>
              <w:rPr>
                <w:rtl/>
                <w:lang w:bidi="ar-EG"/>
              </w:rPr>
            </w:pPr>
            <w:r w:rsidRPr="00D517B2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093480AE" w14:textId="77777777" w:rsidR="00654E86" w:rsidRPr="00D517B2" w:rsidRDefault="00654E86" w:rsidP="00CE00B7">
            <w:pPr>
              <w:spacing w:before="720" w:after="720"/>
              <w:ind w:left="-57"/>
              <w:jc w:val="left"/>
              <w:rPr>
                <w:i/>
                <w:iCs/>
                <w:lang w:bidi="ar-SY"/>
              </w:rPr>
            </w:pPr>
            <w:r w:rsidRPr="00332851">
              <w:rPr>
                <w:rFonts w:hint="cs"/>
                <w:rtl/>
                <w:lang w:bidi="ar-SY"/>
              </w:rPr>
              <w:t>(</w:t>
            </w:r>
            <w:r>
              <w:rPr>
                <w:rFonts w:hint="eastAsia"/>
                <w:rtl/>
                <w:lang w:bidi="ar-SY"/>
              </w:rPr>
              <w:t> </w:t>
            </w:r>
            <w:r w:rsidRPr="00D517B2">
              <w:rPr>
                <w:rFonts w:hint="cs"/>
                <w:i/>
                <w:iCs/>
                <w:rtl/>
                <w:lang w:bidi="ar-SY"/>
              </w:rPr>
              <w:t>توقيع</w:t>
            </w:r>
            <w:r w:rsidRPr="00332851">
              <w:rPr>
                <w:rFonts w:hint="cs"/>
                <w:rtl/>
                <w:lang w:bidi="ar-SY"/>
              </w:rPr>
              <w:t>)</w:t>
            </w:r>
          </w:p>
          <w:p w14:paraId="3E394710" w14:textId="77777777" w:rsidR="00654E86" w:rsidRPr="00D517B2" w:rsidRDefault="00654E86" w:rsidP="00CE00B7">
            <w:pPr>
              <w:ind w:left="-57"/>
              <w:jc w:val="left"/>
              <w:rPr>
                <w:rtl/>
              </w:rPr>
            </w:pPr>
            <w:proofErr w:type="spellStart"/>
            <w:r w:rsidRPr="00EE13B6">
              <w:rPr>
                <w:rtl/>
              </w:rPr>
              <w:t>سيزو</w:t>
            </w:r>
            <w:proofErr w:type="spellEnd"/>
            <w:r w:rsidRPr="00EE13B6">
              <w:rPr>
                <w:rtl/>
              </w:rPr>
              <w:t xml:space="preserve"> </w:t>
            </w:r>
            <w:proofErr w:type="spellStart"/>
            <w:r w:rsidRPr="00EE13B6">
              <w:rPr>
                <w:rtl/>
              </w:rPr>
              <w:t>أونوي</w:t>
            </w:r>
            <w:proofErr w:type="spellEnd"/>
            <w:r w:rsidRPr="00D517B2">
              <w:rPr>
                <w:rtl/>
                <w:lang w:bidi="ar-SY"/>
              </w:rPr>
              <w:br/>
            </w:r>
            <w:r w:rsidRPr="00D517B2">
              <w:rPr>
                <w:rFonts w:hint="cs"/>
                <w:rtl/>
                <w:lang w:bidi="ar-SY"/>
              </w:rPr>
              <w:t>مدير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مكتب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تقييس</w:t>
            </w:r>
            <w:r w:rsidRPr="00D517B2">
              <w:rPr>
                <w:rtl/>
                <w:lang w:bidi="ar-SY"/>
              </w:rPr>
              <w:t xml:space="preserve"> </w:t>
            </w:r>
            <w:r w:rsidRPr="00D517B2">
              <w:rPr>
                <w:rFonts w:hint="cs"/>
                <w:rtl/>
                <w:lang w:bidi="ar-SY"/>
              </w:rPr>
              <w:t>الاتصالات</w:t>
            </w:r>
          </w:p>
        </w:tc>
        <w:tc>
          <w:tcPr>
            <w:tcW w:w="1986" w:type="pct"/>
          </w:tcPr>
          <w:p w14:paraId="3667FEF7" w14:textId="77777777" w:rsidR="00654E86" w:rsidRPr="00D517B2" w:rsidRDefault="00654E86" w:rsidP="00CE00B7">
            <w:pPr>
              <w:jc w:val="left"/>
              <w:rPr>
                <w:rtl/>
              </w:rPr>
            </w:pPr>
            <w:r w:rsidRPr="00D517B2">
              <w:rPr>
                <w:rFonts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012AE0D" wp14:editId="47AC093B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147320</wp:posOffset>
                      </wp:positionV>
                      <wp:extent cx="1817370" cy="1626235"/>
                      <wp:effectExtent l="0" t="0" r="11430" b="12065"/>
                      <wp:wrapThrough wrapText="bothSides">
                        <wp:wrapPolygon edited="0">
                          <wp:start x="0" y="0"/>
                          <wp:lineTo x="0" y="21507"/>
                          <wp:lineTo x="21509" y="21507"/>
                          <wp:lineTo x="21509" y="0"/>
                          <wp:lineTo x="0" y="0"/>
                        </wp:wrapPolygon>
                      </wp:wrapThrough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0" cy="1626235"/>
                                <a:chOff x="0" y="0"/>
                                <a:chExt cx="1817580" cy="1626847"/>
                              </a:xfrm>
                              <a:noFill/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0"/>
                                  <a:ext cx="1817580" cy="162684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0F33EB" w14:textId="4CA976F4" w:rsidR="00654E86" w:rsidRDefault="00654E86" w:rsidP="00654E86">
                                    <w:pPr>
                                      <w:spacing w:before="0" w:line="240" w:lineRule="auto"/>
                                      <w:ind w:left="170"/>
                                      <w:jc w:val="center"/>
                                      <w:rPr>
                                        <w:rtl/>
                                        <w:lang w:bidi="ar-EG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C454EA0" wp14:editId="29E61DC1">
                                          <wp:extent cx="1240325" cy="1240325"/>
                                          <wp:effectExtent l="0" t="0" r="0" b="0"/>
                                          <wp:docPr id="1418310678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53483" cy="125348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408064" y="113805"/>
                                  <a:ext cx="409516" cy="122876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AB1970" w14:textId="3EBC1099" w:rsidR="00654E86" w:rsidRPr="00D517B2" w:rsidRDefault="00654E86" w:rsidP="00654E86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bidi="ar-EG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ar-EG"/>
                                      </w:rPr>
                                      <w:t>معلومات إضافية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2AE0D" id="Group 9" o:spid="_x0000_s1026" style="position:absolute;left:0;text-align:left;margin-left:33.6pt;margin-top:11.6pt;width:143.1pt;height:128.05pt;z-index:-251657216" coordsize="18175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width:18175;height:16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" filled="f" strokeweight=".5pt">
                        <v:textbox inset="0,0,0,0">
                          <w:txbxContent>
                            <w:p w14:paraId="5A0F33EB" w14:textId="4CA976F4" w:rsidR="00654E86" w:rsidRDefault="00654E86" w:rsidP="00654E86">
                              <w:pPr>
                                <w:spacing w:before="0" w:line="240" w:lineRule="auto"/>
                                <w:ind w:left="170"/>
                                <w:jc w:val="center"/>
                                <w:rPr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C454EA0" wp14:editId="29E61DC1">
                                    <wp:extent cx="1240325" cy="1240325"/>
                                    <wp:effectExtent l="0" t="0" r="0" b="0"/>
                                    <wp:docPr id="1418310678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3483" cy="12534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8" o:spid="_x0000_s1028" type="#_x0000_t202" style="position:absolute;left:14080;top:1138;width:4095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" filled="f" stroked="f" strokeweight=".5pt">
                        <v:textbox style="layout-flow:vertical;mso-layout-flow-alt:bottom-to-top" inset="0,0,0,0">
                          <w:txbxContent>
                            <w:p w14:paraId="23AB1970" w14:textId="3EBC1099" w:rsidR="00654E86" w:rsidRPr="00D517B2" w:rsidRDefault="00654E86" w:rsidP="00654E86">
                              <w:pPr>
                                <w:spacing w:before="60" w:line="144" w:lineRule="auto"/>
                                <w:jc w:val="center"/>
                                <w:rPr>
                                  <w:sz w:val="20"/>
                                  <w:szCs w:val="20"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  <w:t>معلومات إضافية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</w:tbl>
    <w:p w14:paraId="554CC723" w14:textId="1EE2357A" w:rsidR="00DD6915" w:rsidRDefault="00DD6915" w:rsidP="00654E86">
      <w:pPr>
        <w:spacing w:before="240"/>
        <w:jc w:val="left"/>
        <w:rPr>
          <w:lang w:bidi="ar-EG"/>
        </w:rPr>
      </w:pPr>
    </w:p>
    <w:sectPr w:rsidR="00DD6915" w:rsidSect="006C3242">
      <w:headerReference w:type="default" r:id="rId21"/>
      <w:footerReference w:type="first" r:id="rId2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79E2" w14:textId="77777777" w:rsidR="00654E86" w:rsidRDefault="00654E86" w:rsidP="006C3242">
      <w:pPr>
        <w:spacing w:before="0" w:line="240" w:lineRule="auto"/>
      </w:pPr>
      <w:r>
        <w:separator/>
      </w:r>
    </w:p>
  </w:endnote>
  <w:endnote w:type="continuationSeparator" w:id="0">
    <w:p w14:paraId="334ECDAE" w14:textId="77777777" w:rsidR="00654E86" w:rsidRDefault="00654E8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raditional Arabic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F4C5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5473" w14:textId="77777777" w:rsidR="00654E86" w:rsidRDefault="00654E86" w:rsidP="006C3242">
      <w:pPr>
        <w:spacing w:before="0" w:line="240" w:lineRule="auto"/>
      </w:pPr>
      <w:r>
        <w:separator/>
      </w:r>
    </w:p>
  </w:footnote>
  <w:footnote w:type="continuationSeparator" w:id="0">
    <w:p w14:paraId="207604C3" w14:textId="77777777" w:rsidR="00654E86" w:rsidRDefault="00654E8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F075" w14:textId="71B7CF80" w:rsidR="00447F32" w:rsidRPr="00596808" w:rsidRDefault="00596808" w:rsidP="00B916A7">
    <w:pPr>
      <w:pStyle w:val="Header"/>
      <w:spacing w:after="240" w:line="192" w:lineRule="auto"/>
      <w:jc w:val="center"/>
      <w:rPr>
        <w:rtl/>
      </w:rPr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654E86">
      <w:rPr>
        <w:sz w:val="20"/>
        <w:szCs w:val="20"/>
        <w:lang w:bidi="ar-EG"/>
      </w:rPr>
      <w:t>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E5738"/>
    <w:multiLevelType w:val="hybridMultilevel"/>
    <w:tmpl w:val="8F06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80181218">
    <w:abstractNumId w:val="9"/>
  </w:num>
  <w:num w:numId="2" w16cid:durableId="376005570">
    <w:abstractNumId w:val="7"/>
  </w:num>
  <w:num w:numId="3" w16cid:durableId="639193220">
    <w:abstractNumId w:val="6"/>
  </w:num>
  <w:num w:numId="4" w16cid:durableId="340160401">
    <w:abstractNumId w:val="5"/>
  </w:num>
  <w:num w:numId="5" w16cid:durableId="109589037">
    <w:abstractNumId w:val="4"/>
  </w:num>
  <w:num w:numId="6" w16cid:durableId="2048142625">
    <w:abstractNumId w:val="8"/>
  </w:num>
  <w:num w:numId="7" w16cid:durableId="1013265783">
    <w:abstractNumId w:val="3"/>
  </w:num>
  <w:num w:numId="8" w16cid:durableId="1496919553">
    <w:abstractNumId w:val="2"/>
  </w:num>
  <w:num w:numId="9" w16cid:durableId="49110613">
    <w:abstractNumId w:val="1"/>
  </w:num>
  <w:num w:numId="10" w16cid:durableId="1100763512">
    <w:abstractNumId w:val="0"/>
  </w:num>
  <w:num w:numId="11" w16cid:durableId="459147797">
    <w:abstractNumId w:val="11"/>
  </w:num>
  <w:num w:numId="12" w16cid:durableId="747771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86"/>
    <w:rsid w:val="00002A63"/>
    <w:rsid w:val="0006468A"/>
    <w:rsid w:val="00090574"/>
    <w:rsid w:val="000C1C0E"/>
    <w:rsid w:val="000C548A"/>
    <w:rsid w:val="000E327F"/>
    <w:rsid w:val="00116C2C"/>
    <w:rsid w:val="00146FE2"/>
    <w:rsid w:val="001C0169"/>
    <w:rsid w:val="001D1D50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6019C6"/>
    <w:rsid w:val="00654E86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8B5F56"/>
    <w:rsid w:val="0091702E"/>
    <w:rsid w:val="00923B0C"/>
    <w:rsid w:val="00926F44"/>
    <w:rsid w:val="0094021C"/>
    <w:rsid w:val="0094432F"/>
    <w:rsid w:val="00952F86"/>
    <w:rsid w:val="00982B28"/>
    <w:rsid w:val="0099778F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56577"/>
    <w:rsid w:val="00B64B47"/>
    <w:rsid w:val="00B916A7"/>
    <w:rsid w:val="00BB0F08"/>
    <w:rsid w:val="00BC5C0E"/>
    <w:rsid w:val="00C002DE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84438"/>
    <w:rsid w:val="00E92863"/>
    <w:rsid w:val="00EB796D"/>
    <w:rsid w:val="00F058DC"/>
    <w:rsid w:val="00F24FC4"/>
    <w:rsid w:val="00F2676C"/>
    <w:rsid w:val="00F52941"/>
    <w:rsid w:val="00F84366"/>
    <w:rsid w:val="00F85089"/>
    <w:rsid w:val="00F92FE0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0F439"/>
  <w15:chartTrackingRefBased/>
  <w15:docId w15:val="{C64928BA-E4E5-45DB-A4AA-BA2AF406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etaverse/virtual-worlds/2nd-citiverse-assembly/" TargetMode="External"/><Relationship Id="rId18" Type="http://schemas.openxmlformats.org/officeDocument/2006/relationships/hyperlink" Target="https://www.itu.int/un-virtual-worlds-day/2026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etaverse/virtual-worlds/2nd-citiverse-assembly/" TargetMode="External"/><Relationship Id="rId17" Type="http://schemas.openxmlformats.org/officeDocument/2006/relationships/hyperlink" Target="https://www.itu.int/un-virtual-worlds-day/202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un-virtual-worlds-day/2026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un-virtual-worlds-day/2026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2025-2028/20/Pages/defaul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un-virtual-worlds-day/2026/" TargetMode="External"/><Relationship Id="rId19" Type="http://schemas.openxmlformats.org/officeDocument/2006/relationships/hyperlink" Target="https://www.itu.int/un-virtual-worlds-day/2026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rtualworlds@itu.int" TargetMode="External"/><Relationship Id="rId14" Type="http://schemas.openxmlformats.org/officeDocument/2006/relationships/hyperlink" Target="https://www.itu.int/en/ITU-T/studygroups/2025-2028/20/Pages/default.asp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</dc:creator>
  <cp:keywords/>
  <dc:description/>
  <cp:lastModifiedBy>Maguire, Mairéad</cp:lastModifiedBy>
  <cp:revision>2</cp:revision>
  <dcterms:created xsi:type="dcterms:W3CDTF">2026-04-08T14:00:00Z</dcterms:created>
  <dcterms:modified xsi:type="dcterms:W3CDTF">2026-04-08T14:00:00Z</dcterms:modified>
</cp:coreProperties>
</file>