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246"/>
        <w:tblW w:w="5000" w:type="pct"/>
        <w:tblLayout w:type="fixed"/>
        <w:tblLook w:val="0000" w:firstRow="0" w:lastRow="0" w:firstColumn="0" w:lastColumn="0" w:noHBand="0" w:noVBand="0"/>
      </w:tblPr>
      <w:tblGrid>
        <w:gridCol w:w="1134"/>
        <w:gridCol w:w="10"/>
        <w:gridCol w:w="3434"/>
        <w:gridCol w:w="3148"/>
        <w:gridCol w:w="2003"/>
      </w:tblGrid>
      <w:tr w:rsidR="00FA46A0" w:rsidRPr="00EE3A88" w14:paraId="2F3AEBE3" w14:textId="77777777" w:rsidTr="0001529B">
        <w:trPr>
          <w:trHeight w:val="1282"/>
        </w:trPr>
        <w:tc>
          <w:tcPr>
            <w:tcW w:w="1144" w:type="dxa"/>
            <w:gridSpan w:val="2"/>
            <w:tcMar>
              <w:left w:w="0" w:type="dxa"/>
              <w:right w:w="0" w:type="dxa"/>
            </w:tcMar>
            <w:vAlign w:val="center"/>
          </w:tcPr>
          <w:p w14:paraId="7BABF41D" w14:textId="77777777" w:rsidR="00FA46A0" w:rsidRPr="00EE3A88" w:rsidRDefault="009747C5" w:rsidP="0001529B">
            <w:pPr>
              <w:pStyle w:val="Tabletext"/>
              <w:jc w:val="center"/>
            </w:pPr>
            <w:r w:rsidRPr="00EE3A88">
              <w:rPr>
                <w:noProof/>
                <w:lang w:eastAsia="fr-CH"/>
              </w:rPr>
              <w:drawing>
                <wp:inline distT="0" distB="0" distL="0" distR="0" wp14:anchorId="3BA9F842" wp14:editId="02A5BE98">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582" w:type="dxa"/>
            <w:gridSpan w:val="2"/>
            <w:tcMar>
              <w:left w:w="142" w:type="dxa"/>
            </w:tcMar>
            <w:vAlign w:val="center"/>
          </w:tcPr>
          <w:p w14:paraId="0EC0ECC8" w14:textId="77777777" w:rsidR="00FA46A0" w:rsidRPr="00EE3A88" w:rsidRDefault="00B61012" w:rsidP="0001529B">
            <w:pPr>
              <w:spacing w:before="0"/>
              <w:rPr>
                <w:rFonts w:cs="Times New Roman Bold"/>
                <w:b/>
                <w:bCs/>
                <w:smallCaps/>
                <w:sz w:val="26"/>
                <w:szCs w:val="26"/>
              </w:rPr>
            </w:pPr>
            <w:r w:rsidRPr="00EE3A88">
              <w:rPr>
                <w:rFonts w:cs="Times New Roman Bold"/>
                <w:b/>
                <w:bCs/>
                <w:smallCaps/>
                <w:sz w:val="36"/>
                <w:szCs w:val="36"/>
              </w:rPr>
              <w:t>International telecommunication union</w:t>
            </w:r>
          </w:p>
          <w:p w14:paraId="1A486C08" w14:textId="77777777" w:rsidR="00FA46A0" w:rsidRPr="00EE3A88" w:rsidRDefault="00B61012" w:rsidP="0001529B">
            <w:pPr>
              <w:spacing w:before="0"/>
              <w:rPr>
                <w:rFonts w:ascii="Verdana" w:hAnsi="Verdana"/>
                <w:color w:val="FFFFFF"/>
                <w:sz w:val="26"/>
                <w:szCs w:val="26"/>
              </w:rPr>
            </w:pPr>
            <w:r w:rsidRPr="00EE3A88">
              <w:rPr>
                <w:rFonts w:cs="Times New Roman Bold"/>
                <w:b/>
                <w:bCs/>
                <w:iCs/>
                <w:smallCaps/>
                <w:sz w:val="28"/>
                <w:szCs w:val="28"/>
              </w:rPr>
              <w:t>Telecommunication Standardization Bureau</w:t>
            </w:r>
          </w:p>
        </w:tc>
        <w:tc>
          <w:tcPr>
            <w:tcW w:w="2003" w:type="dxa"/>
            <w:vAlign w:val="center"/>
          </w:tcPr>
          <w:p w14:paraId="67652B4C" w14:textId="77777777" w:rsidR="00FA46A0" w:rsidRPr="00EE3A88" w:rsidRDefault="00FA46A0" w:rsidP="0001529B">
            <w:pPr>
              <w:spacing w:before="0"/>
              <w:jc w:val="right"/>
              <w:rPr>
                <w:rFonts w:ascii="Verdana" w:hAnsi="Verdana"/>
                <w:color w:val="FFFFFF"/>
                <w:sz w:val="26"/>
                <w:szCs w:val="26"/>
                <w:rtl/>
                <w:lang w:bidi="ar-EG"/>
              </w:rPr>
            </w:pPr>
          </w:p>
        </w:tc>
      </w:tr>
      <w:tr w:rsidR="00FA46A0" w:rsidRPr="00EE3A88" w14:paraId="7CBEEB9D" w14:textId="77777777" w:rsidTr="0001529B">
        <w:trPr>
          <w:cantSplit/>
          <w:trHeight w:val="539"/>
        </w:trPr>
        <w:tc>
          <w:tcPr>
            <w:tcW w:w="4578" w:type="dxa"/>
            <w:gridSpan w:val="3"/>
            <w:vAlign w:val="center"/>
          </w:tcPr>
          <w:p w14:paraId="02781ED0" w14:textId="77777777" w:rsidR="00FA46A0" w:rsidRPr="00EE3A88" w:rsidRDefault="00FA46A0" w:rsidP="0001529B">
            <w:pPr>
              <w:pStyle w:val="Tabletext"/>
              <w:jc w:val="right"/>
              <w:rPr>
                <w:rFonts w:cs="Calibri"/>
                <w:sz w:val="22"/>
                <w:szCs w:val="22"/>
              </w:rPr>
            </w:pPr>
          </w:p>
        </w:tc>
        <w:tc>
          <w:tcPr>
            <w:tcW w:w="5151" w:type="dxa"/>
            <w:gridSpan w:val="2"/>
            <w:vAlign w:val="center"/>
          </w:tcPr>
          <w:p w14:paraId="5542BFA4" w14:textId="2A394697" w:rsidR="00FA46A0" w:rsidRPr="000548D0" w:rsidRDefault="00B61012" w:rsidP="0001529B">
            <w:pPr>
              <w:pStyle w:val="Tabletext"/>
              <w:spacing w:before="240" w:after="120"/>
              <w:ind w:left="-108"/>
              <w:rPr>
                <w:rFonts w:cs="Calibri"/>
                <w:sz w:val="22"/>
                <w:szCs w:val="22"/>
                <w:lang w:eastAsia="zh-CN"/>
              </w:rPr>
            </w:pPr>
            <w:r w:rsidRPr="000548D0">
              <w:rPr>
                <w:rFonts w:cs="Calibri"/>
                <w:sz w:val="22"/>
                <w:szCs w:val="22"/>
              </w:rPr>
              <w:t xml:space="preserve">Geneva, </w:t>
            </w:r>
            <w:r w:rsidR="000548D0" w:rsidRPr="000548D0">
              <w:rPr>
                <w:rFonts w:cs="Calibri"/>
                <w:sz w:val="22"/>
                <w:szCs w:val="22"/>
                <w:lang w:eastAsia="zh-CN"/>
              </w:rPr>
              <w:t>3</w:t>
            </w:r>
            <w:r w:rsidR="00261FC3" w:rsidRPr="000548D0">
              <w:rPr>
                <w:rFonts w:cs="Calibri"/>
                <w:sz w:val="22"/>
                <w:szCs w:val="22"/>
              </w:rPr>
              <w:t xml:space="preserve"> </w:t>
            </w:r>
            <w:r w:rsidR="000548D0" w:rsidRPr="000548D0">
              <w:rPr>
                <w:rFonts w:cs="Calibri"/>
                <w:sz w:val="22"/>
                <w:szCs w:val="22"/>
                <w:lang w:eastAsia="zh-CN"/>
              </w:rPr>
              <w:t>March</w:t>
            </w:r>
            <w:r w:rsidR="008561CB" w:rsidRPr="000548D0">
              <w:rPr>
                <w:rFonts w:cs="Calibri"/>
                <w:sz w:val="22"/>
                <w:szCs w:val="22"/>
              </w:rPr>
              <w:t xml:space="preserve"> 202</w:t>
            </w:r>
            <w:r w:rsidR="00BF2912" w:rsidRPr="000548D0">
              <w:rPr>
                <w:rFonts w:cs="Calibri" w:hint="eastAsia"/>
                <w:sz w:val="22"/>
                <w:szCs w:val="22"/>
                <w:lang w:eastAsia="zh-CN"/>
              </w:rPr>
              <w:t>6</w:t>
            </w:r>
          </w:p>
        </w:tc>
      </w:tr>
      <w:tr w:rsidR="00CA5E93" w:rsidRPr="00EE3A88" w14:paraId="5B9F57B8" w14:textId="77777777" w:rsidTr="0001529B">
        <w:trPr>
          <w:cantSplit/>
          <w:trHeight w:val="746"/>
        </w:trPr>
        <w:tc>
          <w:tcPr>
            <w:tcW w:w="1134" w:type="dxa"/>
          </w:tcPr>
          <w:p w14:paraId="4361F29A" w14:textId="77777777" w:rsidR="00CA5E93" w:rsidRPr="00EE3A88" w:rsidRDefault="00CA5E93" w:rsidP="0001529B">
            <w:pPr>
              <w:pStyle w:val="Tabletext"/>
              <w:ind w:left="-110"/>
              <w:rPr>
                <w:rFonts w:cs="Calibri"/>
                <w:sz w:val="22"/>
                <w:szCs w:val="22"/>
              </w:rPr>
            </w:pPr>
            <w:r w:rsidRPr="00EE3A88">
              <w:rPr>
                <w:rFonts w:cs="Calibri"/>
                <w:b/>
                <w:sz w:val="22"/>
                <w:szCs w:val="22"/>
              </w:rPr>
              <w:t>Ref:</w:t>
            </w:r>
          </w:p>
        </w:tc>
        <w:tc>
          <w:tcPr>
            <w:tcW w:w="3444" w:type="dxa"/>
            <w:gridSpan w:val="2"/>
          </w:tcPr>
          <w:p w14:paraId="101ED353" w14:textId="67FDE958" w:rsidR="00CA5E93" w:rsidRPr="002705B4" w:rsidRDefault="00CA5E93" w:rsidP="0001529B">
            <w:pPr>
              <w:pStyle w:val="CircularNo"/>
              <w:rPr>
                <w:lang w:eastAsia="zh-CN"/>
              </w:rPr>
            </w:pPr>
            <w:r w:rsidRPr="002705B4">
              <w:t xml:space="preserve">TSB Circular </w:t>
            </w:r>
            <w:r w:rsidRPr="000548D0">
              <w:rPr>
                <w:lang w:eastAsia="zh-CN"/>
              </w:rPr>
              <w:t>120</w:t>
            </w:r>
          </w:p>
          <w:p w14:paraId="1FA4CE7F" w14:textId="28EC0392" w:rsidR="00CA5E93" w:rsidRPr="002705B4" w:rsidRDefault="00CA5E93" w:rsidP="0001529B">
            <w:pPr>
              <w:pStyle w:val="Tabletext"/>
              <w:spacing w:before="0"/>
              <w:rPr>
                <w:rFonts w:cs="Calibri"/>
                <w:b/>
                <w:sz w:val="22"/>
                <w:szCs w:val="22"/>
                <w:lang w:val="pt-PT"/>
              </w:rPr>
            </w:pPr>
            <w:r w:rsidRPr="002705B4">
              <w:rPr>
                <w:rFonts w:cs="Calibri"/>
                <w:b/>
                <w:sz w:val="22"/>
                <w:szCs w:val="22"/>
                <w:lang w:val="pt-PT"/>
              </w:rPr>
              <w:t>FG-</w:t>
            </w:r>
            <w:r w:rsidRPr="002705B4">
              <w:rPr>
                <w:rFonts w:eastAsiaTheme="minorEastAsia" w:cs="Calibri" w:hint="eastAsia"/>
                <w:b/>
                <w:sz w:val="22"/>
                <w:szCs w:val="22"/>
                <w:lang w:val="pt-PT" w:eastAsia="zh-CN"/>
              </w:rPr>
              <w:t>EAI</w:t>
            </w:r>
            <w:r w:rsidRPr="002705B4">
              <w:rPr>
                <w:rFonts w:cs="Calibri"/>
                <w:b/>
                <w:sz w:val="22"/>
                <w:szCs w:val="22"/>
                <w:lang w:val="pt-PT"/>
              </w:rPr>
              <w:t>/SP</w:t>
            </w:r>
          </w:p>
        </w:tc>
        <w:tc>
          <w:tcPr>
            <w:tcW w:w="5151" w:type="dxa"/>
            <w:gridSpan w:val="2"/>
            <w:vMerge w:val="restart"/>
          </w:tcPr>
          <w:p w14:paraId="10929BBB" w14:textId="77777777" w:rsidR="00CA5E93" w:rsidRPr="00EE3A88" w:rsidRDefault="00CA5E93" w:rsidP="0001529B">
            <w:pPr>
              <w:tabs>
                <w:tab w:val="clear" w:pos="794"/>
                <w:tab w:val="clear" w:pos="1191"/>
                <w:tab w:val="clear" w:pos="1588"/>
                <w:tab w:val="clear" w:pos="1985"/>
                <w:tab w:val="left" w:pos="241"/>
              </w:tabs>
              <w:spacing w:before="0"/>
              <w:ind w:left="283" w:hanging="391"/>
              <w:rPr>
                <w:rFonts w:cs="Calibri"/>
                <w:sz w:val="22"/>
                <w:szCs w:val="22"/>
              </w:rPr>
            </w:pPr>
            <w:r w:rsidRPr="00EE3A88">
              <w:rPr>
                <w:rFonts w:cs="Calibri"/>
                <w:b/>
                <w:sz w:val="22"/>
                <w:szCs w:val="22"/>
              </w:rPr>
              <w:t>To:</w:t>
            </w:r>
          </w:p>
          <w:p w14:paraId="59600780" w14:textId="30134FD6" w:rsidR="00CA5E93" w:rsidRPr="00EE3A88" w:rsidRDefault="00CA5E93" w:rsidP="0001529B">
            <w:pPr>
              <w:tabs>
                <w:tab w:val="clear" w:pos="794"/>
                <w:tab w:val="clear" w:pos="1191"/>
                <w:tab w:val="clear" w:pos="1588"/>
                <w:tab w:val="clear" w:pos="1985"/>
              </w:tabs>
              <w:spacing w:before="40" w:after="40"/>
              <w:ind w:left="283" w:hanging="391"/>
              <w:rPr>
                <w:rFonts w:cs="Calibri"/>
                <w:sz w:val="22"/>
                <w:szCs w:val="22"/>
              </w:rPr>
            </w:pPr>
            <w:r w:rsidRPr="00EE3A88">
              <w:rPr>
                <w:rFonts w:cs="Calibri"/>
                <w:sz w:val="22"/>
                <w:szCs w:val="22"/>
              </w:rPr>
              <w:t>-</w:t>
            </w:r>
            <w:r w:rsidRPr="00EE3A88">
              <w:rPr>
                <w:rFonts w:cs="Calibri"/>
                <w:sz w:val="22"/>
                <w:szCs w:val="22"/>
              </w:rPr>
              <w:tab/>
              <w:t xml:space="preserve">Administrations of Member States of the </w:t>
            </w:r>
            <w:proofErr w:type="gramStart"/>
            <w:r w:rsidRPr="00EE3A88">
              <w:rPr>
                <w:rFonts w:cs="Calibri"/>
                <w:sz w:val="22"/>
                <w:szCs w:val="22"/>
              </w:rPr>
              <w:t>Union</w:t>
            </w:r>
            <w:r>
              <w:rPr>
                <w:rFonts w:cs="Calibri"/>
                <w:sz w:val="22"/>
                <w:szCs w:val="22"/>
              </w:rPr>
              <w:t>;</w:t>
            </w:r>
            <w:proofErr w:type="gramEnd"/>
          </w:p>
          <w:p w14:paraId="5AA6457E" w14:textId="64AEF1F5" w:rsidR="00CA5E93" w:rsidRPr="00EE3A88" w:rsidRDefault="00CA5E93" w:rsidP="0001529B">
            <w:pPr>
              <w:tabs>
                <w:tab w:val="clear" w:pos="794"/>
                <w:tab w:val="clear" w:pos="1191"/>
                <w:tab w:val="clear" w:pos="1588"/>
                <w:tab w:val="clear" w:pos="1985"/>
              </w:tabs>
              <w:spacing w:before="40" w:after="40"/>
              <w:ind w:left="283" w:hanging="391"/>
              <w:rPr>
                <w:rFonts w:cs="Calibri"/>
                <w:sz w:val="22"/>
                <w:szCs w:val="22"/>
              </w:rPr>
            </w:pPr>
            <w:r w:rsidRPr="00EE3A88">
              <w:rPr>
                <w:sz w:val="22"/>
                <w:szCs w:val="22"/>
              </w:rPr>
              <w:t>-</w:t>
            </w:r>
            <w:r w:rsidRPr="00EE3A88">
              <w:rPr>
                <w:sz w:val="22"/>
                <w:szCs w:val="22"/>
              </w:rPr>
              <w:tab/>
              <w:t>The State of Palestine (Res. 99 (Rev. Dubai, 2018)</w:t>
            </w:r>
            <w:proofErr w:type="gramStart"/>
            <w:r w:rsidRPr="00EE3A88">
              <w:rPr>
                <w:sz w:val="22"/>
                <w:szCs w:val="22"/>
              </w:rPr>
              <w:t>);</w:t>
            </w:r>
            <w:proofErr w:type="gramEnd"/>
          </w:p>
          <w:p w14:paraId="6AAEA161" w14:textId="21A50735" w:rsidR="00CA5E93" w:rsidRPr="00064731" w:rsidRDefault="00CA5E93" w:rsidP="0001529B">
            <w:pPr>
              <w:tabs>
                <w:tab w:val="clear" w:pos="794"/>
                <w:tab w:val="clear" w:pos="1191"/>
                <w:tab w:val="clear" w:pos="1588"/>
                <w:tab w:val="clear" w:pos="1985"/>
              </w:tabs>
              <w:spacing w:before="40" w:after="40"/>
              <w:ind w:left="283" w:hanging="391"/>
              <w:rPr>
                <w:rFonts w:cs="Calibri"/>
                <w:sz w:val="22"/>
                <w:szCs w:val="22"/>
                <w:lang w:val="fr-FR"/>
              </w:rPr>
            </w:pPr>
            <w:r w:rsidRPr="00064731">
              <w:rPr>
                <w:rFonts w:cs="Calibri"/>
                <w:sz w:val="22"/>
                <w:szCs w:val="22"/>
                <w:lang w:val="fr-FR"/>
              </w:rPr>
              <w:t>-</w:t>
            </w:r>
            <w:r w:rsidRPr="00064731">
              <w:rPr>
                <w:rFonts w:cs="Calibri"/>
                <w:sz w:val="22"/>
                <w:szCs w:val="22"/>
                <w:lang w:val="fr-FR"/>
              </w:rPr>
              <w:tab/>
              <w:t xml:space="preserve">ITU-T </w:t>
            </w:r>
            <w:proofErr w:type="spellStart"/>
            <w:r w:rsidRPr="00064731">
              <w:rPr>
                <w:rFonts w:cs="Calibri"/>
                <w:sz w:val="22"/>
                <w:szCs w:val="22"/>
                <w:lang w:val="fr-FR"/>
              </w:rPr>
              <w:t>Sector</w:t>
            </w:r>
            <w:proofErr w:type="spellEnd"/>
            <w:r w:rsidRPr="00064731">
              <w:rPr>
                <w:rFonts w:cs="Calibri"/>
                <w:sz w:val="22"/>
                <w:szCs w:val="22"/>
                <w:lang w:val="fr-FR"/>
              </w:rPr>
              <w:t xml:space="preserve"> </w:t>
            </w:r>
            <w:proofErr w:type="gramStart"/>
            <w:r w:rsidRPr="00064731">
              <w:rPr>
                <w:rFonts w:cs="Calibri"/>
                <w:sz w:val="22"/>
                <w:szCs w:val="22"/>
                <w:lang w:val="fr-FR"/>
              </w:rPr>
              <w:t>Members</w:t>
            </w:r>
            <w:r>
              <w:rPr>
                <w:rFonts w:cs="Calibri"/>
                <w:sz w:val="22"/>
                <w:szCs w:val="22"/>
                <w:lang w:val="fr-FR"/>
              </w:rPr>
              <w:t>;</w:t>
            </w:r>
            <w:proofErr w:type="gramEnd"/>
          </w:p>
          <w:p w14:paraId="4872070A" w14:textId="6EDDA96E" w:rsidR="00CA5E93" w:rsidRPr="00064731" w:rsidRDefault="00CA5E93" w:rsidP="0001529B">
            <w:pPr>
              <w:tabs>
                <w:tab w:val="clear" w:pos="794"/>
                <w:tab w:val="clear" w:pos="1191"/>
                <w:tab w:val="clear" w:pos="1588"/>
                <w:tab w:val="clear" w:pos="1985"/>
              </w:tabs>
              <w:spacing w:before="40" w:after="40"/>
              <w:ind w:left="283" w:hanging="391"/>
              <w:rPr>
                <w:rFonts w:cs="Calibri"/>
                <w:sz w:val="22"/>
                <w:szCs w:val="22"/>
                <w:lang w:val="fr-FR"/>
              </w:rPr>
            </w:pPr>
            <w:r w:rsidRPr="00064731">
              <w:rPr>
                <w:rFonts w:cs="Calibri"/>
                <w:sz w:val="22"/>
                <w:szCs w:val="22"/>
                <w:lang w:val="fr-FR"/>
              </w:rPr>
              <w:t>-</w:t>
            </w:r>
            <w:r w:rsidRPr="00064731">
              <w:rPr>
                <w:rFonts w:cs="Calibri"/>
                <w:sz w:val="22"/>
                <w:szCs w:val="22"/>
                <w:lang w:val="fr-FR"/>
              </w:rPr>
              <w:tab/>
              <w:t xml:space="preserve">ITU-T </w:t>
            </w:r>
            <w:proofErr w:type="gramStart"/>
            <w:r w:rsidRPr="00064731">
              <w:rPr>
                <w:rFonts w:cs="Calibri"/>
                <w:sz w:val="22"/>
                <w:szCs w:val="22"/>
                <w:lang w:val="fr-FR"/>
              </w:rPr>
              <w:t>Associates</w:t>
            </w:r>
            <w:r>
              <w:rPr>
                <w:rFonts w:cs="Calibri"/>
                <w:sz w:val="22"/>
                <w:szCs w:val="22"/>
                <w:lang w:val="fr-FR"/>
              </w:rPr>
              <w:t>;</w:t>
            </w:r>
            <w:proofErr w:type="gramEnd"/>
          </w:p>
          <w:p w14:paraId="3D024AFE" w14:textId="77777777" w:rsidR="00CA5E93" w:rsidRPr="00EE3A88" w:rsidRDefault="00CA5E93" w:rsidP="0001529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3" w:hanging="391"/>
              <w:rPr>
                <w:rFonts w:cs="Calibri"/>
                <w:sz w:val="22"/>
                <w:szCs w:val="22"/>
              </w:rPr>
            </w:pPr>
            <w:r w:rsidRPr="00EE3A88">
              <w:rPr>
                <w:rFonts w:cs="Calibri"/>
                <w:sz w:val="22"/>
                <w:szCs w:val="22"/>
              </w:rPr>
              <w:t>-</w:t>
            </w:r>
            <w:r w:rsidRPr="00EE3A88">
              <w:rPr>
                <w:rFonts w:cs="Calibri"/>
                <w:sz w:val="22"/>
                <w:szCs w:val="22"/>
              </w:rPr>
              <w:tab/>
              <w:t>ITU Academia</w:t>
            </w:r>
          </w:p>
          <w:p w14:paraId="1C03CA04" w14:textId="77777777" w:rsidR="00CA5E93" w:rsidRPr="00EE3A88" w:rsidRDefault="00CA5E93" w:rsidP="0001529B">
            <w:pPr>
              <w:pStyle w:val="Tabletext"/>
              <w:ind w:left="283" w:hanging="391"/>
              <w:rPr>
                <w:rFonts w:cs="Calibri"/>
                <w:sz w:val="22"/>
                <w:szCs w:val="22"/>
              </w:rPr>
            </w:pPr>
            <w:r w:rsidRPr="00EE3A88">
              <w:rPr>
                <w:rFonts w:cs="Calibri"/>
                <w:b/>
                <w:sz w:val="22"/>
                <w:szCs w:val="22"/>
              </w:rPr>
              <w:t>Copy to:</w:t>
            </w:r>
          </w:p>
          <w:p w14:paraId="5869C9D4" w14:textId="77777777" w:rsidR="00CA5E93" w:rsidRPr="00EE3A88" w:rsidRDefault="00CA5E93" w:rsidP="0001529B">
            <w:pPr>
              <w:pStyle w:val="Tabletext"/>
              <w:tabs>
                <w:tab w:val="clear" w:pos="284"/>
              </w:tabs>
              <w:ind w:left="283" w:hanging="391"/>
              <w:rPr>
                <w:rFonts w:cs="Calibri"/>
                <w:sz w:val="22"/>
                <w:szCs w:val="22"/>
              </w:rPr>
            </w:pPr>
            <w:r w:rsidRPr="00EE3A88">
              <w:rPr>
                <w:rFonts w:cs="Calibri"/>
                <w:sz w:val="22"/>
                <w:szCs w:val="22"/>
              </w:rPr>
              <w:t>-</w:t>
            </w:r>
            <w:r w:rsidRPr="00EE3A88">
              <w:rPr>
                <w:rFonts w:cs="Calibri"/>
                <w:sz w:val="22"/>
                <w:szCs w:val="22"/>
              </w:rPr>
              <w:tab/>
              <w:t xml:space="preserve">The chairs and vice-chairs of ITU-T study </w:t>
            </w:r>
            <w:proofErr w:type="gramStart"/>
            <w:r w:rsidRPr="00EE3A88">
              <w:rPr>
                <w:rFonts w:cs="Calibri"/>
                <w:sz w:val="22"/>
                <w:szCs w:val="22"/>
              </w:rPr>
              <w:t>groups;</w:t>
            </w:r>
            <w:proofErr w:type="gramEnd"/>
          </w:p>
          <w:p w14:paraId="6D70A3B4" w14:textId="77777777" w:rsidR="00CA5E93" w:rsidRPr="00EE3A88" w:rsidRDefault="00CA5E93" w:rsidP="0001529B">
            <w:pPr>
              <w:pStyle w:val="Tabletext"/>
              <w:tabs>
                <w:tab w:val="clear" w:pos="284"/>
              </w:tabs>
              <w:ind w:left="283" w:hanging="391"/>
              <w:rPr>
                <w:rFonts w:cs="Calibri"/>
                <w:sz w:val="22"/>
                <w:szCs w:val="22"/>
              </w:rPr>
            </w:pPr>
            <w:r w:rsidRPr="00EE3A88">
              <w:rPr>
                <w:rFonts w:cs="Calibri"/>
                <w:sz w:val="22"/>
                <w:szCs w:val="22"/>
              </w:rPr>
              <w:t>-</w:t>
            </w:r>
            <w:r w:rsidRPr="00EE3A88">
              <w:rPr>
                <w:rFonts w:cs="Calibri"/>
                <w:sz w:val="22"/>
                <w:szCs w:val="22"/>
              </w:rPr>
              <w:tab/>
              <w:t xml:space="preserve">The Director of the Telecommunication Development </w:t>
            </w:r>
            <w:proofErr w:type="gramStart"/>
            <w:r w:rsidRPr="00EE3A88">
              <w:rPr>
                <w:rFonts w:cs="Calibri"/>
                <w:sz w:val="22"/>
                <w:szCs w:val="22"/>
              </w:rPr>
              <w:t>Bureau;</w:t>
            </w:r>
            <w:proofErr w:type="gramEnd"/>
          </w:p>
          <w:p w14:paraId="5984EDB0" w14:textId="15451A7E" w:rsidR="00CA5E93" w:rsidRPr="00EE3A88" w:rsidRDefault="00CA5E93" w:rsidP="0001529B">
            <w:pPr>
              <w:pStyle w:val="Tabletext"/>
              <w:ind w:left="283" w:hanging="391"/>
              <w:rPr>
                <w:rFonts w:cs="Calibri"/>
                <w:sz w:val="22"/>
                <w:szCs w:val="22"/>
              </w:rPr>
            </w:pPr>
            <w:r w:rsidRPr="00EE3A88">
              <w:rPr>
                <w:rFonts w:cs="Calibri"/>
                <w:sz w:val="22"/>
                <w:szCs w:val="22"/>
              </w:rPr>
              <w:t>-</w:t>
            </w:r>
            <w:r w:rsidRPr="00EE3A88">
              <w:rPr>
                <w:rFonts w:cs="Calibri"/>
                <w:sz w:val="22"/>
                <w:szCs w:val="22"/>
              </w:rPr>
              <w:tab/>
              <w:t>The Director of the Radiocommunication Bureau.</w:t>
            </w:r>
          </w:p>
        </w:tc>
      </w:tr>
      <w:tr w:rsidR="00CA5E93" w:rsidRPr="00EE3A88" w14:paraId="218C7AAB" w14:textId="77777777" w:rsidTr="0001529B">
        <w:trPr>
          <w:cantSplit/>
          <w:trHeight w:val="221"/>
        </w:trPr>
        <w:tc>
          <w:tcPr>
            <w:tcW w:w="1134" w:type="dxa"/>
          </w:tcPr>
          <w:p w14:paraId="0AF5256F" w14:textId="77777777" w:rsidR="00CA5E93" w:rsidRPr="00CA5E93" w:rsidRDefault="00CA5E93" w:rsidP="0001529B">
            <w:pPr>
              <w:pStyle w:val="Tabletext"/>
              <w:ind w:left="-110"/>
              <w:rPr>
                <w:rFonts w:cs="Calibri"/>
                <w:bCs/>
                <w:sz w:val="22"/>
                <w:szCs w:val="22"/>
              </w:rPr>
            </w:pPr>
            <w:r w:rsidRPr="00CA5E93">
              <w:rPr>
                <w:rFonts w:cs="Calibri"/>
                <w:bCs/>
                <w:sz w:val="22"/>
                <w:szCs w:val="22"/>
              </w:rPr>
              <w:t>Tel:</w:t>
            </w:r>
          </w:p>
        </w:tc>
        <w:tc>
          <w:tcPr>
            <w:tcW w:w="3444" w:type="dxa"/>
            <w:gridSpan w:val="2"/>
          </w:tcPr>
          <w:p w14:paraId="79A9C2E7" w14:textId="0151C2F9" w:rsidR="00CA5E93" w:rsidRPr="00EE3A88" w:rsidRDefault="00CA5E93" w:rsidP="0001529B">
            <w:pPr>
              <w:pStyle w:val="Tabletext"/>
              <w:rPr>
                <w:rFonts w:cs="Calibri"/>
                <w:b/>
                <w:sz w:val="22"/>
                <w:szCs w:val="22"/>
              </w:rPr>
            </w:pPr>
            <w:r w:rsidRPr="00EE3A88">
              <w:rPr>
                <w:rFonts w:cs="Calibri"/>
                <w:sz w:val="22"/>
                <w:szCs w:val="22"/>
              </w:rPr>
              <w:t>+41 22 730 5858</w:t>
            </w:r>
          </w:p>
        </w:tc>
        <w:tc>
          <w:tcPr>
            <w:tcW w:w="5151" w:type="dxa"/>
            <w:gridSpan w:val="2"/>
            <w:vMerge/>
          </w:tcPr>
          <w:p w14:paraId="00A6FEE0" w14:textId="77F64000" w:rsidR="00CA5E93" w:rsidRPr="00EE3A88" w:rsidRDefault="00CA5E93" w:rsidP="0001529B">
            <w:pPr>
              <w:pStyle w:val="Tabletext"/>
              <w:ind w:left="283" w:hanging="391"/>
              <w:rPr>
                <w:rFonts w:cs="Calibri"/>
                <w:sz w:val="22"/>
                <w:szCs w:val="22"/>
              </w:rPr>
            </w:pPr>
          </w:p>
        </w:tc>
      </w:tr>
      <w:tr w:rsidR="00CA5E93" w:rsidRPr="00EE3A88" w14:paraId="4FB22726" w14:textId="77777777" w:rsidTr="0001529B">
        <w:trPr>
          <w:cantSplit/>
          <w:trHeight w:val="282"/>
        </w:trPr>
        <w:tc>
          <w:tcPr>
            <w:tcW w:w="1134" w:type="dxa"/>
          </w:tcPr>
          <w:p w14:paraId="254ABACE" w14:textId="77777777" w:rsidR="00CA5E93" w:rsidRPr="00CA5E93" w:rsidRDefault="00CA5E93" w:rsidP="0001529B">
            <w:pPr>
              <w:pStyle w:val="Tabletext"/>
              <w:ind w:left="-110"/>
              <w:rPr>
                <w:rFonts w:cs="Calibri"/>
                <w:bCs/>
                <w:sz w:val="22"/>
                <w:szCs w:val="22"/>
              </w:rPr>
            </w:pPr>
            <w:r w:rsidRPr="00CA5E93">
              <w:rPr>
                <w:rFonts w:cs="Calibri"/>
                <w:bCs/>
                <w:sz w:val="22"/>
                <w:szCs w:val="22"/>
              </w:rPr>
              <w:t>Fax:</w:t>
            </w:r>
          </w:p>
        </w:tc>
        <w:tc>
          <w:tcPr>
            <w:tcW w:w="3444" w:type="dxa"/>
            <w:gridSpan w:val="2"/>
          </w:tcPr>
          <w:p w14:paraId="3EED3728" w14:textId="2628A552" w:rsidR="00CA5E93" w:rsidRPr="00EE3A88" w:rsidRDefault="00CA5E93" w:rsidP="0001529B">
            <w:pPr>
              <w:pStyle w:val="Tabletext"/>
              <w:rPr>
                <w:rFonts w:cs="Calibri"/>
                <w:b/>
                <w:sz w:val="22"/>
                <w:szCs w:val="22"/>
                <w:rtl/>
                <w:lang w:bidi="ar-EG"/>
              </w:rPr>
            </w:pPr>
            <w:r w:rsidRPr="00EE3A88">
              <w:rPr>
                <w:rFonts w:cs="Calibri"/>
                <w:sz w:val="22"/>
                <w:szCs w:val="22"/>
              </w:rPr>
              <w:t>+41 22 730 5853</w:t>
            </w:r>
          </w:p>
        </w:tc>
        <w:tc>
          <w:tcPr>
            <w:tcW w:w="5151" w:type="dxa"/>
            <w:gridSpan w:val="2"/>
            <w:vMerge/>
          </w:tcPr>
          <w:p w14:paraId="2D69D236" w14:textId="18C88B42" w:rsidR="00CA5E93" w:rsidRPr="00EE3A88" w:rsidRDefault="00CA5E93" w:rsidP="0001529B">
            <w:pPr>
              <w:pStyle w:val="Tabletext"/>
              <w:ind w:left="283" w:hanging="391"/>
              <w:rPr>
                <w:rFonts w:cs="Calibri"/>
                <w:sz w:val="22"/>
                <w:szCs w:val="22"/>
              </w:rPr>
            </w:pPr>
          </w:p>
        </w:tc>
      </w:tr>
      <w:tr w:rsidR="00CA5E93" w:rsidRPr="00EE3A88" w14:paraId="5E6C09DD" w14:textId="77777777" w:rsidTr="0001529B">
        <w:trPr>
          <w:cantSplit/>
          <w:trHeight w:val="1917"/>
        </w:trPr>
        <w:tc>
          <w:tcPr>
            <w:tcW w:w="1134" w:type="dxa"/>
          </w:tcPr>
          <w:p w14:paraId="0094CC3A" w14:textId="77777777" w:rsidR="00CA5E93" w:rsidRPr="00CA5E93" w:rsidRDefault="00CA5E93" w:rsidP="0001529B">
            <w:pPr>
              <w:pStyle w:val="Tabletext"/>
              <w:ind w:left="-110"/>
              <w:rPr>
                <w:rFonts w:cs="Calibri"/>
                <w:bCs/>
                <w:sz w:val="22"/>
                <w:szCs w:val="22"/>
              </w:rPr>
            </w:pPr>
            <w:r w:rsidRPr="00CA5E93">
              <w:rPr>
                <w:rFonts w:cs="Calibri"/>
                <w:bCs/>
                <w:sz w:val="22"/>
                <w:szCs w:val="22"/>
              </w:rPr>
              <w:t>E-mail:</w:t>
            </w:r>
          </w:p>
        </w:tc>
        <w:tc>
          <w:tcPr>
            <w:tcW w:w="3444" w:type="dxa"/>
            <w:gridSpan w:val="2"/>
          </w:tcPr>
          <w:p w14:paraId="676B845E" w14:textId="2DD9E646" w:rsidR="00CA5E93" w:rsidRPr="00EE3A88" w:rsidRDefault="00CA5E93" w:rsidP="0001529B">
            <w:pPr>
              <w:pStyle w:val="Tabletext"/>
              <w:rPr>
                <w:rFonts w:cs="Calibri"/>
                <w:sz w:val="22"/>
                <w:szCs w:val="22"/>
              </w:rPr>
            </w:pPr>
            <w:hyperlink r:id="rId11" w:history="1">
              <w:r w:rsidRPr="00EE3A88">
                <w:rPr>
                  <w:rStyle w:val="Hyperlink"/>
                  <w:sz w:val="22"/>
                  <w:szCs w:val="18"/>
                </w:rPr>
                <w:t>tsbfg</w:t>
              </w:r>
              <w:r w:rsidRPr="00EE3A88">
                <w:rPr>
                  <w:rStyle w:val="Hyperlink"/>
                  <w:rFonts w:hint="eastAsia"/>
                  <w:sz w:val="22"/>
                  <w:szCs w:val="18"/>
                  <w:lang w:eastAsia="zh-CN"/>
                </w:rPr>
                <w:t>eai</w:t>
              </w:r>
              <w:r w:rsidRPr="00EE3A88">
                <w:rPr>
                  <w:rStyle w:val="Hyperlink"/>
                  <w:sz w:val="22"/>
                  <w:szCs w:val="18"/>
                </w:rPr>
                <w:t>@itu.int</w:t>
              </w:r>
            </w:hyperlink>
            <w:r w:rsidRPr="00EE3A88">
              <w:rPr>
                <w:sz w:val="22"/>
                <w:szCs w:val="18"/>
              </w:rPr>
              <w:t xml:space="preserve"> </w:t>
            </w:r>
          </w:p>
        </w:tc>
        <w:tc>
          <w:tcPr>
            <w:tcW w:w="5151" w:type="dxa"/>
            <w:gridSpan w:val="2"/>
            <w:vMerge/>
          </w:tcPr>
          <w:p w14:paraId="0170C617" w14:textId="381E7B2F" w:rsidR="00CA5E93" w:rsidRPr="00EE3A88" w:rsidRDefault="00CA5E93" w:rsidP="0001529B">
            <w:pPr>
              <w:pStyle w:val="Tabletext"/>
              <w:tabs>
                <w:tab w:val="clear" w:pos="284"/>
              </w:tabs>
              <w:ind w:left="283" w:hanging="391"/>
              <w:rPr>
                <w:rFonts w:cs="Calibri"/>
                <w:sz w:val="22"/>
                <w:szCs w:val="22"/>
              </w:rPr>
            </w:pPr>
          </w:p>
        </w:tc>
      </w:tr>
      <w:tr w:rsidR="00FA46A0" w:rsidRPr="00EE3A88" w14:paraId="3D692815" w14:textId="77777777" w:rsidTr="0001529B">
        <w:trPr>
          <w:cantSplit/>
          <w:trHeight w:val="711"/>
        </w:trPr>
        <w:tc>
          <w:tcPr>
            <w:tcW w:w="1134" w:type="dxa"/>
          </w:tcPr>
          <w:p w14:paraId="71C35540" w14:textId="3A5EEB69" w:rsidR="00FA46A0" w:rsidRPr="00EE3A88" w:rsidRDefault="00B61012" w:rsidP="0001529B">
            <w:pPr>
              <w:pStyle w:val="Tabletext"/>
              <w:ind w:left="-110"/>
              <w:rPr>
                <w:rFonts w:asciiTheme="minorHAnsi" w:hAnsiTheme="minorHAnsi" w:cstheme="minorHAnsi"/>
                <w:sz w:val="22"/>
                <w:szCs w:val="22"/>
              </w:rPr>
            </w:pPr>
            <w:r w:rsidRPr="00EE3A88">
              <w:rPr>
                <w:rFonts w:asciiTheme="minorHAnsi" w:hAnsiTheme="minorHAnsi" w:cstheme="minorHAnsi"/>
                <w:b/>
                <w:sz w:val="22"/>
                <w:szCs w:val="22"/>
              </w:rPr>
              <w:t>Subject:</w:t>
            </w:r>
          </w:p>
        </w:tc>
        <w:tc>
          <w:tcPr>
            <w:tcW w:w="8595" w:type="dxa"/>
            <w:gridSpan w:val="4"/>
          </w:tcPr>
          <w:p w14:paraId="6DAA681E" w14:textId="06FA40F1" w:rsidR="00FA46A0" w:rsidRPr="00EE3A88" w:rsidRDefault="00DA1B34" w:rsidP="0001529B">
            <w:pPr>
              <w:pStyle w:val="Tabletext"/>
              <w:rPr>
                <w:rFonts w:asciiTheme="minorHAnsi" w:hAnsiTheme="minorHAnsi" w:cstheme="minorHAnsi"/>
                <w:sz w:val="22"/>
                <w:szCs w:val="22"/>
                <w:lang w:eastAsia="zh-CN"/>
              </w:rPr>
            </w:pPr>
            <w:r w:rsidRPr="00EE3A88">
              <w:rPr>
                <w:rFonts w:asciiTheme="minorHAnsi" w:hAnsiTheme="minorHAnsi" w:cstheme="minorHAnsi"/>
                <w:b/>
                <w:bCs/>
                <w:sz w:val="22"/>
                <w:szCs w:val="22"/>
              </w:rPr>
              <w:t xml:space="preserve">Creation of a new ITU-T Focus Group on </w:t>
            </w:r>
            <w:r w:rsidR="00BF2912" w:rsidRPr="00EE3A88">
              <w:rPr>
                <w:rFonts w:asciiTheme="minorHAnsi" w:hAnsiTheme="minorHAnsi" w:cstheme="minorHAnsi"/>
                <w:b/>
                <w:bCs/>
                <w:sz w:val="22"/>
                <w:szCs w:val="22"/>
                <w:lang w:eastAsia="zh-CN"/>
              </w:rPr>
              <w:t>Embodied Artificial Intelligence for multimedia technologies</w:t>
            </w:r>
            <w:r w:rsidRPr="00EE3A88">
              <w:rPr>
                <w:rFonts w:asciiTheme="minorHAnsi" w:hAnsiTheme="minorHAnsi" w:cstheme="minorHAnsi"/>
                <w:b/>
                <w:bCs/>
                <w:sz w:val="22"/>
                <w:szCs w:val="22"/>
              </w:rPr>
              <w:t xml:space="preserve"> (FG-</w:t>
            </w:r>
            <w:r w:rsidR="00BF2912" w:rsidRPr="00EE3A88">
              <w:rPr>
                <w:rFonts w:asciiTheme="minorHAnsi" w:hAnsiTheme="minorHAnsi" w:cstheme="minorHAnsi" w:hint="eastAsia"/>
                <w:b/>
                <w:bCs/>
                <w:sz w:val="22"/>
                <w:szCs w:val="22"/>
                <w:lang w:eastAsia="zh-CN"/>
              </w:rPr>
              <w:t>EAI</w:t>
            </w:r>
            <w:r w:rsidRPr="00EE3A88">
              <w:rPr>
                <w:rFonts w:asciiTheme="minorHAnsi" w:hAnsiTheme="minorHAnsi" w:cstheme="minorHAnsi"/>
                <w:b/>
                <w:bCs/>
                <w:sz w:val="22"/>
                <w:szCs w:val="22"/>
              </w:rPr>
              <w:t>), and its first meeting</w:t>
            </w:r>
            <w:r w:rsidR="00BF2912" w:rsidRPr="00EE3A88">
              <w:rPr>
                <w:rFonts w:asciiTheme="minorHAnsi" w:hAnsiTheme="minorHAnsi" w:cstheme="minorHAnsi" w:hint="eastAsia"/>
                <w:b/>
                <w:bCs/>
                <w:sz w:val="22"/>
                <w:szCs w:val="22"/>
                <w:lang w:eastAsia="zh-CN"/>
              </w:rPr>
              <w:t>, held virtually</w:t>
            </w:r>
            <w:r w:rsidR="008C026D" w:rsidRPr="00EE3A88">
              <w:rPr>
                <w:rFonts w:asciiTheme="minorHAnsi" w:hAnsiTheme="minorHAnsi" w:cstheme="minorHAnsi"/>
                <w:b/>
                <w:bCs/>
                <w:sz w:val="22"/>
                <w:szCs w:val="22"/>
              </w:rPr>
              <w:t>,</w:t>
            </w:r>
            <w:r w:rsidR="00B376F5" w:rsidRPr="00EE3A88">
              <w:rPr>
                <w:rFonts w:asciiTheme="minorHAnsi" w:hAnsiTheme="minorHAnsi" w:cstheme="minorHAnsi"/>
                <w:b/>
                <w:bCs/>
                <w:sz w:val="22"/>
                <w:szCs w:val="22"/>
              </w:rPr>
              <w:t xml:space="preserve"> </w:t>
            </w:r>
            <w:r w:rsidR="00BF2912" w:rsidRPr="00EE3A88">
              <w:rPr>
                <w:rFonts w:asciiTheme="minorHAnsi" w:hAnsiTheme="minorHAnsi" w:cstheme="minorHAnsi" w:hint="eastAsia"/>
                <w:b/>
                <w:bCs/>
                <w:sz w:val="22"/>
                <w:szCs w:val="22"/>
                <w:lang w:eastAsia="zh-CN"/>
              </w:rPr>
              <w:t>6</w:t>
            </w:r>
            <w:r w:rsidR="00D63E62" w:rsidRPr="00EE3A88">
              <w:rPr>
                <w:rFonts w:asciiTheme="minorHAnsi" w:hAnsiTheme="minorHAnsi" w:cstheme="minorHAnsi"/>
                <w:b/>
                <w:bCs/>
                <w:sz w:val="22"/>
                <w:szCs w:val="22"/>
              </w:rPr>
              <w:t>-</w:t>
            </w:r>
            <w:r w:rsidR="00BF2912" w:rsidRPr="00EE3A88">
              <w:rPr>
                <w:rFonts w:asciiTheme="minorHAnsi" w:hAnsiTheme="minorHAnsi" w:cstheme="minorHAnsi" w:hint="eastAsia"/>
                <w:b/>
                <w:bCs/>
                <w:sz w:val="22"/>
                <w:szCs w:val="22"/>
                <w:lang w:eastAsia="zh-CN"/>
              </w:rPr>
              <w:t>7</w:t>
            </w:r>
            <w:r w:rsidR="00CF3AF8" w:rsidRPr="00EE3A88">
              <w:rPr>
                <w:rFonts w:asciiTheme="minorHAnsi" w:hAnsiTheme="minorHAnsi" w:cstheme="minorHAnsi"/>
                <w:b/>
                <w:bCs/>
                <w:sz w:val="22"/>
                <w:szCs w:val="22"/>
              </w:rPr>
              <w:t xml:space="preserve"> </w:t>
            </w:r>
            <w:r w:rsidR="00B376F5" w:rsidRPr="00EE3A88">
              <w:rPr>
                <w:rFonts w:asciiTheme="minorHAnsi" w:hAnsiTheme="minorHAnsi" w:cstheme="minorHAnsi"/>
                <w:b/>
                <w:bCs/>
                <w:sz w:val="22"/>
                <w:szCs w:val="22"/>
              </w:rPr>
              <w:t>Ma</w:t>
            </w:r>
            <w:r w:rsidR="00BF2912" w:rsidRPr="00EE3A88">
              <w:rPr>
                <w:rFonts w:asciiTheme="minorHAnsi" w:hAnsiTheme="minorHAnsi" w:cstheme="minorHAnsi" w:hint="eastAsia"/>
                <w:b/>
                <w:bCs/>
                <w:sz w:val="22"/>
                <w:szCs w:val="22"/>
                <w:lang w:eastAsia="zh-CN"/>
              </w:rPr>
              <w:t>y</w:t>
            </w:r>
            <w:r w:rsidR="008C026D" w:rsidRPr="00EE3A88">
              <w:rPr>
                <w:rFonts w:asciiTheme="minorHAnsi" w:hAnsiTheme="minorHAnsi" w:cstheme="minorHAnsi"/>
                <w:b/>
                <w:bCs/>
                <w:sz w:val="22"/>
                <w:szCs w:val="22"/>
              </w:rPr>
              <w:t xml:space="preserve"> 202</w:t>
            </w:r>
            <w:r w:rsidR="00BF2912" w:rsidRPr="00EE3A88">
              <w:rPr>
                <w:rFonts w:asciiTheme="minorHAnsi" w:hAnsiTheme="minorHAnsi" w:cstheme="minorHAnsi" w:hint="eastAsia"/>
                <w:b/>
                <w:bCs/>
                <w:sz w:val="22"/>
                <w:szCs w:val="22"/>
                <w:lang w:eastAsia="zh-CN"/>
              </w:rPr>
              <w:t>6</w:t>
            </w:r>
          </w:p>
        </w:tc>
      </w:tr>
    </w:tbl>
    <w:p w14:paraId="41948E95" w14:textId="77777777" w:rsidR="00E870E2" w:rsidRPr="00EE3A88" w:rsidRDefault="00E870E2" w:rsidP="0001529B">
      <w:pPr>
        <w:rPr>
          <w:rFonts w:cs="Calibri"/>
          <w:sz w:val="22"/>
          <w:szCs w:val="22"/>
        </w:rPr>
      </w:pPr>
      <w:r w:rsidRPr="00EE3A88">
        <w:rPr>
          <w:rFonts w:cs="Calibri"/>
          <w:sz w:val="22"/>
          <w:szCs w:val="22"/>
        </w:rPr>
        <w:t>Dear Sir/Madam,</w:t>
      </w:r>
    </w:p>
    <w:p w14:paraId="7CA04323" w14:textId="1F48CB17" w:rsidR="0048330F" w:rsidRPr="00EE3A88" w:rsidRDefault="00E870E2" w:rsidP="00E870E2">
      <w:pPr>
        <w:rPr>
          <w:rFonts w:cs="Calibri"/>
          <w:sz w:val="22"/>
          <w:szCs w:val="22"/>
        </w:rPr>
      </w:pPr>
      <w:r w:rsidRPr="00EE3A88">
        <w:rPr>
          <w:rFonts w:cs="Calibri"/>
          <w:sz w:val="22"/>
          <w:szCs w:val="22"/>
        </w:rPr>
        <w:t>1</w:t>
      </w:r>
      <w:r w:rsidRPr="00EE3A88">
        <w:rPr>
          <w:rFonts w:cs="Calibri"/>
          <w:sz w:val="22"/>
          <w:szCs w:val="22"/>
        </w:rPr>
        <w:tab/>
        <w:t>Further to the agreement by</w:t>
      </w:r>
      <w:r w:rsidR="00EC74F6" w:rsidRPr="00EE3A88">
        <w:rPr>
          <w:rFonts w:cs="Calibri"/>
          <w:sz w:val="22"/>
          <w:szCs w:val="22"/>
        </w:rPr>
        <w:t xml:space="preserve"> the</w:t>
      </w:r>
      <w:r w:rsidRPr="00EE3A88">
        <w:rPr>
          <w:rFonts w:cs="Calibri"/>
          <w:sz w:val="22"/>
          <w:szCs w:val="22"/>
        </w:rPr>
        <w:t xml:space="preserve"> ITU-T </w:t>
      </w:r>
      <w:r w:rsidR="00F873BE" w:rsidRPr="00EE3A88">
        <w:rPr>
          <w:rFonts w:cs="Calibri"/>
          <w:sz w:val="22"/>
          <w:szCs w:val="22"/>
        </w:rPr>
        <w:t>Study Group 21</w:t>
      </w:r>
      <w:r w:rsidR="004779E6" w:rsidRPr="00EE3A88">
        <w:rPr>
          <w:rFonts w:cs="Calibri"/>
          <w:sz w:val="22"/>
          <w:szCs w:val="22"/>
        </w:rPr>
        <w:t xml:space="preserve"> Management Team</w:t>
      </w:r>
      <w:r w:rsidR="00042695" w:rsidRPr="00EE3A88">
        <w:rPr>
          <w:rFonts w:cs="Calibri"/>
          <w:sz w:val="22"/>
          <w:szCs w:val="22"/>
        </w:rPr>
        <w:t xml:space="preserve"> </w:t>
      </w:r>
      <w:r w:rsidRPr="00EE3A88">
        <w:rPr>
          <w:rFonts w:cs="Calibri"/>
          <w:sz w:val="22"/>
          <w:szCs w:val="22"/>
        </w:rPr>
        <w:t xml:space="preserve">at its </w:t>
      </w:r>
      <w:r w:rsidR="004779E6" w:rsidRPr="00EE3A88">
        <w:rPr>
          <w:rFonts w:cs="Calibri"/>
          <w:sz w:val="22"/>
          <w:szCs w:val="22"/>
        </w:rPr>
        <w:t>e-</w:t>
      </w:r>
      <w:r w:rsidRPr="00EE3A88">
        <w:rPr>
          <w:rFonts w:cs="Calibri"/>
          <w:sz w:val="22"/>
          <w:szCs w:val="22"/>
        </w:rPr>
        <w:t xml:space="preserve">meeting </w:t>
      </w:r>
      <w:r w:rsidR="00944B51" w:rsidRPr="00EE3A88">
        <w:rPr>
          <w:rFonts w:cs="Calibri"/>
          <w:sz w:val="22"/>
          <w:szCs w:val="22"/>
        </w:rPr>
        <w:t>on 19</w:t>
      </w:r>
      <w:r w:rsidR="0001529B">
        <w:rPr>
          <w:rFonts w:cs="Calibri"/>
          <w:sz w:val="22"/>
          <w:szCs w:val="22"/>
        </w:rPr>
        <w:t> </w:t>
      </w:r>
      <w:r w:rsidR="00944B51" w:rsidRPr="00EE3A88">
        <w:rPr>
          <w:rFonts w:cs="Calibri"/>
          <w:sz w:val="22"/>
          <w:szCs w:val="22"/>
          <w:lang w:eastAsia="zh-CN"/>
        </w:rPr>
        <w:t>February</w:t>
      </w:r>
      <w:r w:rsidR="00944B51" w:rsidRPr="00EE3A88">
        <w:rPr>
          <w:rFonts w:cs="Calibri"/>
          <w:sz w:val="22"/>
          <w:szCs w:val="22"/>
        </w:rPr>
        <w:t xml:space="preserve"> </w:t>
      </w:r>
      <w:r w:rsidRPr="00EE3A88">
        <w:rPr>
          <w:rFonts w:cs="Calibri"/>
          <w:sz w:val="22"/>
          <w:szCs w:val="22"/>
        </w:rPr>
        <w:t>202</w:t>
      </w:r>
      <w:r w:rsidR="00831133" w:rsidRPr="00EE3A88">
        <w:rPr>
          <w:rFonts w:cs="Calibri" w:hint="eastAsia"/>
          <w:sz w:val="22"/>
          <w:szCs w:val="22"/>
          <w:lang w:eastAsia="zh-CN"/>
        </w:rPr>
        <w:t>6</w:t>
      </w:r>
      <w:r w:rsidRPr="00EE3A88">
        <w:rPr>
          <w:rFonts w:cs="Calibri"/>
          <w:sz w:val="22"/>
          <w:szCs w:val="22"/>
        </w:rPr>
        <w:t>,</w:t>
      </w:r>
      <w:r w:rsidR="00D41D70" w:rsidRPr="00EE3A88">
        <w:rPr>
          <w:rFonts w:cs="Calibri"/>
          <w:sz w:val="22"/>
          <w:szCs w:val="22"/>
        </w:rPr>
        <w:t xml:space="preserve"> and according to ITU-T A.7,</w:t>
      </w:r>
      <w:r w:rsidRPr="00EE3A88">
        <w:rPr>
          <w:rFonts w:cs="Calibri"/>
          <w:sz w:val="22"/>
          <w:szCs w:val="22"/>
        </w:rPr>
        <w:t xml:space="preserve"> I am pleased to announce the establishment of the new </w:t>
      </w:r>
      <w:r w:rsidR="000D6626" w:rsidRPr="00EE3A88">
        <w:rPr>
          <w:rFonts w:cs="Calibri"/>
          <w:sz w:val="22"/>
          <w:szCs w:val="22"/>
        </w:rPr>
        <w:t>ITU-T Focus Group on Embodied Artificial Intelligence for multimedia technologies (</w:t>
      </w:r>
      <w:hyperlink r:id="rId12" w:history="1">
        <w:r w:rsidR="000D6626" w:rsidRPr="00EE3A88">
          <w:rPr>
            <w:rStyle w:val="Hyperlink"/>
            <w:rFonts w:cs="Calibri"/>
            <w:sz w:val="22"/>
            <w:szCs w:val="22"/>
          </w:rPr>
          <w:t>FG-EAI</w:t>
        </w:r>
      </w:hyperlink>
      <w:r w:rsidR="000D6626" w:rsidRPr="00EE3A88">
        <w:rPr>
          <w:rFonts w:cs="Calibri"/>
          <w:sz w:val="22"/>
          <w:szCs w:val="22"/>
        </w:rPr>
        <w:t>)</w:t>
      </w:r>
      <w:r w:rsidRPr="00EE3A88">
        <w:rPr>
          <w:rFonts w:cs="Calibri"/>
          <w:sz w:val="22"/>
          <w:szCs w:val="22"/>
        </w:rPr>
        <w:t>.</w:t>
      </w:r>
    </w:p>
    <w:p w14:paraId="6B57FE8C" w14:textId="5A38C007" w:rsidR="00467944" w:rsidRPr="00EE3A88" w:rsidRDefault="00E870E2" w:rsidP="00467944">
      <w:pPr>
        <w:rPr>
          <w:rFonts w:cs="Calibri"/>
          <w:sz w:val="22"/>
          <w:szCs w:val="22"/>
        </w:rPr>
      </w:pPr>
      <w:r w:rsidRPr="00EE3A88">
        <w:rPr>
          <w:rFonts w:cs="Calibri"/>
          <w:sz w:val="22"/>
          <w:szCs w:val="22"/>
        </w:rPr>
        <w:t>2</w:t>
      </w:r>
      <w:r w:rsidRPr="00EE3A88">
        <w:rPr>
          <w:rFonts w:cs="Calibri"/>
          <w:sz w:val="22"/>
          <w:szCs w:val="22"/>
        </w:rPr>
        <w:tab/>
      </w:r>
      <w:r w:rsidR="00704DAF" w:rsidRPr="00EE3A88">
        <w:rPr>
          <w:rFonts w:cs="Calibri"/>
          <w:sz w:val="22"/>
          <w:szCs w:val="22"/>
        </w:rPr>
        <w:t>Mr</w:t>
      </w:r>
      <w:r w:rsidR="00467944" w:rsidRPr="00EE3A88">
        <w:rPr>
          <w:rFonts w:cs="Calibri"/>
          <w:sz w:val="22"/>
          <w:szCs w:val="22"/>
        </w:rPr>
        <w:t xml:space="preserve"> </w:t>
      </w:r>
      <w:proofErr w:type="spellStart"/>
      <w:r w:rsidR="00467944" w:rsidRPr="00EE3A88">
        <w:rPr>
          <w:rFonts w:cs="Calibri"/>
          <w:sz w:val="22"/>
          <w:szCs w:val="22"/>
        </w:rPr>
        <w:t>Yuntao</w:t>
      </w:r>
      <w:proofErr w:type="spellEnd"/>
      <w:r w:rsidR="00467944" w:rsidRPr="00EE3A88">
        <w:rPr>
          <w:rFonts w:cs="Calibri"/>
          <w:sz w:val="22"/>
          <w:szCs w:val="22"/>
        </w:rPr>
        <w:t xml:space="preserve"> Wang (CAICT, China) is appointed as Chair of the FG</w:t>
      </w:r>
      <w:r w:rsidR="00467944" w:rsidRPr="00EE3A88">
        <w:rPr>
          <w:rFonts w:cs="Calibri"/>
          <w:sz w:val="22"/>
          <w:szCs w:val="22"/>
        </w:rPr>
        <w:noBreakHyphen/>
        <w:t xml:space="preserve">EAI. </w:t>
      </w:r>
      <w:r w:rsidR="00704DAF" w:rsidRPr="00EE3A88">
        <w:rPr>
          <w:rFonts w:cs="Calibri"/>
          <w:sz w:val="22"/>
          <w:szCs w:val="22"/>
        </w:rPr>
        <w:t>Messrs</w:t>
      </w:r>
      <w:r w:rsidR="00467944" w:rsidRPr="00EE3A88">
        <w:rPr>
          <w:rFonts w:cs="Calibri"/>
          <w:sz w:val="22"/>
          <w:szCs w:val="22"/>
        </w:rPr>
        <w:t xml:space="preserve"> Shin</w:t>
      </w:r>
      <w:r w:rsidR="00467944" w:rsidRPr="00EE3A88">
        <w:rPr>
          <w:rFonts w:cs="Calibri"/>
          <w:sz w:val="22"/>
          <w:szCs w:val="22"/>
        </w:rPr>
        <w:noBreakHyphen/>
        <w:t>Gak Kang (ETRI,</w:t>
      </w:r>
      <w:r w:rsidR="0001529B">
        <w:rPr>
          <w:rFonts w:cs="Calibri"/>
          <w:sz w:val="22"/>
          <w:szCs w:val="22"/>
        </w:rPr>
        <w:t> </w:t>
      </w:r>
      <w:r w:rsidR="00467944" w:rsidRPr="00EE3A88">
        <w:rPr>
          <w:rFonts w:cs="Calibri"/>
          <w:sz w:val="22"/>
          <w:szCs w:val="22"/>
        </w:rPr>
        <w:t xml:space="preserve">Republic of Korea) and Avinash Agarwal (Department of Telecommunications, Ministry of Communications, India) </w:t>
      </w:r>
      <w:r w:rsidR="00B95874" w:rsidRPr="00EE3A88">
        <w:rPr>
          <w:rFonts w:cs="Calibri"/>
          <w:sz w:val="22"/>
          <w:szCs w:val="22"/>
        </w:rPr>
        <w:t xml:space="preserve">are appointed as </w:t>
      </w:r>
      <w:r w:rsidR="00C47DD1" w:rsidRPr="00EE3A88">
        <w:rPr>
          <w:rFonts w:cs="Calibri"/>
          <w:sz w:val="22"/>
          <w:szCs w:val="22"/>
        </w:rPr>
        <w:t xml:space="preserve">FG-EAI </w:t>
      </w:r>
      <w:r w:rsidR="00467944" w:rsidRPr="00EE3A88">
        <w:rPr>
          <w:rFonts w:cs="Calibri"/>
          <w:sz w:val="22"/>
          <w:szCs w:val="22"/>
        </w:rPr>
        <w:t>Vice</w:t>
      </w:r>
      <w:r w:rsidR="00467944" w:rsidRPr="00EE3A88">
        <w:rPr>
          <w:rFonts w:cs="Calibri"/>
          <w:sz w:val="22"/>
          <w:szCs w:val="22"/>
        </w:rPr>
        <w:noBreakHyphen/>
      </w:r>
      <w:r w:rsidR="00704DAF" w:rsidRPr="00EE3A88">
        <w:rPr>
          <w:rFonts w:cs="Calibri"/>
          <w:sz w:val="22"/>
          <w:szCs w:val="22"/>
        </w:rPr>
        <w:t>chairs</w:t>
      </w:r>
      <w:r w:rsidR="00467944" w:rsidRPr="00EE3A88">
        <w:rPr>
          <w:rFonts w:cs="Calibri"/>
          <w:sz w:val="22"/>
          <w:szCs w:val="22"/>
        </w:rPr>
        <w:t xml:space="preserve">. Additional leaders </w:t>
      </w:r>
      <w:r w:rsidR="005D1908" w:rsidRPr="00EE3A88">
        <w:rPr>
          <w:rFonts w:cs="Calibri"/>
          <w:sz w:val="22"/>
          <w:szCs w:val="22"/>
        </w:rPr>
        <w:t xml:space="preserve">may be </w:t>
      </w:r>
      <w:r w:rsidR="00467944" w:rsidRPr="00EE3A88">
        <w:rPr>
          <w:rFonts w:cs="Calibri"/>
          <w:sz w:val="22"/>
          <w:szCs w:val="22"/>
        </w:rPr>
        <w:t>appointed</w:t>
      </w:r>
      <w:r w:rsidR="00EC25FB" w:rsidRPr="00EE3A88">
        <w:rPr>
          <w:rFonts w:cs="Calibri"/>
          <w:sz w:val="22"/>
          <w:szCs w:val="22"/>
        </w:rPr>
        <w:t xml:space="preserve"> by the </w:t>
      </w:r>
      <w:r w:rsidR="00CA5E93">
        <w:rPr>
          <w:rFonts w:cs="Calibri"/>
          <w:sz w:val="22"/>
          <w:szCs w:val="22"/>
        </w:rPr>
        <w:br/>
      </w:r>
      <w:r w:rsidR="00EC25FB" w:rsidRPr="00EE3A88">
        <w:rPr>
          <w:rFonts w:cs="Calibri"/>
          <w:sz w:val="22"/>
          <w:szCs w:val="22"/>
        </w:rPr>
        <w:t>FG-EAI</w:t>
      </w:r>
      <w:r w:rsidR="00AB7C9B" w:rsidRPr="00EE3A88">
        <w:rPr>
          <w:rFonts w:cs="Calibri"/>
          <w:sz w:val="22"/>
          <w:szCs w:val="22"/>
        </w:rPr>
        <w:t xml:space="preserve"> to </w:t>
      </w:r>
      <w:r w:rsidR="000253A8" w:rsidRPr="00EE3A88">
        <w:rPr>
          <w:rFonts w:cs="Calibri"/>
          <w:sz w:val="22"/>
          <w:szCs w:val="22"/>
        </w:rPr>
        <w:t>strengthen</w:t>
      </w:r>
      <w:r w:rsidR="00AB7C9B" w:rsidRPr="00EE3A88">
        <w:rPr>
          <w:rFonts w:cs="Calibri"/>
          <w:sz w:val="22"/>
          <w:szCs w:val="22"/>
        </w:rPr>
        <w:t xml:space="preserve"> the</w:t>
      </w:r>
      <w:r w:rsidR="0097799E" w:rsidRPr="00EE3A88">
        <w:rPr>
          <w:rFonts w:cs="Calibri"/>
          <w:sz w:val="22"/>
          <w:szCs w:val="22"/>
        </w:rPr>
        <w:t xml:space="preserve"> FG Managem</w:t>
      </w:r>
      <w:r w:rsidR="002A2973" w:rsidRPr="00EE3A88">
        <w:rPr>
          <w:rFonts w:cs="Calibri"/>
          <w:sz w:val="22"/>
          <w:szCs w:val="22"/>
        </w:rPr>
        <w:t xml:space="preserve">ent </w:t>
      </w:r>
      <w:r w:rsidR="00952B09" w:rsidRPr="00EE3A88">
        <w:rPr>
          <w:rFonts w:cs="Calibri"/>
          <w:sz w:val="22"/>
          <w:szCs w:val="22"/>
        </w:rPr>
        <w:t>t</w:t>
      </w:r>
      <w:r w:rsidR="002A2973" w:rsidRPr="00EE3A88">
        <w:rPr>
          <w:rFonts w:cs="Calibri"/>
          <w:sz w:val="22"/>
          <w:szCs w:val="22"/>
        </w:rPr>
        <w:t>eam</w:t>
      </w:r>
      <w:r w:rsidR="00467944" w:rsidRPr="00EE3A88">
        <w:rPr>
          <w:rFonts w:cs="Calibri"/>
          <w:sz w:val="22"/>
          <w:szCs w:val="22"/>
        </w:rPr>
        <w:t>.</w:t>
      </w:r>
    </w:p>
    <w:p w14:paraId="0326BFD9" w14:textId="248D55C8" w:rsidR="002B6CEA" w:rsidRPr="00EE3A88" w:rsidRDefault="00380340" w:rsidP="002B6CEA">
      <w:pPr>
        <w:rPr>
          <w:rFonts w:cs="Calibri"/>
          <w:sz w:val="22"/>
          <w:szCs w:val="22"/>
        </w:rPr>
      </w:pPr>
      <w:r w:rsidRPr="00EE3A88">
        <w:rPr>
          <w:rFonts w:cs="Calibri"/>
          <w:sz w:val="22"/>
          <w:szCs w:val="22"/>
          <w:lang w:eastAsia="zh-CN"/>
        </w:rPr>
        <w:t>3</w:t>
      </w:r>
      <w:r w:rsidRPr="00EE3A88">
        <w:rPr>
          <w:rFonts w:cs="Calibri"/>
          <w:sz w:val="22"/>
          <w:szCs w:val="22"/>
          <w:lang w:eastAsia="zh-CN"/>
        </w:rPr>
        <w:tab/>
      </w:r>
      <w:r w:rsidR="000D7D44" w:rsidRPr="00EE3A88">
        <w:rPr>
          <w:rFonts w:cs="Calibri"/>
          <w:sz w:val="22"/>
          <w:szCs w:val="22"/>
          <w:lang w:eastAsia="zh-CN"/>
        </w:rPr>
        <w:t>FG-EAI</w:t>
      </w:r>
      <w:r w:rsidR="00E870E2" w:rsidRPr="00EE3A88">
        <w:rPr>
          <w:rFonts w:cs="Calibri"/>
          <w:sz w:val="22"/>
          <w:szCs w:val="22"/>
        </w:rPr>
        <w:t xml:space="preserve"> </w:t>
      </w:r>
      <w:r w:rsidR="000939D4" w:rsidRPr="00EE3A88">
        <w:rPr>
          <w:rFonts w:cs="Calibri"/>
          <w:sz w:val="22"/>
          <w:szCs w:val="22"/>
        </w:rPr>
        <w:t xml:space="preserve">will </w:t>
      </w:r>
      <w:r w:rsidR="006D4A63" w:rsidRPr="00EE3A88">
        <w:rPr>
          <w:rFonts w:cs="Calibri"/>
          <w:sz w:val="22"/>
          <w:szCs w:val="22"/>
        </w:rPr>
        <w:t xml:space="preserve">study </w:t>
      </w:r>
      <w:r w:rsidR="002B6CEA" w:rsidRPr="00EE3A88">
        <w:rPr>
          <w:rFonts w:cs="Calibri"/>
          <w:sz w:val="22"/>
          <w:szCs w:val="22"/>
        </w:rPr>
        <w:t xml:space="preserve">how </w:t>
      </w:r>
      <w:r w:rsidR="00704DAF" w:rsidRPr="00EE3A88">
        <w:rPr>
          <w:rFonts w:cs="Calibri"/>
          <w:sz w:val="22"/>
          <w:szCs w:val="22"/>
        </w:rPr>
        <w:t>embodied artificial intelligence (</w:t>
      </w:r>
      <w:r w:rsidR="002B6CEA" w:rsidRPr="00EE3A88">
        <w:rPr>
          <w:rFonts w:cs="Calibri"/>
          <w:sz w:val="22"/>
          <w:szCs w:val="22"/>
        </w:rPr>
        <w:t>EAI</w:t>
      </w:r>
      <w:r w:rsidR="00704DAF" w:rsidRPr="00EE3A88">
        <w:rPr>
          <w:rFonts w:cs="Calibri"/>
          <w:sz w:val="22"/>
          <w:szCs w:val="22"/>
        </w:rPr>
        <w:t>)</w:t>
      </w:r>
      <w:r w:rsidR="002B6CEA" w:rsidRPr="00EE3A88">
        <w:rPr>
          <w:rFonts w:cs="Calibri"/>
          <w:sz w:val="22"/>
          <w:szCs w:val="22"/>
        </w:rPr>
        <w:t xml:space="preserve"> can support human</w:t>
      </w:r>
      <w:r w:rsidR="002B6CEA" w:rsidRPr="00EE3A88">
        <w:rPr>
          <w:rFonts w:cs="Calibri"/>
          <w:sz w:val="22"/>
          <w:szCs w:val="22"/>
        </w:rPr>
        <w:noBreakHyphen/>
        <w:t>centric multimedia applications by examining its core technical abilities</w:t>
      </w:r>
      <w:r w:rsidR="00CE66BA" w:rsidRPr="00EE3A88">
        <w:rPr>
          <w:rFonts w:cs="Calibri"/>
          <w:sz w:val="22"/>
          <w:szCs w:val="22"/>
        </w:rPr>
        <w:t xml:space="preserve">, </w:t>
      </w:r>
      <w:r w:rsidR="002B6CEA" w:rsidRPr="00EE3A88">
        <w:rPr>
          <w:rFonts w:cs="Calibri"/>
          <w:sz w:val="22"/>
          <w:szCs w:val="22"/>
        </w:rPr>
        <w:t>such as understanding the physical world, learning from trial and error, and collaborating with humans and their environments. It will study key underlying technologies, including real and virtual datasets, closed</w:t>
      </w:r>
      <w:r w:rsidR="002B6CEA" w:rsidRPr="00EE3A88">
        <w:rPr>
          <w:rFonts w:cs="Calibri"/>
          <w:sz w:val="22"/>
          <w:szCs w:val="22"/>
        </w:rPr>
        <w:noBreakHyphen/>
        <w:t>loop control, world</w:t>
      </w:r>
      <w:r w:rsidR="002B6CEA" w:rsidRPr="00EE3A88">
        <w:rPr>
          <w:rFonts w:cs="Calibri"/>
          <w:sz w:val="22"/>
          <w:szCs w:val="22"/>
        </w:rPr>
        <w:noBreakHyphen/>
        <w:t>model training, and advanced human</w:t>
      </w:r>
      <w:r w:rsidR="001E0A16" w:rsidRPr="00EE3A88">
        <w:rPr>
          <w:rFonts w:cs="Calibri"/>
          <w:sz w:val="22"/>
          <w:szCs w:val="22"/>
        </w:rPr>
        <w:t>-</w:t>
      </w:r>
      <w:r w:rsidR="002B6CEA" w:rsidRPr="00EE3A88">
        <w:rPr>
          <w:rFonts w:cs="Calibri"/>
          <w:sz w:val="22"/>
          <w:szCs w:val="22"/>
        </w:rPr>
        <w:t>machine interaction.</w:t>
      </w:r>
      <w:r w:rsidR="00784823" w:rsidRPr="00EE3A88">
        <w:rPr>
          <w:rFonts w:cs="Calibri"/>
          <w:sz w:val="22"/>
          <w:szCs w:val="22"/>
        </w:rPr>
        <w:t xml:space="preserve"> More details</w:t>
      </w:r>
      <w:r w:rsidR="00913BE2" w:rsidRPr="00EE3A88">
        <w:rPr>
          <w:rFonts w:cs="Calibri"/>
          <w:sz w:val="22"/>
          <w:szCs w:val="22"/>
        </w:rPr>
        <w:t xml:space="preserve"> on the scope of activities</w:t>
      </w:r>
      <w:r w:rsidR="00784823" w:rsidRPr="00EE3A88">
        <w:rPr>
          <w:rFonts w:cs="Calibri"/>
          <w:sz w:val="22"/>
          <w:szCs w:val="22"/>
        </w:rPr>
        <w:t xml:space="preserve"> are found in </w:t>
      </w:r>
      <w:r w:rsidR="004B1B26" w:rsidRPr="00EE3A88">
        <w:rPr>
          <w:rFonts w:cs="Calibri"/>
          <w:b/>
          <w:bCs/>
          <w:sz w:val="22"/>
          <w:szCs w:val="22"/>
        </w:rPr>
        <w:t>A</w:t>
      </w:r>
      <w:r w:rsidR="00784823" w:rsidRPr="00EE3A88">
        <w:rPr>
          <w:rFonts w:cs="Calibri"/>
          <w:b/>
          <w:bCs/>
          <w:sz w:val="22"/>
          <w:szCs w:val="22"/>
        </w:rPr>
        <w:t>nnex</w:t>
      </w:r>
      <w:r w:rsidR="006A4BFC" w:rsidRPr="00EE3A88">
        <w:rPr>
          <w:rFonts w:cs="Calibri"/>
          <w:b/>
          <w:bCs/>
          <w:sz w:val="22"/>
          <w:szCs w:val="22"/>
        </w:rPr>
        <w:t> 1</w:t>
      </w:r>
      <w:r w:rsidR="002B6CEA" w:rsidRPr="00EE3A88">
        <w:rPr>
          <w:rFonts w:cs="Calibri"/>
          <w:sz w:val="22"/>
          <w:szCs w:val="22"/>
        </w:rPr>
        <w:t>.</w:t>
      </w:r>
    </w:p>
    <w:p w14:paraId="4BEBE5BD" w14:textId="59A8F39D" w:rsidR="0048330F" w:rsidRPr="00EE3A88" w:rsidRDefault="04C15E73" w:rsidP="00E870E2">
      <w:pPr>
        <w:rPr>
          <w:rFonts w:cs="Calibri"/>
          <w:sz w:val="22"/>
          <w:szCs w:val="22"/>
        </w:rPr>
      </w:pPr>
      <w:r w:rsidRPr="00EE3A88">
        <w:rPr>
          <w:rFonts w:cs="Calibri"/>
          <w:sz w:val="22"/>
          <w:szCs w:val="22"/>
        </w:rPr>
        <w:t>4</w:t>
      </w:r>
      <w:r w:rsidR="00CE3C6B" w:rsidRPr="00EE3A88">
        <w:rPr>
          <w:rFonts w:cs="Calibri"/>
          <w:sz w:val="22"/>
          <w:szCs w:val="22"/>
        </w:rPr>
        <w:tab/>
      </w:r>
      <w:r w:rsidR="0E630AB0" w:rsidRPr="00EE3A88">
        <w:rPr>
          <w:rFonts w:cs="Calibri"/>
          <w:sz w:val="22"/>
          <w:szCs w:val="22"/>
        </w:rPr>
        <w:t xml:space="preserve">Participation in </w:t>
      </w:r>
      <w:r w:rsidR="001E37D9" w:rsidRPr="00EE3A88">
        <w:rPr>
          <w:rFonts w:cs="Calibri"/>
          <w:sz w:val="22"/>
          <w:szCs w:val="22"/>
        </w:rPr>
        <w:t xml:space="preserve">the </w:t>
      </w:r>
      <w:r w:rsidR="0E630AB0" w:rsidRPr="00EE3A88">
        <w:rPr>
          <w:rFonts w:cs="Calibri"/>
          <w:sz w:val="22"/>
          <w:szCs w:val="22"/>
        </w:rPr>
        <w:t>FG-</w:t>
      </w:r>
      <w:r w:rsidR="1CB5E9DC" w:rsidRPr="00EE3A88">
        <w:rPr>
          <w:rFonts w:cs="Calibri"/>
          <w:sz w:val="22"/>
          <w:szCs w:val="22"/>
          <w:lang w:eastAsia="zh-CN"/>
        </w:rPr>
        <w:t>EAI</w:t>
      </w:r>
      <w:r w:rsidR="0E630AB0" w:rsidRPr="00EE3A88">
        <w:rPr>
          <w:rFonts w:cs="Calibri"/>
          <w:sz w:val="22"/>
          <w:szCs w:val="22"/>
        </w:rPr>
        <w:t xml:space="preserve"> is free of charge and open to </w:t>
      </w:r>
      <w:r w:rsidR="004E65D4" w:rsidRPr="00EE3A88">
        <w:rPr>
          <w:rFonts w:cs="Calibri"/>
          <w:sz w:val="22"/>
          <w:szCs w:val="22"/>
        </w:rPr>
        <w:t xml:space="preserve">any </w:t>
      </w:r>
      <w:r w:rsidR="0E630AB0" w:rsidRPr="00EE3A88">
        <w:rPr>
          <w:rFonts w:cs="Calibri"/>
          <w:sz w:val="22"/>
          <w:szCs w:val="22"/>
        </w:rPr>
        <w:t>individual</w:t>
      </w:r>
      <w:r w:rsidR="004E65D4" w:rsidRPr="00EE3A88">
        <w:t xml:space="preserve"> </w:t>
      </w:r>
      <w:r w:rsidR="0E630AB0" w:rsidRPr="00EE3A88">
        <w:rPr>
          <w:rFonts w:cs="Calibri"/>
          <w:sz w:val="22"/>
          <w:szCs w:val="22"/>
        </w:rPr>
        <w:t>from all sectors and relevant disciplines</w:t>
      </w:r>
      <w:r w:rsidR="001E0A16" w:rsidRPr="00EE3A88">
        <w:rPr>
          <w:rFonts w:cs="Calibri"/>
          <w:sz w:val="22"/>
          <w:szCs w:val="22"/>
        </w:rPr>
        <w:t xml:space="preserve"> coming from a country that is a member of ITU</w:t>
      </w:r>
      <w:r w:rsidR="004E65D4" w:rsidRPr="00EE3A88">
        <w:rPr>
          <w:rFonts w:cs="Calibri"/>
          <w:sz w:val="22"/>
          <w:szCs w:val="22"/>
        </w:rPr>
        <w:t xml:space="preserve"> and who is willing to contribute actively to the work</w:t>
      </w:r>
      <w:r w:rsidR="0E630AB0" w:rsidRPr="00EE3A88">
        <w:rPr>
          <w:rFonts w:cs="Calibri"/>
          <w:sz w:val="22"/>
          <w:szCs w:val="22"/>
        </w:rPr>
        <w:t xml:space="preserve">. </w:t>
      </w:r>
      <w:r w:rsidR="001E0A16" w:rsidRPr="00EE3A88">
        <w:rPr>
          <w:rFonts w:cs="Calibri"/>
          <w:sz w:val="22"/>
          <w:szCs w:val="22"/>
        </w:rPr>
        <w:t>Those</w:t>
      </w:r>
      <w:r w:rsidR="0E630AB0" w:rsidRPr="00EE3A88">
        <w:rPr>
          <w:rFonts w:cs="Calibri"/>
          <w:sz w:val="22"/>
          <w:szCs w:val="22"/>
        </w:rPr>
        <w:t xml:space="preserve"> interested in following or participating in this work </w:t>
      </w:r>
      <w:r w:rsidR="001E0A16" w:rsidRPr="00EE3A88">
        <w:rPr>
          <w:rFonts w:cs="Calibri"/>
          <w:sz w:val="22"/>
          <w:szCs w:val="22"/>
        </w:rPr>
        <w:t>are</w:t>
      </w:r>
      <w:r w:rsidR="0E630AB0" w:rsidRPr="00EE3A88">
        <w:rPr>
          <w:rFonts w:cs="Calibri"/>
          <w:sz w:val="22"/>
          <w:szCs w:val="22"/>
        </w:rPr>
        <w:t xml:space="preserve"> invited to subscribe to a dedicated mailing</w:t>
      </w:r>
      <w:r w:rsidR="001E0A16" w:rsidRPr="00EE3A88">
        <w:rPr>
          <w:rFonts w:cs="Calibri"/>
          <w:sz w:val="22"/>
          <w:szCs w:val="22"/>
        </w:rPr>
        <w:t xml:space="preserve"> </w:t>
      </w:r>
      <w:r w:rsidR="0E630AB0" w:rsidRPr="00EE3A88">
        <w:rPr>
          <w:rFonts w:cs="Calibri"/>
          <w:sz w:val="22"/>
          <w:szCs w:val="22"/>
        </w:rPr>
        <w:t xml:space="preserve">list; details on how to subscribe can be found at: </w:t>
      </w:r>
      <w:hyperlink r:id="rId13" w:history="1">
        <w:r w:rsidR="6F1B6DA6" w:rsidRPr="00EE3A88">
          <w:rPr>
            <w:rStyle w:val="Hyperlink"/>
            <w:rFonts w:cs="Calibri"/>
            <w:sz w:val="22"/>
            <w:szCs w:val="22"/>
          </w:rPr>
          <w:t>https://www.itu.int/en/ITU-T/focusgroups/eai/Pages/reg.aspx</w:t>
        </w:r>
      </w:hyperlink>
      <w:r w:rsidR="04648BED" w:rsidRPr="00EE3A88">
        <w:rPr>
          <w:rFonts w:cs="Calibri"/>
          <w:sz w:val="22"/>
          <w:szCs w:val="22"/>
        </w:rPr>
        <w:t>.</w:t>
      </w:r>
    </w:p>
    <w:p w14:paraId="03139F19" w14:textId="4D6F56A7" w:rsidR="007613A3" w:rsidRPr="00EE3A88" w:rsidRDefault="00380340" w:rsidP="00E870E2">
      <w:pPr>
        <w:rPr>
          <w:rFonts w:cs="Calibri"/>
          <w:sz w:val="22"/>
          <w:szCs w:val="22"/>
        </w:rPr>
      </w:pPr>
      <w:r w:rsidRPr="00EE3A88">
        <w:rPr>
          <w:rFonts w:cs="Calibri"/>
          <w:sz w:val="22"/>
          <w:szCs w:val="22"/>
        </w:rPr>
        <w:t>5</w:t>
      </w:r>
      <w:r w:rsidR="00E870E2" w:rsidRPr="00EE3A88">
        <w:rPr>
          <w:rFonts w:cs="Calibri"/>
          <w:sz w:val="22"/>
          <w:szCs w:val="22"/>
        </w:rPr>
        <w:tab/>
        <w:t xml:space="preserve">The group will operate under the procedures set out in </w:t>
      </w:r>
      <w:hyperlink r:id="rId14" w:history="1">
        <w:r w:rsidR="00E870E2" w:rsidRPr="00EE3A88">
          <w:rPr>
            <w:rStyle w:val="Hyperlink"/>
            <w:rFonts w:cs="Calibri"/>
            <w:sz w:val="22"/>
            <w:szCs w:val="22"/>
          </w:rPr>
          <w:t>Recommendation ITU-T A.7</w:t>
        </w:r>
      </w:hyperlink>
      <w:r w:rsidR="00E870E2" w:rsidRPr="00EE3A88">
        <w:rPr>
          <w:rFonts w:cs="Calibri"/>
          <w:sz w:val="22"/>
          <w:szCs w:val="22"/>
        </w:rPr>
        <w:t xml:space="preserve"> and within the agreed terms of reference reproduced in </w:t>
      </w:r>
      <w:r w:rsidR="00E870E2" w:rsidRPr="00EE3A88">
        <w:rPr>
          <w:rFonts w:cs="Calibri"/>
          <w:b/>
          <w:bCs/>
          <w:sz w:val="22"/>
          <w:szCs w:val="22"/>
        </w:rPr>
        <w:t>Annex 1</w:t>
      </w:r>
      <w:r w:rsidR="00E870E2" w:rsidRPr="00EE3A88">
        <w:rPr>
          <w:rFonts w:cs="Calibri"/>
          <w:sz w:val="22"/>
          <w:szCs w:val="22"/>
        </w:rPr>
        <w:t xml:space="preserve">. </w:t>
      </w:r>
      <w:r w:rsidR="00343697" w:rsidRPr="00EE3A88">
        <w:rPr>
          <w:rFonts w:cs="Calibri"/>
          <w:sz w:val="22"/>
          <w:szCs w:val="22"/>
        </w:rPr>
        <w:t>The Focus Group lifetime is set for one year from the first meeting with possibility of extension.</w:t>
      </w:r>
      <w:r w:rsidR="00EE77A6" w:rsidRPr="00EE3A88">
        <w:rPr>
          <w:rFonts w:cs="Calibri"/>
          <w:sz w:val="22"/>
          <w:szCs w:val="22"/>
        </w:rPr>
        <w:t xml:space="preserve"> The discussions will be held in English only.</w:t>
      </w:r>
    </w:p>
    <w:p w14:paraId="363AD9C8" w14:textId="7F7A381D" w:rsidR="0048330F" w:rsidRPr="00EE3A88" w:rsidRDefault="00380340" w:rsidP="00E870E2">
      <w:pPr>
        <w:rPr>
          <w:rFonts w:cs="Calibri"/>
          <w:sz w:val="22"/>
          <w:szCs w:val="22"/>
        </w:rPr>
      </w:pPr>
      <w:r w:rsidRPr="00EE3A88">
        <w:rPr>
          <w:rFonts w:cs="Calibri"/>
          <w:sz w:val="22"/>
          <w:szCs w:val="22"/>
        </w:rPr>
        <w:t>6</w:t>
      </w:r>
      <w:r w:rsidR="00E870E2" w:rsidRPr="00EE3A88">
        <w:rPr>
          <w:rFonts w:cs="Calibri"/>
          <w:sz w:val="22"/>
          <w:szCs w:val="22"/>
        </w:rPr>
        <w:tab/>
        <w:t xml:space="preserve">The </w:t>
      </w:r>
      <w:r w:rsidR="00E870E2" w:rsidRPr="00EE3A88">
        <w:rPr>
          <w:rFonts w:cs="Calibri"/>
          <w:b/>
          <w:bCs/>
          <w:sz w:val="22"/>
          <w:szCs w:val="22"/>
        </w:rPr>
        <w:t>first meeting</w:t>
      </w:r>
      <w:r w:rsidR="00E870E2" w:rsidRPr="00EE3A88">
        <w:rPr>
          <w:rFonts w:cs="Calibri"/>
          <w:sz w:val="22"/>
          <w:szCs w:val="22"/>
        </w:rPr>
        <w:t xml:space="preserve"> of FG-</w:t>
      </w:r>
      <w:r w:rsidR="00E225E6" w:rsidRPr="00EE3A88">
        <w:rPr>
          <w:rFonts w:cs="Calibri"/>
          <w:sz w:val="22"/>
          <w:szCs w:val="22"/>
        </w:rPr>
        <w:t xml:space="preserve">EAI </w:t>
      </w:r>
      <w:r w:rsidR="00E870E2" w:rsidRPr="00EE3A88">
        <w:rPr>
          <w:rFonts w:cs="Calibri"/>
          <w:sz w:val="22"/>
          <w:szCs w:val="22"/>
        </w:rPr>
        <w:t xml:space="preserve">will be held </w:t>
      </w:r>
      <w:r w:rsidR="002E10DD" w:rsidRPr="00EE3A88">
        <w:rPr>
          <w:rFonts w:cs="Calibri"/>
          <w:b/>
          <w:bCs/>
          <w:sz w:val="22"/>
          <w:szCs w:val="22"/>
        </w:rPr>
        <w:t xml:space="preserve">fully </w:t>
      </w:r>
      <w:r w:rsidR="005338E8" w:rsidRPr="00EE3A88">
        <w:rPr>
          <w:rFonts w:cs="Calibri"/>
          <w:b/>
          <w:bCs/>
          <w:sz w:val="22"/>
          <w:szCs w:val="22"/>
        </w:rPr>
        <w:t xml:space="preserve">virtual </w:t>
      </w:r>
      <w:r w:rsidR="005338E8" w:rsidRPr="00EE3A88">
        <w:rPr>
          <w:rFonts w:cs="Calibri" w:hint="eastAsia"/>
          <w:b/>
          <w:bCs/>
          <w:sz w:val="22"/>
          <w:szCs w:val="22"/>
          <w:lang w:eastAsia="zh-CN"/>
        </w:rPr>
        <w:t xml:space="preserve">on </w:t>
      </w:r>
      <w:r w:rsidR="005338E8" w:rsidRPr="00EE3A88">
        <w:rPr>
          <w:rFonts w:cs="Calibri"/>
          <w:b/>
          <w:bCs/>
          <w:sz w:val="22"/>
          <w:szCs w:val="22"/>
        </w:rPr>
        <w:t>6</w:t>
      </w:r>
      <w:r w:rsidR="005338E8" w:rsidRPr="00EE3A88">
        <w:rPr>
          <w:rFonts w:cs="Calibri" w:hint="eastAsia"/>
          <w:b/>
          <w:bCs/>
          <w:sz w:val="22"/>
          <w:szCs w:val="22"/>
          <w:lang w:eastAsia="zh-CN"/>
        </w:rPr>
        <w:t xml:space="preserve"> </w:t>
      </w:r>
      <w:r w:rsidR="0076232C" w:rsidRPr="00EE3A88">
        <w:rPr>
          <w:rFonts w:cs="Calibri"/>
          <w:b/>
          <w:bCs/>
          <w:sz w:val="22"/>
          <w:szCs w:val="22"/>
          <w:lang w:eastAsia="zh-CN"/>
        </w:rPr>
        <w:t>and</w:t>
      </w:r>
      <w:r w:rsidR="005338E8" w:rsidRPr="00EE3A88">
        <w:rPr>
          <w:rFonts w:cs="Calibri" w:hint="eastAsia"/>
          <w:b/>
          <w:bCs/>
          <w:sz w:val="22"/>
          <w:szCs w:val="22"/>
          <w:lang w:eastAsia="zh-CN"/>
        </w:rPr>
        <w:t xml:space="preserve"> </w:t>
      </w:r>
      <w:r w:rsidR="005338E8" w:rsidRPr="00EE3A88">
        <w:rPr>
          <w:rFonts w:cs="Calibri"/>
          <w:b/>
          <w:bCs/>
          <w:sz w:val="22"/>
          <w:szCs w:val="22"/>
        </w:rPr>
        <w:t>7 May 2026</w:t>
      </w:r>
      <w:r w:rsidR="00D54175" w:rsidRPr="00EE3A88">
        <w:rPr>
          <w:rFonts w:cs="Calibri"/>
          <w:b/>
          <w:bCs/>
          <w:sz w:val="22"/>
          <w:szCs w:val="22"/>
        </w:rPr>
        <w:t xml:space="preserve"> (1200-1500</w:t>
      </w:r>
      <w:r w:rsidR="00BE11CE" w:rsidRPr="00EE3A88">
        <w:rPr>
          <w:rFonts w:cs="Calibri"/>
          <w:b/>
          <w:bCs/>
          <w:sz w:val="22"/>
          <w:szCs w:val="22"/>
        </w:rPr>
        <w:t xml:space="preserve"> hours</w:t>
      </w:r>
      <w:r w:rsidR="0076232C" w:rsidRPr="00EE3A88">
        <w:rPr>
          <w:rFonts w:cs="Calibri"/>
          <w:b/>
          <w:bCs/>
          <w:sz w:val="22"/>
          <w:szCs w:val="22"/>
        </w:rPr>
        <w:t>, Geneva time)</w:t>
      </w:r>
      <w:r w:rsidR="008C68AA" w:rsidRPr="00BB35E4">
        <w:rPr>
          <w:rFonts w:cs="Calibri"/>
          <w:sz w:val="22"/>
          <w:szCs w:val="22"/>
        </w:rPr>
        <w:t>.</w:t>
      </w:r>
      <w:r w:rsidR="007C6370" w:rsidRPr="00EE3A88">
        <w:rPr>
          <w:rFonts w:cs="Calibri"/>
          <w:sz w:val="22"/>
          <w:szCs w:val="22"/>
        </w:rPr>
        <w:t xml:space="preserve"> </w:t>
      </w:r>
      <w:r w:rsidR="008C68AA" w:rsidRPr="00EE3A88">
        <w:rPr>
          <w:rFonts w:cs="Calibri"/>
          <w:sz w:val="22"/>
          <w:szCs w:val="22"/>
        </w:rPr>
        <w:t>T</w:t>
      </w:r>
      <w:r w:rsidR="007C6370" w:rsidRPr="00EE3A88">
        <w:rPr>
          <w:rFonts w:cs="Calibri"/>
          <w:sz w:val="22"/>
          <w:szCs w:val="22"/>
        </w:rPr>
        <w:t xml:space="preserve">he </w:t>
      </w:r>
      <w:r w:rsidR="007C6370" w:rsidRPr="00EE3A88">
        <w:rPr>
          <w:rFonts w:cs="Calibri"/>
          <w:b/>
          <w:bCs/>
          <w:sz w:val="22"/>
          <w:szCs w:val="22"/>
        </w:rPr>
        <w:t>second meeting</w:t>
      </w:r>
      <w:r w:rsidR="007C6370" w:rsidRPr="00EE3A88">
        <w:rPr>
          <w:rFonts w:cs="Calibri"/>
          <w:sz w:val="22"/>
          <w:szCs w:val="22"/>
        </w:rPr>
        <w:t xml:space="preserve"> </w:t>
      </w:r>
      <w:r w:rsidR="00CE51D3" w:rsidRPr="00EE3A88">
        <w:rPr>
          <w:rFonts w:cs="Calibri"/>
          <w:sz w:val="22"/>
          <w:szCs w:val="22"/>
        </w:rPr>
        <w:t>is planned</w:t>
      </w:r>
      <w:r w:rsidR="007C6370" w:rsidRPr="00EE3A88">
        <w:rPr>
          <w:rFonts w:cs="Calibri"/>
          <w:sz w:val="22"/>
          <w:szCs w:val="22"/>
        </w:rPr>
        <w:t xml:space="preserve"> </w:t>
      </w:r>
      <w:r w:rsidR="007C6370" w:rsidRPr="00EE3A88">
        <w:rPr>
          <w:rFonts w:cs="Calibri"/>
          <w:b/>
          <w:bCs/>
          <w:sz w:val="22"/>
          <w:szCs w:val="22"/>
        </w:rPr>
        <w:t xml:space="preserve">onsite </w:t>
      </w:r>
      <w:r w:rsidR="007613A3">
        <w:rPr>
          <w:rFonts w:cs="Calibri"/>
          <w:b/>
          <w:bCs/>
          <w:sz w:val="22"/>
          <w:szCs w:val="22"/>
        </w:rPr>
        <w:t xml:space="preserve">on Saturday 11 July </w:t>
      </w:r>
      <w:r w:rsidR="007671A3">
        <w:rPr>
          <w:rFonts w:cs="Calibri"/>
          <w:b/>
          <w:bCs/>
          <w:sz w:val="22"/>
          <w:szCs w:val="22"/>
        </w:rPr>
        <w:t xml:space="preserve">2026 </w:t>
      </w:r>
      <w:r w:rsidR="007C6370" w:rsidRPr="00EE3A88">
        <w:rPr>
          <w:rFonts w:cs="Calibri"/>
          <w:b/>
          <w:bCs/>
          <w:sz w:val="22"/>
          <w:szCs w:val="22"/>
        </w:rPr>
        <w:t xml:space="preserve">in </w:t>
      </w:r>
      <w:r w:rsidR="008C68AA" w:rsidRPr="00EE3A88">
        <w:rPr>
          <w:rFonts w:cs="Calibri"/>
          <w:b/>
          <w:bCs/>
          <w:sz w:val="22"/>
          <w:szCs w:val="22"/>
        </w:rPr>
        <w:t xml:space="preserve">ITU Headquarters, </w:t>
      </w:r>
      <w:r w:rsidR="007C6370" w:rsidRPr="00EE3A88">
        <w:rPr>
          <w:rFonts w:cs="Calibri"/>
          <w:b/>
          <w:bCs/>
          <w:sz w:val="22"/>
          <w:szCs w:val="22"/>
        </w:rPr>
        <w:t>Geneva</w:t>
      </w:r>
      <w:r w:rsidR="007C6370" w:rsidRPr="00BB35E4">
        <w:rPr>
          <w:rFonts w:cs="Calibri"/>
          <w:sz w:val="22"/>
          <w:szCs w:val="22"/>
        </w:rPr>
        <w:t xml:space="preserve">, during the </w:t>
      </w:r>
      <w:hyperlink r:id="rId15" w:history="1">
        <w:r w:rsidR="00AA0C67" w:rsidRPr="00AA0C67">
          <w:rPr>
            <w:rStyle w:val="Hyperlink"/>
            <w:rFonts w:cs="Calibri"/>
            <w:sz w:val="22"/>
            <w:szCs w:val="22"/>
          </w:rPr>
          <w:t xml:space="preserve">ITU-T </w:t>
        </w:r>
        <w:r w:rsidR="008C68AA" w:rsidRPr="00AA0C67">
          <w:rPr>
            <w:rStyle w:val="Hyperlink"/>
            <w:rFonts w:cs="Calibri"/>
            <w:sz w:val="22"/>
            <w:szCs w:val="22"/>
          </w:rPr>
          <w:t>Study Group 21</w:t>
        </w:r>
      </w:hyperlink>
      <w:r w:rsidR="008C68AA" w:rsidRPr="00BB35E4">
        <w:rPr>
          <w:rFonts w:cs="Calibri"/>
          <w:sz w:val="22"/>
          <w:szCs w:val="22"/>
        </w:rPr>
        <w:t xml:space="preserve"> meeting</w:t>
      </w:r>
      <w:r w:rsidR="008C68AA" w:rsidRPr="00EE3A88">
        <w:rPr>
          <w:rFonts w:cs="Calibri"/>
          <w:sz w:val="22"/>
          <w:szCs w:val="22"/>
        </w:rPr>
        <w:t xml:space="preserve">, complemented by </w:t>
      </w:r>
      <w:r w:rsidR="009A4054" w:rsidRPr="00EE3A88">
        <w:rPr>
          <w:rFonts w:cs="Calibri"/>
          <w:sz w:val="22"/>
          <w:szCs w:val="22"/>
        </w:rPr>
        <w:t xml:space="preserve">a </w:t>
      </w:r>
      <w:r w:rsidR="009A4054" w:rsidRPr="00EE3A88">
        <w:rPr>
          <w:rFonts w:cs="Calibri"/>
          <w:b/>
          <w:bCs/>
          <w:sz w:val="22"/>
          <w:szCs w:val="22"/>
        </w:rPr>
        <w:t xml:space="preserve">workshop </w:t>
      </w:r>
      <w:r w:rsidR="007C4686">
        <w:rPr>
          <w:rFonts w:cs="Calibri"/>
          <w:sz w:val="22"/>
          <w:szCs w:val="22"/>
        </w:rPr>
        <w:t>organized</w:t>
      </w:r>
      <w:r w:rsidR="00474B52" w:rsidRPr="00BB35E4">
        <w:rPr>
          <w:rFonts w:cs="Calibri"/>
          <w:sz w:val="22"/>
          <w:szCs w:val="22"/>
        </w:rPr>
        <w:t xml:space="preserve"> back-to-back</w:t>
      </w:r>
      <w:r w:rsidR="00C36692" w:rsidRPr="00BB35E4">
        <w:rPr>
          <w:rFonts w:cs="Calibri"/>
          <w:sz w:val="22"/>
          <w:szCs w:val="22"/>
        </w:rPr>
        <w:t xml:space="preserve"> </w:t>
      </w:r>
      <w:r w:rsidR="00BB35E4" w:rsidRPr="00BB35E4">
        <w:rPr>
          <w:rFonts w:cs="Calibri"/>
          <w:sz w:val="22"/>
          <w:szCs w:val="22"/>
        </w:rPr>
        <w:t xml:space="preserve">on Friday 10 July </w:t>
      </w:r>
      <w:r w:rsidR="009A4054" w:rsidRPr="00BB35E4">
        <w:rPr>
          <w:rFonts w:cs="Calibri"/>
          <w:sz w:val="22"/>
          <w:szCs w:val="22"/>
        </w:rPr>
        <w:t xml:space="preserve">at Geneva </w:t>
      </w:r>
      <w:proofErr w:type="spellStart"/>
      <w:r w:rsidR="009A4054" w:rsidRPr="00BB35E4">
        <w:rPr>
          <w:rFonts w:cs="Calibri"/>
          <w:sz w:val="22"/>
          <w:szCs w:val="22"/>
        </w:rPr>
        <w:t>Palexpo</w:t>
      </w:r>
      <w:proofErr w:type="spellEnd"/>
      <w:r w:rsidR="000E69D3" w:rsidRPr="00BB35E4">
        <w:rPr>
          <w:rFonts w:cs="Calibri"/>
          <w:sz w:val="22"/>
          <w:szCs w:val="22"/>
        </w:rPr>
        <w:t xml:space="preserve">, under </w:t>
      </w:r>
      <w:r w:rsidR="000E69D3" w:rsidRPr="00EE3A88">
        <w:rPr>
          <w:rFonts w:cs="Calibri"/>
          <w:sz w:val="22"/>
          <w:szCs w:val="22"/>
        </w:rPr>
        <w:t xml:space="preserve">the </w:t>
      </w:r>
      <w:hyperlink r:id="rId16" w:history="1">
        <w:r w:rsidR="000E69D3" w:rsidRPr="00EE3A88">
          <w:rPr>
            <w:rStyle w:val="Hyperlink"/>
            <w:rFonts w:cs="Calibri"/>
            <w:sz w:val="22"/>
            <w:szCs w:val="22"/>
          </w:rPr>
          <w:t>AI</w:t>
        </w:r>
        <w:r w:rsidR="0081587F" w:rsidRPr="00EE3A88">
          <w:rPr>
            <w:rStyle w:val="Hyperlink"/>
            <w:rFonts w:cs="Calibri"/>
            <w:sz w:val="22"/>
            <w:szCs w:val="22"/>
          </w:rPr>
          <w:t xml:space="preserve"> for </w:t>
        </w:r>
        <w:r w:rsidR="000E69D3" w:rsidRPr="00EE3A88">
          <w:rPr>
            <w:rStyle w:val="Hyperlink"/>
            <w:rFonts w:cs="Calibri"/>
            <w:sz w:val="22"/>
            <w:szCs w:val="22"/>
          </w:rPr>
          <w:t xml:space="preserve">Good </w:t>
        </w:r>
        <w:r w:rsidR="0081587F" w:rsidRPr="00EE3A88">
          <w:rPr>
            <w:rStyle w:val="Hyperlink"/>
            <w:rFonts w:cs="Calibri"/>
            <w:sz w:val="22"/>
            <w:szCs w:val="22"/>
          </w:rPr>
          <w:t xml:space="preserve">Global </w:t>
        </w:r>
        <w:r w:rsidR="000E69D3" w:rsidRPr="00EE3A88">
          <w:rPr>
            <w:rStyle w:val="Hyperlink"/>
            <w:rFonts w:cs="Calibri"/>
            <w:sz w:val="22"/>
            <w:szCs w:val="22"/>
          </w:rPr>
          <w:t>Summit</w:t>
        </w:r>
      </w:hyperlink>
      <w:r w:rsidR="000E69D3" w:rsidRPr="00EE3A88">
        <w:rPr>
          <w:rFonts w:cs="Calibri"/>
          <w:sz w:val="22"/>
          <w:szCs w:val="22"/>
        </w:rPr>
        <w:t xml:space="preserve"> </w:t>
      </w:r>
      <w:r w:rsidR="008C68AA" w:rsidRPr="00EE3A88">
        <w:rPr>
          <w:rFonts w:cs="Calibri"/>
          <w:sz w:val="22"/>
          <w:szCs w:val="22"/>
        </w:rPr>
        <w:t>(6-10 July 2026)</w:t>
      </w:r>
      <w:r w:rsidR="00E870E2" w:rsidRPr="00EE3A88">
        <w:rPr>
          <w:rFonts w:cs="Calibri"/>
          <w:sz w:val="22"/>
          <w:szCs w:val="22"/>
        </w:rPr>
        <w:t>.</w:t>
      </w:r>
    </w:p>
    <w:p w14:paraId="5A829E74" w14:textId="57E6886B" w:rsidR="00EE3A88" w:rsidRPr="00EE3A88" w:rsidRDefault="00EE3A88" w:rsidP="00EE3A88">
      <w:pPr>
        <w:spacing w:after="120"/>
        <w:rPr>
          <w:rFonts w:cs="Calibri"/>
          <w:sz w:val="22"/>
          <w:szCs w:val="22"/>
        </w:rPr>
      </w:pPr>
      <w:r w:rsidRPr="00EE3A88">
        <w:rPr>
          <w:rFonts w:cs="Calibri"/>
          <w:sz w:val="22"/>
          <w:szCs w:val="22"/>
        </w:rPr>
        <w:t>7</w:t>
      </w:r>
      <w:r w:rsidRPr="00EE3A88">
        <w:rPr>
          <w:rFonts w:cs="Calibri"/>
          <w:sz w:val="22"/>
          <w:szCs w:val="22"/>
        </w:rPr>
        <w:tab/>
        <w:t>To enable ITU to make the necessary arrangements, participants are requested to register</w:t>
      </w:r>
      <w:r w:rsidR="00B53D9E">
        <w:rPr>
          <w:rFonts w:cs="Calibri"/>
          <w:sz w:val="22"/>
          <w:szCs w:val="22"/>
        </w:rPr>
        <w:t xml:space="preserve"> to each FG-EAI meeting</w:t>
      </w:r>
      <w:r w:rsidRPr="00EE3A88">
        <w:rPr>
          <w:rFonts w:cs="Calibri"/>
          <w:sz w:val="22"/>
          <w:szCs w:val="22"/>
        </w:rPr>
        <w:t xml:space="preserve"> online via the FG-</w:t>
      </w:r>
      <w:r w:rsidRPr="00EE3A88">
        <w:rPr>
          <w:rFonts w:cs="Calibri" w:hint="eastAsia"/>
          <w:sz w:val="22"/>
          <w:szCs w:val="22"/>
          <w:lang w:eastAsia="zh-CN"/>
        </w:rPr>
        <w:t>EAI</w:t>
      </w:r>
      <w:r w:rsidRPr="00EE3A88">
        <w:rPr>
          <w:rFonts w:cs="Calibri"/>
          <w:sz w:val="22"/>
          <w:szCs w:val="22"/>
        </w:rPr>
        <w:t xml:space="preserve"> homepage. Please note that pre-registration of participants for the events is carried out exclusively online.</w:t>
      </w:r>
    </w:p>
    <w:p w14:paraId="69720060" w14:textId="59CBD16D" w:rsidR="00E870E2" w:rsidRPr="00EE3A88" w:rsidRDefault="00B06848" w:rsidP="00EE77A6">
      <w:pPr>
        <w:keepNext/>
        <w:rPr>
          <w:rFonts w:cs="Calibri"/>
          <w:sz w:val="22"/>
          <w:szCs w:val="22"/>
        </w:rPr>
      </w:pPr>
      <w:r w:rsidRPr="00EE3A88">
        <w:rPr>
          <w:rFonts w:cs="Calibri"/>
          <w:sz w:val="22"/>
          <w:szCs w:val="22"/>
        </w:rPr>
        <w:lastRenderedPageBreak/>
        <w:t>8</w:t>
      </w:r>
      <w:r w:rsidRPr="00EE3A88">
        <w:rPr>
          <w:rFonts w:cs="Calibri"/>
          <w:sz w:val="22"/>
          <w:szCs w:val="22"/>
        </w:rPr>
        <w:tab/>
      </w:r>
      <w:r w:rsidR="00E870E2" w:rsidRPr="00EE3A88">
        <w:rPr>
          <w:rFonts w:cs="Calibri"/>
          <w:sz w:val="22"/>
          <w:szCs w:val="22"/>
        </w:rPr>
        <w:t>The objectives of the first meeting include:</w:t>
      </w:r>
    </w:p>
    <w:p w14:paraId="558544E1" w14:textId="75839E6F" w:rsidR="00E870E2" w:rsidRPr="00EE3A88" w:rsidRDefault="004B2BD8" w:rsidP="00D95921">
      <w:pPr>
        <w:pStyle w:val="ListParagraph"/>
        <w:numPr>
          <w:ilvl w:val="0"/>
          <w:numId w:val="32"/>
        </w:numPr>
        <w:ind w:leftChars="0"/>
        <w:rPr>
          <w:rFonts w:ascii="Calibri" w:hAnsi="Calibri" w:cs="Calibri"/>
          <w:sz w:val="22"/>
          <w:szCs w:val="22"/>
        </w:rPr>
      </w:pPr>
      <w:r w:rsidRPr="00EE3A88">
        <w:rPr>
          <w:rFonts w:ascii="Calibri" w:hAnsi="Calibri" w:cs="Calibri"/>
          <w:sz w:val="22"/>
          <w:szCs w:val="22"/>
        </w:rPr>
        <w:t xml:space="preserve">FG-EAI structure: </w:t>
      </w:r>
      <w:r w:rsidR="00CA7813" w:rsidRPr="00EE3A88">
        <w:rPr>
          <w:rFonts w:ascii="Calibri" w:hAnsi="Calibri" w:cs="Calibri"/>
          <w:sz w:val="22"/>
          <w:szCs w:val="22"/>
        </w:rPr>
        <w:t>creation of working groups</w:t>
      </w:r>
      <w:r w:rsidR="00315BC8" w:rsidRPr="00EE3A88">
        <w:rPr>
          <w:rFonts w:ascii="Calibri" w:hAnsi="Calibri" w:cs="Calibri"/>
          <w:sz w:val="22"/>
          <w:szCs w:val="22"/>
        </w:rPr>
        <w:t xml:space="preserve"> (WG</w:t>
      </w:r>
      <w:r w:rsidR="0012746A" w:rsidRPr="00EE3A88">
        <w:rPr>
          <w:rFonts w:ascii="Calibri" w:hAnsi="Calibri" w:cs="Calibri"/>
          <w:sz w:val="22"/>
          <w:szCs w:val="22"/>
        </w:rPr>
        <w:t>s</w:t>
      </w:r>
      <w:r w:rsidR="00315BC8" w:rsidRPr="00EE3A88">
        <w:rPr>
          <w:rFonts w:ascii="Calibri" w:hAnsi="Calibri" w:cs="Calibri"/>
          <w:sz w:val="22"/>
          <w:szCs w:val="22"/>
        </w:rPr>
        <w:t>) and appointment of WGs Chair</w:t>
      </w:r>
      <w:r w:rsidR="0076232C" w:rsidRPr="00EE3A88">
        <w:rPr>
          <w:rFonts w:ascii="Calibri" w:hAnsi="Calibri" w:cs="Calibri"/>
          <w:sz w:val="22"/>
          <w:szCs w:val="22"/>
        </w:rPr>
        <w:t>s</w:t>
      </w:r>
      <w:r w:rsidR="00F94876" w:rsidRPr="00EE3A88">
        <w:rPr>
          <w:rFonts w:ascii="Calibri" w:hAnsi="Calibri" w:cs="Calibri"/>
          <w:sz w:val="22"/>
          <w:szCs w:val="22"/>
        </w:rPr>
        <w:t xml:space="preserve">, and assignment of responsibilities to the various </w:t>
      </w:r>
      <w:proofErr w:type="gramStart"/>
      <w:r w:rsidR="00F94876" w:rsidRPr="00EE3A88">
        <w:rPr>
          <w:rFonts w:ascii="Calibri" w:hAnsi="Calibri" w:cs="Calibri"/>
          <w:sz w:val="22"/>
          <w:szCs w:val="22"/>
        </w:rPr>
        <w:t>WGs</w:t>
      </w:r>
      <w:r w:rsidR="00E870E2" w:rsidRPr="00EE3A88">
        <w:rPr>
          <w:rFonts w:ascii="Calibri" w:hAnsi="Calibri" w:cs="Calibri"/>
          <w:sz w:val="22"/>
          <w:szCs w:val="22"/>
        </w:rPr>
        <w:t>;</w:t>
      </w:r>
      <w:proofErr w:type="gramEnd"/>
    </w:p>
    <w:p w14:paraId="13338F60" w14:textId="2DBFD9C3" w:rsidR="00E01F0F" w:rsidRPr="00EE3A88" w:rsidRDefault="000B2E87" w:rsidP="00D95921">
      <w:pPr>
        <w:pStyle w:val="ListParagraph"/>
        <w:numPr>
          <w:ilvl w:val="0"/>
          <w:numId w:val="32"/>
        </w:numPr>
        <w:ind w:leftChars="0"/>
        <w:rPr>
          <w:rFonts w:ascii="Calibri" w:hAnsi="Calibri" w:cs="Calibri"/>
          <w:sz w:val="22"/>
          <w:szCs w:val="22"/>
        </w:rPr>
      </w:pPr>
      <w:r w:rsidRPr="00EE3A88">
        <w:rPr>
          <w:rFonts w:ascii="Calibri" w:hAnsi="Calibri" w:cs="Calibri"/>
          <w:sz w:val="22"/>
          <w:szCs w:val="22"/>
        </w:rPr>
        <w:t>FG-</w:t>
      </w:r>
      <w:r w:rsidR="00375AE6" w:rsidRPr="00EE3A88">
        <w:rPr>
          <w:rFonts w:ascii="Calibri" w:hAnsi="Calibri" w:cs="Calibri" w:hint="eastAsia"/>
          <w:sz w:val="22"/>
          <w:szCs w:val="22"/>
          <w:lang w:eastAsia="zh-CN"/>
        </w:rPr>
        <w:t>EAI</w:t>
      </w:r>
      <w:r w:rsidRPr="00EE3A88">
        <w:rPr>
          <w:rFonts w:ascii="Calibri" w:hAnsi="Calibri" w:cs="Calibri"/>
          <w:sz w:val="22"/>
          <w:szCs w:val="22"/>
        </w:rPr>
        <w:t xml:space="preserve"> expected deliverables</w:t>
      </w:r>
      <w:r w:rsidR="000D469B" w:rsidRPr="00EE3A88">
        <w:rPr>
          <w:rFonts w:ascii="Calibri" w:hAnsi="Calibri" w:cs="Calibri"/>
          <w:sz w:val="22"/>
          <w:szCs w:val="22"/>
        </w:rPr>
        <w:t xml:space="preserve"> in view to </w:t>
      </w:r>
      <w:r w:rsidR="00E039FC" w:rsidRPr="00EE3A88">
        <w:rPr>
          <w:rFonts w:ascii="Calibri" w:hAnsi="Calibri" w:cs="Calibri"/>
          <w:sz w:val="22"/>
          <w:szCs w:val="22"/>
        </w:rPr>
        <w:t>develop</w:t>
      </w:r>
      <w:r w:rsidR="000D469B" w:rsidRPr="00EE3A88">
        <w:rPr>
          <w:rFonts w:ascii="Calibri" w:hAnsi="Calibri" w:cs="Calibri"/>
          <w:sz w:val="22"/>
          <w:szCs w:val="22"/>
        </w:rPr>
        <w:t xml:space="preserve"> a roadmap</w:t>
      </w:r>
      <w:r w:rsidRPr="00EE3A88">
        <w:rPr>
          <w:rFonts w:ascii="Calibri" w:hAnsi="Calibri" w:cs="Calibri"/>
          <w:sz w:val="22"/>
          <w:szCs w:val="22"/>
        </w:rPr>
        <w:t xml:space="preserve">, timelines, and </w:t>
      </w:r>
      <w:proofErr w:type="gramStart"/>
      <w:r w:rsidRPr="00EE3A88">
        <w:rPr>
          <w:rFonts w:ascii="Calibri" w:hAnsi="Calibri" w:cs="Calibri"/>
          <w:sz w:val="22"/>
          <w:szCs w:val="22"/>
        </w:rPr>
        <w:t>editors;</w:t>
      </w:r>
      <w:proofErr w:type="gramEnd"/>
    </w:p>
    <w:p w14:paraId="74B05C0E" w14:textId="231ADABD" w:rsidR="00E870E2" w:rsidRPr="00EE3A88" w:rsidRDefault="00E870E2" w:rsidP="00D95921">
      <w:pPr>
        <w:pStyle w:val="ListParagraph"/>
        <w:numPr>
          <w:ilvl w:val="0"/>
          <w:numId w:val="32"/>
        </w:numPr>
        <w:ind w:leftChars="0"/>
        <w:rPr>
          <w:rFonts w:ascii="Calibri" w:hAnsi="Calibri" w:cs="Calibri"/>
          <w:sz w:val="22"/>
          <w:szCs w:val="22"/>
        </w:rPr>
      </w:pPr>
      <w:r w:rsidRPr="00EE3A88">
        <w:rPr>
          <w:rFonts w:ascii="Calibri" w:hAnsi="Calibri" w:cs="Calibri"/>
          <w:sz w:val="22"/>
          <w:szCs w:val="22"/>
        </w:rPr>
        <w:t>FG-</w:t>
      </w:r>
      <w:r w:rsidR="00375AE6" w:rsidRPr="00EE3A88">
        <w:rPr>
          <w:rFonts w:ascii="Calibri" w:hAnsi="Calibri" w:cs="Calibri" w:hint="eastAsia"/>
          <w:sz w:val="22"/>
          <w:szCs w:val="22"/>
          <w:lang w:eastAsia="zh-CN"/>
        </w:rPr>
        <w:t>EAI</w:t>
      </w:r>
      <w:r w:rsidRPr="00EE3A88">
        <w:rPr>
          <w:rFonts w:ascii="Calibri" w:hAnsi="Calibri" w:cs="Calibri"/>
          <w:sz w:val="22"/>
          <w:szCs w:val="22"/>
        </w:rPr>
        <w:t xml:space="preserve"> working methods, using ITU-T A.7 as a </w:t>
      </w:r>
      <w:proofErr w:type="gramStart"/>
      <w:r w:rsidRPr="00EE3A88">
        <w:rPr>
          <w:rFonts w:ascii="Calibri" w:hAnsi="Calibri" w:cs="Calibri"/>
          <w:sz w:val="22"/>
          <w:szCs w:val="22"/>
        </w:rPr>
        <w:t>bas</w:t>
      </w:r>
      <w:r w:rsidR="00EE77A6" w:rsidRPr="00EE3A88">
        <w:rPr>
          <w:rFonts w:ascii="Calibri" w:hAnsi="Calibri" w:cs="Calibri"/>
          <w:sz w:val="22"/>
          <w:szCs w:val="22"/>
        </w:rPr>
        <w:t>is</w:t>
      </w:r>
      <w:r w:rsidRPr="00EE3A88">
        <w:rPr>
          <w:rFonts w:ascii="Calibri" w:hAnsi="Calibri" w:cs="Calibri"/>
          <w:sz w:val="22"/>
          <w:szCs w:val="22"/>
        </w:rPr>
        <w:t>;</w:t>
      </w:r>
      <w:proofErr w:type="gramEnd"/>
    </w:p>
    <w:p w14:paraId="1F89896E" w14:textId="1E4DA8AE" w:rsidR="00E870E2" w:rsidRPr="00EE3A88" w:rsidRDefault="00E870E2" w:rsidP="00D95921">
      <w:pPr>
        <w:pStyle w:val="ListParagraph"/>
        <w:numPr>
          <w:ilvl w:val="0"/>
          <w:numId w:val="32"/>
        </w:numPr>
        <w:ind w:leftChars="0"/>
        <w:rPr>
          <w:rFonts w:ascii="Calibri" w:hAnsi="Calibri" w:cs="Calibri"/>
          <w:sz w:val="22"/>
          <w:szCs w:val="22"/>
        </w:rPr>
      </w:pPr>
      <w:r w:rsidRPr="00EE3A88">
        <w:rPr>
          <w:rFonts w:ascii="Calibri" w:hAnsi="Calibri" w:cs="Calibri"/>
          <w:sz w:val="22"/>
          <w:szCs w:val="22"/>
        </w:rPr>
        <w:t>FG-</w:t>
      </w:r>
      <w:r w:rsidR="00375AE6" w:rsidRPr="00EE3A88">
        <w:rPr>
          <w:rFonts w:ascii="Calibri" w:hAnsi="Calibri" w:cs="Calibri" w:hint="eastAsia"/>
          <w:sz w:val="22"/>
          <w:szCs w:val="22"/>
          <w:lang w:eastAsia="zh-CN"/>
        </w:rPr>
        <w:t>EAI</w:t>
      </w:r>
      <w:r w:rsidRPr="00EE3A88">
        <w:rPr>
          <w:rFonts w:ascii="Calibri" w:hAnsi="Calibri" w:cs="Calibri"/>
          <w:sz w:val="22"/>
          <w:szCs w:val="22"/>
        </w:rPr>
        <w:t xml:space="preserve"> future meeting </w:t>
      </w:r>
      <w:r w:rsidR="004C6429" w:rsidRPr="00EE3A88">
        <w:rPr>
          <w:rFonts w:ascii="Calibri" w:hAnsi="Calibri" w:cs="Calibri"/>
          <w:sz w:val="22"/>
          <w:szCs w:val="22"/>
        </w:rPr>
        <w:t>plans</w:t>
      </w:r>
      <w:r w:rsidRPr="00EE3A88">
        <w:rPr>
          <w:rFonts w:ascii="Calibri" w:hAnsi="Calibri" w:cs="Calibri"/>
          <w:sz w:val="22"/>
          <w:szCs w:val="22"/>
        </w:rPr>
        <w:t xml:space="preserve">, including frequency of </w:t>
      </w:r>
      <w:proofErr w:type="gramStart"/>
      <w:r w:rsidRPr="00EE3A88">
        <w:rPr>
          <w:rFonts w:ascii="Calibri" w:hAnsi="Calibri" w:cs="Calibri"/>
          <w:sz w:val="22"/>
          <w:szCs w:val="22"/>
        </w:rPr>
        <w:t>meetings;</w:t>
      </w:r>
      <w:proofErr w:type="gramEnd"/>
    </w:p>
    <w:p w14:paraId="4DC4DF01" w14:textId="6225DF5C" w:rsidR="00E870E2" w:rsidRPr="00EE3A88" w:rsidRDefault="00BF07F2" w:rsidP="00D95921">
      <w:pPr>
        <w:pStyle w:val="ListParagraph"/>
        <w:numPr>
          <w:ilvl w:val="0"/>
          <w:numId w:val="32"/>
        </w:numPr>
        <w:ind w:leftChars="0"/>
        <w:rPr>
          <w:rFonts w:ascii="Calibri" w:hAnsi="Calibri" w:cs="Calibri"/>
          <w:sz w:val="22"/>
          <w:szCs w:val="22"/>
        </w:rPr>
      </w:pPr>
      <w:r w:rsidRPr="00EE3A88">
        <w:rPr>
          <w:rFonts w:ascii="Calibri" w:hAnsi="Calibri" w:cs="Calibri"/>
          <w:sz w:val="22"/>
          <w:szCs w:val="22"/>
        </w:rPr>
        <w:t xml:space="preserve">Consideration </w:t>
      </w:r>
      <w:r w:rsidR="00E870E2" w:rsidRPr="00EE3A88">
        <w:rPr>
          <w:rFonts w:ascii="Calibri" w:hAnsi="Calibri" w:cs="Calibri"/>
          <w:sz w:val="22"/>
          <w:szCs w:val="22"/>
        </w:rPr>
        <w:t xml:space="preserve">of written </w:t>
      </w:r>
      <w:proofErr w:type="gramStart"/>
      <w:r w:rsidR="00E870E2" w:rsidRPr="00EE3A88">
        <w:rPr>
          <w:rFonts w:ascii="Calibri" w:hAnsi="Calibri" w:cs="Calibri"/>
          <w:sz w:val="22"/>
          <w:szCs w:val="22"/>
        </w:rPr>
        <w:t>contributions</w:t>
      </w:r>
      <w:r w:rsidR="00903896" w:rsidRPr="00EE3A88">
        <w:rPr>
          <w:rFonts w:ascii="Calibri" w:hAnsi="Calibri" w:cs="Calibri" w:hint="eastAsia"/>
          <w:sz w:val="22"/>
          <w:szCs w:val="22"/>
          <w:lang w:eastAsia="zh-CN"/>
        </w:rPr>
        <w:t>;</w:t>
      </w:r>
      <w:proofErr w:type="gramEnd"/>
    </w:p>
    <w:p w14:paraId="19506449" w14:textId="5F91527D" w:rsidR="00903896" w:rsidRPr="00EE3A88" w:rsidRDefault="00BF07F2" w:rsidP="00D95921">
      <w:pPr>
        <w:pStyle w:val="ListParagraph"/>
        <w:numPr>
          <w:ilvl w:val="0"/>
          <w:numId w:val="32"/>
        </w:numPr>
        <w:ind w:leftChars="0"/>
        <w:rPr>
          <w:rFonts w:ascii="Calibri" w:hAnsi="Calibri" w:cs="Calibri"/>
          <w:sz w:val="22"/>
          <w:szCs w:val="22"/>
        </w:rPr>
      </w:pPr>
      <w:r w:rsidRPr="00EE3A88">
        <w:rPr>
          <w:rFonts w:ascii="Calibri" w:hAnsi="Calibri" w:cs="Calibri"/>
          <w:sz w:val="22"/>
          <w:szCs w:val="22"/>
          <w:lang w:eastAsia="zh-CN"/>
        </w:rPr>
        <w:t xml:space="preserve">Preparation </w:t>
      </w:r>
      <w:r w:rsidR="00903896" w:rsidRPr="00EE3A88">
        <w:rPr>
          <w:rFonts w:ascii="Calibri" w:hAnsi="Calibri" w:cs="Calibri" w:hint="eastAsia"/>
          <w:sz w:val="22"/>
          <w:szCs w:val="22"/>
          <w:lang w:eastAsia="zh-CN"/>
        </w:rPr>
        <w:t>for the</w:t>
      </w:r>
      <w:r w:rsidR="00E225E6" w:rsidRPr="00EE3A88">
        <w:rPr>
          <w:rFonts w:ascii="Calibri" w:hAnsi="Calibri" w:cs="Calibri"/>
          <w:sz w:val="22"/>
          <w:szCs w:val="22"/>
          <w:lang w:eastAsia="zh-CN"/>
        </w:rPr>
        <w:t xml:space="preserve"> second meeting of FG-EAI</w:t>
      </w:r>
      <w:r w:rsidR="009A4989" w:rsidRPr="00EE3A88">
        <w:rPr>
          <w:rFonts w:ascii="Calibri" w:hAnsi="Calibri" w:cs="Calibri"/>
          <w:sz w:val="22"/>
          <w:szCs w:val="22"/>
          <w:lang w:eastAsia="zh-CN"/>
        </w:rPr>
        <w:t xml:space="preserve">, </w:t>
      </w:r>
      <w:proofErr w:type="gramStart"/>
      <w:r w:rsidR="00B34672">
        <w:rPr>
          <w:rFonts w:ascii="Calibri" w:hAnsi="Calibri" w:cs="Calibri"/>
          <w:sz w:val="22"/>
          <w:szCs w:val="22"/>
          <w:lang w:eastAsia="zh-CN"/>
        </w:rPr>
        <w:t>back to back</w:t>
      </w:r>
      <w:proofErr w:type="gramEnd"/>
      <w:r w:rsidR="00B34672">
        <w:rPr>
          <w:rFonts w:ascii="Calibri" w:hAnsi="Calibri" w:cs="Calibri"/>
          <w:sz w:val="22"/>
          <w:szCs w:val="22"/>
          <w:lang w:eastAsia="zh-CN"/>
        </w:rPr>
        <w:t xml:space="preserve"> with </w:t>
      </w:r>
      <w:r w:rsidR="009A4989" w:rsidRPr="00EE3A88">
        <w:rPr>
          <w:rFonts w:ascii="Calibri" w:hAnsi="Calibri" w:cs="Calibri"/>
          <w:sz w:val="22"/>
          <w:szCs w:val="22"/>
          <w:lang w:eastAsia="zh-CN"/>
        </w:rPr>
        <w:t>the</w:t>
      </w:r>
      <w:r w:rsidR="00903896" w:rsidRPr="00EE3A88">
        <w:rPr>
          <w:rFonts w:ascii="Calibri" w:hAnsi="Calibri" w:cs="Calibri" w:hint="eastAsia"/>
          <w:sz w:val="22"/>
          <w:szCs w:val="22"/>
          <w:lang w:eastAsia="zh-CN"/>
        </w:rPr>
        <w:t xml:space="preserve"> </w:t>
      </w:r>
      <w:hyperlink r:id="rId17" w:history="1">
        <w:r w:rsidR="00903896" w:rsidRPr="00EE3A88">
          <w:rPr>
            <w:rStyle w:val="Hyperlink"/>
            <w:rFonts w:ascii="Calibri" w:hAnsi="Calibri" w:cs="Calibri" w:hint="eastAsia"/>
            <w:sz w:val="22"/>
            <w:szCs w:val="22"/>
            <w:lang w:eastAsia="zh-CN"/>
          </w:rPr>
          <w:t>AI for Good</w:t>
        </w:r>
      </w:hyperlink>
      <w:r w:rsidR="00903896" w:rsidRPr="00EE3A88">
        <w:rPr>
          <w:rFonts w:ascii="Calibri" w:hAnsi="Calibri" w:cs="Calibri" w:hint="eastAsia"/>
          <w:sz w:val="22"/>
          <w:szCs w:val="22"/>
          <w:lang w:eastAsia="zh-CN"/>
        </w:rPr>
        <w:t xml:space="preserve"> </w:t>
      </w:r>
      <w:proofErr w:type="gramStart"/>
      <w:r w:rsidR="00C67BBC" w:rsidRPr="00EE3A88">
        <w:rPr>
          <w:rFonts w:ascii="Calibri" w:hAnsi="Calibri" w:cs="Calibri"/>
          <w:sz w:val="22"/>
          <w:szCs w:val="22"/>
          <w:lang w:eastAsia="zh-CN"/>
        </w:rPr>
        <w:t>Summit</w:t>
      </w:r>
      <w:r w:rsidR="00DF3A74" w:rsidRPr="00EE3A88">
        <w:rPr>
          <w:rFonts w:ascii="Calibri" w:hAnsi="Calibri" w:cs="Calibri"/>
          <w:sz w:val="22"/>
          <w:szCs w:val="22"/>
          <w:lang w:eastAsia="zh-CN"/>
        </w:rPr>
        <w:t>;</w:t>
      </w:r>
      <w:proofErr w:type="gramEnd"/>
    </w:p>
    <w:p w14:paraId="4349E700" w14:textId="3220A757" w:rsidR="00C67BBC" w:rsidRPr="00EE3A88" w:rsidRDefault="00EE77A6" w:rsidP="00D95921">
      <w:pPr>
        <w:pStyle w:val="ListParagraph"/>
        <w:numPr>
          <w:ilvl w:val="0"/>
          <w:numId w:val="32"/>
        </w:numPr>
        <w:ind w:leftChars="0"/>
        <w:rPr>
          <w:rFonts w:ascii="Calibri" w:hAnsi="Calibri" w:cs="Calibri"/>
          <w:sz w:val="22"/>
          <w:szCs w:val="22"/>
        </w:rPr>
      </w:pPr>
      <w:r w:rsidRPr="00EE3A88">
        <w:rPr>
          <w:rFonts w:ascii="Calibri" w:hAnsi="Calibri" w:cs="Calibri"/>
          <w:sz w:val="22"/>
          <w:szCs w:val="22"/>
          <w:lang w:eastAsia="zh-CN"/>
        </w:rPr>
        <w:t xml:space="preserve">Preparation for the </w:t>
      </w:r>
      <w:r w:rsidR="000C3274" w:rsidRPr="00EE3A88">
        <w:rPr>
          <w:rFonts w:ascii="Calibri" w:hAnsi="Calibri" w:cs="Calibri"/>
          <w:sz w:val="22"/>
          <w:szCs w:val="22"/>
          <w:lang w:eastAsia="zh-CN"/>
        </w:rPr>
        <w:t xml:space="preserve">EAI </w:t>
      </w:r>
      <w:r w:rsidRPr="00EE3A88">
        <w:rPr>
          <w:rFonts w:ascii="Calibri" w:hAnsi="Calibri" w:cs="Calibri"/>
          <w:sz w:val="22"/>
          <w:szCs w:val="22"/>
          <w:lang w:eastAsia="zh-CN"/>
        </w:rPr>
        <w:t xml:space="preserve">workshop </w:t>
      </w:r>
      <w:r w:rsidR="001B5CD2">
        <w:rPr>
          <w:rFonts w:ascii="Calibri" w:hAnsi="Calibri" w:cs="Calibri"/>
          <w:sz w:val="22"/>
          <w:szCs w:val="22"/>
          <w:lang w:eastAsia="zh-CN"/>
        </w:rPr>
        <w:t>during</w:t>
      </w:r>
      <w:r w:rsidR="000C3274" w:rsidRPr="00EE3A88">
        <w:rPr>
          <w:rFonts w:ascii="Calibri" w:hAnsi="Calibri" w:cs="Calibri"/>
          <w:sz w:val="22"/>
          <w:szCs w:val="22"/>
          <w:lang w:eastAsia="zh-CN"/>
        </w:rPr>
        <w:t xml:space="preserve"> the </w:t>
      </w:r>
      <w:hyperlink r:id="rId18" w:history="1">
        <w:r w:rsidR="000C3274" w:rsidRPr="00EE3A88">
          <w:rPr>
            <w:rStyle w:val="Hyperlink"/>
            <w:rFonts w:ascii="Calibri" w:hAnsi="Calibri" w:cs="Calibri" w:hint="eastAsia"/>
            <w:sz w:val="22"/>
            <w:szCs w:val="22"/>
            <w:lang w:eastAsia="zh-CN"/>
          </w:rPr>
          <w:t>AI for Good</w:t>
        </w:r>
      </w:hyperlink>
      <w:r w:rsidR="000C3274" w:rsidRPr="00EE3A88">
        <w:rPr>
          <w:rFonts w:ascii="Calibri" w:hAnsi="Calibri" w:cs="Calibri" w:hint="eastAsia"/>
          <w:sz w:val="22"/>
          <w:szCs w:val="22"/>
          <w:lang w:eastAsia="zh-CN"/>
        </w:rPr>
        <w:t xml:space="preserve"> </w:t>
      </w:r>
      <w:r w:rsidR="000C3274" w:rsidRPr="00EE3A88">
        <w:rPr>
          <w:rFonts w:ascii="Calibri" w:hAnsi="Calibri" w:cs="Calibri"/>
          <w:sz w:val="22"/>
          <w:szCs w:val="22"/>
          <w:lang w:eastAsia="zh-CN"/>
        </w:rPr>
        <w:t>Summit</w:t>
      </w:r>
      <w:r w:rsidR="000C3274" w:rsidRPr="00EE3A88">
        <w:rPr>
          <w:rFonts w:ascii="Calibri" w:hAnsi="Calibri" w:cs="Calibri" w:hint="eastAsia"/>
          <w:sz w:val="22"/>
          <w:szCs w:val="22"/>
          <w:lang w:eastAsia="zh-CN"/>
        </w:rPr>
        <w:t>.</w:t>
      </w:r>
    </w:p>
    <w:p w14:paraId="290BD0A5" w14:textId="703E2369" w:rsidR="00E870E2" w:rsidRPr="00EE3A88" w:rsidRDefault="00B06848" w:rsidP="00B06848">
      <w:pPr>
        <w:rPr>
          <w:rFonts w:cs="Calibri"/>
          <w:sz w:val="22"/>
          <w:szCs w:val="22"/>
        </w:rPr>
      </w:pPr>
      <w:r w:rsidRPr="00EE3A88">
        <w:rPr>
          <w:rFonts w:cs="Calibri"/>
          <w:sz w:val="22"/>
          <w:szCs w:val="22"/>
        </w:rPr>
        <w:t>9</w:t>
      </w:r>
      <w:r w:rsidR="00E870E2" w:rsidRPr="00EE3A88">
        <w:rPr>
          <w:rFonts w:cs="Calibri"/>
          <w:sz w:val="22"/>
          <w:szCs w:val="22"/>
        </w:rPr>
        <w:tab/>
        <w:t xml:space="preserve">Written contributions </w:t>
      </w:r>
      <w:r w:rsidR="008E2F95" w:rsidRPr="00EE3A88">
        <w:rPr>
          <w:rFonts w:cs="Calibri"/>
          <w:sz w:val="22"/>
          <w:szCs w:val="22"/>
        </w:rPr>
        <w:t xml:space="preserve">to </w:t>
      </w:r>
      <w:r w:rsidR="00FC4E0B" w:rsidRPr="00EE3A88">
        <w:rPr>
          <w:rFonts w:cs="Calibri"/>
          <w:sz w:val="22"/>
          <w:szCs w:val="22"/>
        </w:rPr>
        <w:t>address the objectives</w:t>
      </w:r>
      <w:r w:rsidR="008E2F95" w:rsidRPr="00EE3A88">
        <w:rPr>
          <w:rFonts w:cs="Calibri"/>
          <w:sz w:val="22"/>
          <w:szCs w:val="22"/>
        </w:rPr>
        <w:t xml:space="preserve"> </w:t>
      </w:r>
      <w:r w:rsidR="00346D0A" w:rsidRPr="00EE3A88">
        <w:rPr>
          <w:rFonts w:cs="Calibri"/>
          <w:sz w:val="22"/>
          <w:szCs w:val="22"/>
        </w:rPr>
        <w:t xml:space="preserve">highlighted above </w:t>
      </w:r>
      <w:r w:rsidR="0009680B" w:rsidRPr="00EE3A88">
        <w:rPr>
          <w:rFonts w:cs="Calibri"/>
          <w:sz w:val="22"/>
          <w:szCs w:val="22"/>
        </w:rPr>
        <w:t xml:space="preserve">and in line with the terms of reference set out in </w:t>
      </w:r>
      <w:r w:rsidR="0009680B" w:rsidRPr="00EE3A88">
        <w:rPr>
          <w:rFonts w:cs="Calibri"/>
          <w:b/>
          <w:bCs/>
          <w:sz w:val="22"/>
          <w:szCs w:val="22"/>
        </w:rPr>
        <w:t>Annex 1</w:t>
      </w:r>
      <w:r w:rsidR="0009680B" w:rsidRPr="00EE3A88">
        <w:rPr>
          <w:rFonts w:cs="Calibri"/>
          <w:sz w:val="22"/>
          <w:szCs w:val="22"/>
        </w:rPr>
        <w:t xml:space="preserve"> </w:t>
      </w:r>
      <w:r w:rsidR="00E870E2" w:rsidRPr="00EE3A88">
        <w:rPr>
          <w:rFonts w:cs="Calibri"/>
          <w:sz w:val="22"/>
          <w:szCs w:val="22"/>
        </w:rPr>
        <w:t>are strongly encouraged. Written contributions should be submitted to the TSB Secretariat (</w:t>
      </w:r>
      <w:hyperlink r:id="rId19" w:history="1">
        <w:r w:rsidR="00FD261F" w:rsidRPr="00EE3A88">
          <w:rPr>
            <w:rStyle w:val="Hyperlink"/>
            <w:rFonts w:cs="Calibri"/>
            <w:sz w:val="22"/>
            <w:szCs w:val="22"/>
          </w:rPr>
          <w:t>tsbfg</w:t>
        </w:r>
        <w:r w:rsidR="00FD261F" w:rsidRPr="00EE3A88">
          <w:rPr>
            <w:rStyle w:val="Hyperlink"/>
            <w:rFonts w:cs="Calibri" w:hint="eastAsia"/>
            <w:sz w:val="22"/>
            <w:szCs w:val="22"/>
            <w:lang w:eastAsia="zh-CN"/>
          </w:rPr>
          <w:t>eai</w:t>
        </w:r>
        <w:r w:rsidR="00FD261F" w:rsidRPr="00EE3A88">
          <w:rPr>
            <w:rStyle w:val="Hyperlink"/>
            <w:rFonts w:cs="Calibri"/>
            <w:sz w:val="22"/>
            <w:szCs w:val="22"/>
          </w:rPr>
          <w:t>@itu.int</w:t>
        </w:r>
      </w:hyperlink>
      <w:r w:rsidR="00E870E2" w:rsidRPr="00EE3A88">
        <w:rPr>
          <w:rFonts w:cs="Calibri"/>
          <w:sz w:val="22"/>
          <w:szCs w:val="22"/>
        </w:rPr>
        <w:t xml:space="preserve">) in electronic format using the templates available from the </w:t>
      </w:r>
      <w:r w:rsidR="00E72571" w:rsidRPr="00EE3A88">
        <w:t>FG-</w:t>
      </w:r>
      <w:r w:rsidR="00FD261F" w:rsidRPr="00EE3A88">
        <w:t>EAI</w:t>
      </w:r>
      <w:r w:rsidR="00E72571" w:rsidRPr="00EE3A88">
        <w:t xml:space="preserve"> homepage</w:t>
      </w:r>
      <w:r w:rsidRPr="00EE3A88">
        <w:rPr>
          <w:rFonts w:cs="Calibri"/>
          <w:sz w:val="22"/>
          <w:szCs w:val="22"/>
        </w:rPr>
        <w:t xml:space="preserve"> (</w:t>
      </w:r>
      <w:hyperlink r:id="rId20" w:history="1">
        <w:r w:rsidRPr="00EE3A88">
          <w:rPr>
            <w:rStyle w:val="Hyperlink"/>
            <w:rFonts w:cs="Calibri" w:hint="eastAsia"/>
            <w:sz w:val="22"/>
            <w:szCs w:val="22"/>
            <w:lang w:eastAsia="zh-CN"/>
          </w:rPr>
          <w:t>https://www.itu.int/go/fgeai</w:t>
        </w:r>
      </w:hyperlink>
      <w:r w:rsidRPr="00EE3A88">
        <w:rPr>
          <w:rFonts w:cs="Calibri"/>
          <w:sz w:val="22"/>
          <w:szCs w:val="22"/>
        </w:rPr>
        <w:t>)</w:t>
      </w:r>
      <w:r w:rsidR="00E870E2" w:rsidRPr="00EE3A88">
        <w:rPr>
          <w:rFonts w:cs="Calibri"/>
          <w:sz w:val="22"/>
          <w:szCs w:val="22"/>
        </w:rPr>
        <w:t xml:space="preserve">. </w:t>
      </w:r>
      <w:r w:rsidR="00E870E2" w:rsidRPr="00EE3A88">
        <w:rPr>
          <w:rFonts w:cs="Calibri"/>
          <w:b/>
          <w:bCs/>
          <w:sz w:val="22"/>
          <w:szCs w:val="22"/>
        </w:rPr>
        <w:t xml:space="preserve">The contribution deadline for the first meeting is </w:t>
      </w:r>
      <w:r w:rsidR="00734CD8" w:rsidRPr="00EE3A88">
        <w:rPr>
          <w:rFonts w:cs="Calibri"/>
          <w:b/>
          <w:bCs/>
          <w:sz w:val="22"/>
          <w:szCs w:val="22"/>
        </w:rPr>
        <w:t xml:space="preserve">set to </w:t>
      </w:r>
      <w:r w:rsidR="00C64069" w:rsidRPr="00EE3A88">
        <w:rPr>
          <w:rFonts w:cs="Calibri"/>
          <w:b/>
          <w:bCs/>
          <w:sz w:val="22"/>
          <w:szCs w:val="22"/>
        </w:rPr>
        <w:t>2</w:t>
      </w:r>
      <w:r w:rsidR="0018348D" w:rsidRPr="00EE3A88">
        <w:rPr>
          <w:rFonts w:cs="Calibri"/>
          <w:b/>
          <w:bCs/>
          <w:sz w:val="22"/>
          <w:szCs w:val="22"/>
        </w:rPr>
        <w:t>4</w:t>
      </w:r>
      <w:r w:rsidR="00E870E2" w:rsidRPr="00EE3A88">
        <w:rPr>
          <w:rFonts w:cs="Calibri"/>
          <w:b/>
          <w:bCs/>
          <w:sz w:val="22"/>
          <w:szCs w:val="22"/>
        </w:rPr>
        <w:t xml:space="preserve"> </w:t>
      </w:r>
      <w:r w:rsidR="00FD261F" w:rsidRPr="00EE3A88">
        <w:rPr>
          <w:rFonts w:cs="Calibri" w:hint="eastAsia"/>
          <w:b/>
          <w:bCs/>
          <w:sz w:val="22"/>
          <w:szCs w:val="22"/>
          <w:lang w:eastAsia="zh-CN"/>
        </w:rPr>
        <w:t>April</w:t>
      </w:r>
      <w:r w:rsidR="00E870E2" w:rsidRPr="00EE3A88">
        <w:rPr>
          <w:rFonts w:cs="Calibri"/>
          <w:b/>
          <w:bCs/>
          <w:sz w:val="22"/>
          <w:szCs w:val="22"/>
        </w:rPr>
        <w:t xml:space="preserve"> 202</w:t>
      </w:r>
      <w:r w:rsidR="00FD261F" w:rsidRPr="00EE3A88">
        <w:rPr>
          <w:rFonts w:cs="Calibri" w:hint="eastAsia"/>
          <w:b/>
          <w:bCs/>
          <w:sz w:val="22"/>
          <w:szCs w:val="22"/>
          <w:lang w:eastAsia="zh-CN"/>
        </w:rPr>
        <w:t>6</w:t>
      </w:r>
      <w:r w:rsidR="00E870E2" w:rsidRPr="00EE3A88">
        <w:rPr>
          <w:rFonts w:cs="Calibri"/>
          <w:b/>
          <w:bCs/>
          <w:sz w:val="22"/>
          <w:szCs w:val="22"/>
        </w:rPr>
        <w:t>.</w:t>
      </w:r>
    </w:p>
    <w:p w14:paraId="4550232E" w14:textId="70FBA0B9" w:rsidR="00E870E2" w:rsidRPr="00EE3A88" w:rsidRDefault="00B06848" w:rsidP="00E870E2">
      <w:pPr>
        <w:rPr>
          <w:rFonts w:cs="Calibri"/>
          <w:sz w:val="22"/>
          <w:szCs w:val="22"/>
        </w:rPr>
      </w:pPr>
      <w:r w:rsidRPr="00EE3A88">
        <w:rPr>
          <w:rFonts w:cs="Calibri"/>
          <w:sz w:val="22"/>
          <w:szCs w:val="22"/>
        </w:rPr>
        <w:t>10</w:t>
      </w:r>
      <w:r w:rsidR="00E870E2" w:rsidRPr="00EE3A88">
        <w:rPr>
          <w:rFonts w:cs="Calibri"/>
          <w:sz w:val="22"/>
          <w:szCs w:val="22"/>
        </w:rPr>
        <w:tab/>
        <w:t xml:space="preserve">The meeting agenda, documents and other practical information </w:t>
      </w:r>
      <w:r w:rsidR="00EE77A6" w:rsidRPr="00EE3A88">
        <w:rPr>
          <w:rFonts w:cs="Calibri"/>
          <w:sz w:val="22"/>
          <w:szCs w:val="22"/>
        </w:rPr>
        <w:t xml:space="preserve">(including remote participation) </w:t>
      </w:r>
      <w:r w:rsidR="00E870E2" w:rsidRPr="00EE3A88">
        <w:rPr>
          <w:rFonts w:cs="Calibri"/>
          <w:sz w:val="22"/>
          <w:szCs w:val="22"/>
        </w:rPr>
        <w:t xml:space="preserve">will be available via the </w:t>
      </w:r>
      <w:r w:rsidR="00E72571" w:rsidRPr="00EE3A88">
        <w:rPr>
          <w:rFonts w:cs="Calibri"/>
          <w:sz w:val="22"/>
          <w:szCs w:val="22"/>
        </w:rPr>
        <w:t>FG-</w:t>
      </w:r>
      <w:r w:rsidR="00FD261F" w:rsidRPr="00EE3A88">
        <w:rPr>
          <w:rFonts w:cs="Calibri" w:hint="eastAsia"/>
          <w:sz w:val="22"/>
          <w:szCs w:val="22"/>
          <w:lang w:eastAsia="zh-CN"/>
        </w:rPr>
        <w:t>EAI</w:t>
      </w:r>
      <w:r w:rsidR="00E72571" w:rsidRPr="00EE3A88">
        <w:rPr>
          <w:rFonts w:cs="Calibri"/>
          <w:sz w:val="22"/>
          <w:szCs w:val="22"/>
        </w:rPr>
        <w:t xml:space="preserve"> homepage</w:t>
      </w:r>
      <w:r w:rsidR="00EE77A6" w:rsidRPr="00EE3A88">
        <w:rPr>
          <w:rFonts w:cs="Calibri"/>
          <w:sz w:val="22"/>
          <w:szCs w:val="22"/>
        </w:rPr>
        <w:t xml:space="preserve"> </w:t>
      </w:r>
      <w:r w:rsidR="00E870E2" w:rsidRPr="00EE3A88">
        <w:rPr>
          <w:rFonts w:cs="Calibri"/>
          <w:sz w:val="22"/>
          <w:szCs w:val="22"/>
        </w:rPr>
        <w:t>in advance of the meeting.</w:t>
      </w:r>
    </w:p>
    <w:p w14:paraId="1D53894F" w14:textId="243F3C6A" w:rsidR="00212790" w:rsidRPr="00EE3A88" w:rsidRDefault="000A04D9" w:rsidP="0001529B">
      <w:pPr>
        <w:spacing w:after="120"/>
        <w:rPr>
          <w:rFonts w:cs="Calibri"/>
          <w:sz w:val="22"/>
          <w:szCs w:val="22"/>
        </w:rPr>
      </w:pPr>
      <w:r w:rsidRPr="00EE3A88">
        <w:rPr>
          <w:rFonts w:cs="Calibri"/>
          <w:sz w:val="22"/>
          <w:szCs w:val="22"/>
        </w:rPr>
        <w:t xml:space="preserve">Additional details and documentation needed, if any, will be provided on the </w:t>
      </w:r>
      <w:r w:rsidR="0071000B" w:rsidRPr="00EE3A88">
        <w:rPr>
          <w:rFonts w:cs="Calibri"/>
          <w:sz w:val="22"/>
          <w:szCs w:val="22"/>
        </w:rPr>
        <w:t>FG-</w:t>
      </w:r>
      <w:r w:rsidR="004A1DBF" w:rsidRPr="00EE3A88">
        <w:rPr>
          <w:rFonts w:cs="Calibri" w:hint="eastAsia"/>
          <w:sz w:val="22"/>
          <w:szCs w:val="22"/>
          <w:lang w:eastAsia="zh-CN"/>
        </w:rPr>
        <w:t>EAI</w:t>
      </w:r>
      <w:r w:rsidR="0071000B" w:rsidRPr="00EE3A88">
        <w:rPr>
          <w:rFonts w:cs="Calibri"/>
          <w:sz w:val="22"/>
          <w:szCs w:val="22"/>
        </w:rPr>
        <w:t xml:space="preserve"> homepage</w:t>
      </w:r>
      <w:r w:rsidRPr="00EE3A88">
        <w:rPr>
          <w:rFonts w:cs="Calibri"/>
          <w:sz w:val="22"/>
          <w:szCs w:val="22"/>
        </w:rPr>
        <w:t>.</w:t>
      </w:r>
    </w:p>
    <w:p w14:paraId="6BB640CF" w14:textId="064A7611" w:rsidR="003A452A" w:rsidRPr="00EE3A88" w:rsidRDefault="003A452A" w:rsidP="0001529B">
      <w:pPr>
        <w:spacing w:after="60"/>
        <w:rPr>
          <w:rFonts w:cs="Calibri"/>
          <w:sz w:val="22"/>
          <w:szCs w:val="22"/>
        </w:rPr>
      </w:pPr>
      <w:r w:rsidRPr="00EE3A88">
        <w:rPr>
          <w:rFonts w:cs="Calibri"/>
          <w:sz w:val="22"/>
          <w:szCs w:val="22"/>
        </w:rPr>
        <w:t>1</w:t>
      </w:r>
      <w:r w:rsidR="00B06848" w:rsidRPr="00EE3A88">
        <w:rPr>
          <w:rFonts w:cs="Calibri"/>
          <w:sz w:val="22"/>
          <w:szCs w:val="22"/>
        </w:rPr>
        <w:t>1</w:t>
      </w:r>
      <w:r w:rsidRPr="00EE3A88">
        <w:rPr>
          <w:rFonts w:cs="Calibri"/>
          <w:sz w:val="22"/>
          <w:szCs w:val="22"/>
        </w:rPr>
        <w:tab/>
        <w:t>Deadlines:</w:t>
      </w:r>
    </w:p>
    <w:tbl>
      <w:tblPr>
        <w:tblStyle w:val="TableGrid"/>
        <w:tblW w:w="5000" w:type="pct"/>
        <w:tblLayout w:type="fixed"/>
        <w:tblLook w:val="04A0" w:firstRow="1" w:lastRow="0" w:firstColumn="1" w:lastColumn="0" w:noHBand="0" w:noVBand="1"/>
      </w:tblPr>
      <w:tblGrid>
        <w:gridCol w:w="1999"/>
        <w:gridCol w:w="7720"/>
      </w:tblGrid>
      <w:tr w:rsidR="009B7639" w:rsidRPr="00EE3A88" w14:paraId="018A6848" w14:textId="77777777" w:rsidTr="00D26093">
        <w:trPr>
          <w:trHeight w:val="438"/>
        </w:trPr>
        <w:tc>
          <w:tcPr>
            <w:tcW w:w="1999" w:type="dxa"/>
          </w:tcPr>
          <w:p w14:paraId="5565C64E" w14:textId="71A1BAD3" w:rsidR="009B7639" w:rsidRPr="00EE3A88" w:rsidRDefault="009B7639" w:rsidP="009B7639">
            <w:pPr>
              <w:keepNext/>
              <w:keepLines/>
              <w:spacing w:before="60" w:after="60" w:line="300" w:lineRule="exact"/>
              <w:jc w:val="center"/>
              <w:rPr>
                <w:rFonts w:cs="Calibri"/>
                <w:sz w:val="22"/>
                <w:szCs w:val="22"/>
                <w:lang w:eastAsia="zh-CN"/>
              </w:rPr>
            </w:pPr>
            <w:bookmarkStart w:id="0" w:name="_Hlk124850442"/>
            <w:r w:rsidRPr="00EE3A88">
              <w:rPr>
                <w:rFonts w:cs="Calibri"/>
                <w:sz w:val="22"/>
                <w:szCs w:val="22"/>
              </w:rPr>
              <w:t xml:space="preserve">24 </w:t>
            </w:r>
            <w:r w:rsidR="004A1DBF" w:rsidRPr="00EE3A88">
              <w:rPr>
                <w:rFonts w:cs="Calibri" w:hint="eastAsia"/>
                <w:sz w:val="22"/>
                <w:szCs w:val="22"/>
                <w:lang w:eastAsia="zh-CN"/>
              </w:rPr>
              <w:t>April</w:t>
            </w:r>
            <w:r w:rsidRPr="00EE3A88">
              <w:rPr>
                <w:rFonts w:cs="Calibri"/>
                <w:sz w:val="22"/>
                <w:szCs w:val="22"/>
              </w:rPr>
              <w:t xml:space="preserve"> 202</w:t>
            </w:r>
            <w:r w:rsidR="004A1DBF" w:rsidRPr="00EE3A88">
              <w:rPr>
                <w:rFonts w:cs="Calibri" w:hint="eastAsia"/>
                <w:sz w:val="22"/>
                <w:szCs w:val="22"/>
                <w:lang w:eastAsia="zh-CN"/>
              </w:rPr>
              <w:t>6</w:t>
            </w:r>
          </w:p>
        </w:tc>
        <w:tc>
          <w:tcPr>
            <w:tcW w:w="7720" w:type="dxa"/>
          </w:tcPr>
          <w:p w14:paraId="3C757807" w14:textId="6742791E" w:rsidR="009B7639" w:rsidRPr="00EE3A88" w:rsidRDefault="009B7639" w:rsidP="009B7639">
            <w:pPr>
              <w:pStyle w:val="ListParagraph"/>
              <w:keepNext/>
              <w:keepLines/>
              <w:numPr>
                <w:ilvl w:val="0"/>
                <w:numId w:val="21"/>
              </w:numPr>
              <w:tabs>
                <w:tab w:val="left" w:pos="284"/>
                <w:tab w:val="left" w:pos="584"/>
                <w:tab w:val="left" w:pos="1134"/>
                <w:tab w:val="left" w:pos="1418"/>
                <w:tab w:val="left" w:pos="1701"/>
                <w:tab w:val="left" w:pos="2268"/>
                <w:tab w:val="left" w:pos="2552"/>
                <w:tab w:val="left" w:pos="2835"/>
                <w:tab w:val="left" w:pos="3119"/>
                <w:tab w:val="left" w:pos="3402"/>
                <w:tab w:val="left" w:pos="3686"/>
                <w:tab w:val="left" w:pos="3969"/>
              </w:tabs>
              <w:spacing w:before="80" w:after="80"/>
              <w:ind w:leftChars="0" w:left="442"/>
              <w:rPr>
                <w:rFonts w:ascii="Calibri" w:hAnsi="Calibri" w:cs="Calibri"/>
                <w:sz w:val="22"/>
                <w:szCs w:val="22"/>
              </w:rPr>
            </w:pPr>
            <w:r w:rsidRPr="00EE3A88">
              <w:rPr>
                <w:rFonts w:ascii="Calibri" w:hAnsi="Calibri" w:cs="Calibri"/>
                <w:sz w:val="22"/>
                <w:szCs w:val="22"/>
              </w:rPr>
              <w:t xml:space="preserve">Submit written contributions (by e-mail to </w:t>
            </w:r>
            <w:hyperlink r:id="rId21" w:history="1">
              <w:r w:rsidR="004A1DBF" w:rsidRPr="00EE3A88">
                <w:rPr>
                  <w:rStyle w:val="Hyperlink"/>
                  <w:rFonts w:ascii="Calibri" w:hAnsi="Calibri" w:cs="Calibri"/>
                  <w:sz w:val="22"/>
                  <w:szCs w:val="22"/>
                </w:rPr>
                <w:t>tsbfg</w:t>
              </w:r>
              <w:r w:rsidR="004A1DBF" w:rsidRPr="00EE3A88">
                <w:rPr>
                  <w:rStyle w:val="Hyperlink"/>
                  <w:rFonts w:ascii="Calibri" w:hAnsi="Calibri" w:cs="Calibri" w:hint="eastAsia"/>
                  <w:sz w:val="22"/>
                  <w:szCs w:val="22"/>
                  <w:lang w:eastAsia="zh-CN"/>
                </w:rPr>
                <w:t>eai</w:t>
              </w:r>
              <w:r w:rsidR="004A1DBF" w:rsidRPr="00EE3A88">
                <w:rPr>
                  <w:rStyle w:val="Hyperlink"/>
                  <w:rFonts w:ascii="Calibri" w:hAnsi="Calibri" w:cs="Calibri"/>
                  <w:sz w:val="22"/>
                  <w:szCs w:val="22"/>
                </w:rPr>
                <w:t>@itu.int</w:t>
              </w:r>
            </w:hyperlink>
            <w:r w:rsidRPr="00EE3A88">
              <w:rPr>
                <w:rFonts w:ascii="Calibri" w:hAnsi="Calibri" w:cs="Calibri"/>
                <w:sz w:val="22"/>
                <w:szCs w:val="22"/>
              </w:rPr>
              <w:t>)</w:t>
            </w:r>
          </w:p>
        </w:tc>
      </w:tr>
      <w:tr w:rsidR="00E870E2" w:rsidRPr="00EE3A88" w14:paraId="5D204207" w14:textId="77777777" w:rsidTr="00D26093">
        <w:trPr>
          <w:trHeight w:val="438"/>
        </w:trPr>
        <w:tc>
          <w:tcPr>
            <w:tcW w:w="1999" w:type="dxa"/>
          </w:tcPr>
          <w:p w14:paraId="142FFDC8" w14:textId="33B3A7A1" w:rsidR="00E870E2" w:rsidRPr="00EE3A88" w:rsidRDefault="004A1DBF" w:rsidP="00D26093">
            <w:pPr>
              <w:keepNext/>
              <w:keepLines/>
              <w:spacing w:before="60" w:after="60" w:line="300" w:lineRule="exact"/>
              <w:jc w:val="center"/>
              <w:rPr>
                <w:rFonts w:cs="Calibri"/>
                <w:sz w:val="22"/>
                <w:szCs w:val="22"/>
                <w:lang w:eastAsia="zh-CN"/>
              </w:rPr>
            </w:pPr>
            <w:r w:rsidRPr="00EE3A88">
              <w:rPr>
                <w:rFonts w:cs="Calibri" w:hint="eastAsia"/>
                <w:sz w:val="22"/>
                <w:szCs w:val="22"/>
                <w:lang w:eastAsia="zh-CN"/>
              </w:rPr>
              <w:t>4</w:t>
            </w:r>
            <w:r w:rsidR="00897C5C" w:rsidRPr="00EE3A88">
              <w:rPr>
                <w:rFonts w:cs="Calibri"/>
                <w:sz w:val="22"/>
                <w:szCs w:val="22"/>
              </w:rPr>
              <w:t xml:space="preserve"> </w:t>
            </w:r>
            <w:r w:rsidRPr="00EE3A88">
              <w:rPr>
                <w:rFonts w:cs="Calibri" w:hint="eastAsia"/>
                <w:sz w:val="22"/>
                <w:szCs w:val="22"/>
                <w:lang w:eastAsia="zh-CN"/>
              </w:rPr>
              <w:t>May</w:t>
            </w:r>
            <w:r w:rsidR="00E870E2" w:rsidRPr="00EE3A88">
              <w:rPr>
                <w:rFonts w:cs="Calibri"/>
                <w:sz w:val="22"/>
                <w:szCs w:val="22"/>
              </w:rPr>
              <w:t xml:space="preserve"> 202</w:t>
            </w:r>
            <w:r w:rsidRPr="00EE3A88">
              <w:rPr>
                <w:rFonts w:cs="Calibri" w:hint="eastAsia"/>
                <w:sz w:val="22"/>
                <w:szCs w:val="22"/>
                <w:lang w:eastAsia="zh-CN"/>
              </w:rPr>
              <w:t>6</w:t>
            </w:r>
          </w:p>
        </w:tc>
        <w:tc>
          <w:tcPr>
            <w:tcW w:w="7720" w:type="dxa"/>
          </w:tcPr>
          <w:p w14:paraId="1027ACE3" w14:textId="1F8947F9" w:rsidR="00E870E2" w:rsidRPr="00EE3A88" w:rsidRDefault="00E870E2" w:rsidP="00D26093">
            <w:pPr>
              <w:pStyle w:val="ListParagraph"/>
              <w:keepNext/>
              <w:keepLines/>
              <w:numPr>
                <w:ilvl w:val="0"/>
                <w:numId w:val="21"/>
              </w:numPr>
              <w:tabs>
                <w:tab w:val="left" w:pos="284"/>
                <w:tab w:val="left" w:pos="584"/>
                <w:tab w:val="left" w:pos="1134"/>
                <w:tab w:val="left" w:pos="1418"/>
                <w:tab w:val="left" w:pos="1701"/>
                <w:tab w:val="left" w:pos="2268"/>
                <w:tab w:val="left" w:pos="2552"/>
                <w:tab w:val="left" w:pos="2835"/>
                <w:tab w:val="left" w:pos="3119"/>
                <w:tab w:val="left" w:pos="3402"/>
                <w:tab w:val="left" w:pos="3686"/>
                <w:tab w:val="left" w:pos="3969"/>
              </w:tabs>
              <w:spacing w:before="80" w:after="80"/>
              <w:ind w:leftChars="0" w:left="442"/>
              <w:rPr>
                <w:rFonts w:ascii="Calibri" w:hAnsi="Calibri" w:cs="Calibri"/>
                <w:sz w:val="22"/>
                <w:szCs w:val="22"/>
              </w:rPr>
            </w:pPr>
            <w:r w:rsidRPr="00EE3A88">
              <w:rPr>
                <w:rFonts w:ascii="Calibri" w:hAnsi="Calibri" w:cs="Calibri"/>
                <w:sz w:val="22"/>
                <w:szCs w:val="22"/>
              </w:rPr>
              <w:t xml:space="preserve">Pre-registration (online via the </w:t>
            </w:r>
            <w:hyperlink r:id="rId22" w:history="1">
              <w:r w:rsidR="00D82AE5" w:rsidRPr="00EE3A88">
                <w:rPr>
                  <w:rStyle w:val="Hyperlink"/>
                  <w:rFonts w:ascii="Calibri" w:hAnsi="Calibri" w:cs="Calibri"/>
                  <w:sz w:val="22"/>
                  <w:szCs w:val="22"/>
                </w:rPr>
                <w:t>FG-</w:t>
              </w:r>
              <w:r w:rsidR="004A1DBF" w:rsidRPr="00EE3A88">
                <w:rPr>
                  <w:rStyle w:val="Hyperlink"/>
                  <w:rFonts w:ascii="Calibri" w:hAnsi="Calibri" w:cs="Calibri" w:hint="eastAsia"/>
                  <w:sz w:val="22"/>
                  <w:szCs w:val="22"/>
                  <w:lang w:eastAsia="zh-CN"/>
                </w:rPr>
                <w:t>EAI</w:t>
              </w:r>
              <w:r w:rsidR="00D82AE5" w:rsidRPr="00EE3A88">
                <w:rPr>
                  <w:rStyle w:val="Hyperlink"/>
                  <w:rFonts w:ascii="Calibri" w:hAnsi="Calibri" w:cs="Calibri"/>
                  <w:sz w:val="22"/>
                  <w:szCs w:val="22"/>
                </w:rPr>
                <w:t xml:space="preserve"> homepage</w:t>
              </w:r>
            </w:hyperlink>
            <w:r w:rsidRPr="00EE3A88">
              <w:rPr>
                <w:rFonts w:ascii="Calibri" w:hAnsi="Calibri" w:cs="Calibri"/>
                <w:sz w:val="22"/>
                <w:szCs w:val="22"/>
              </w:rPr>
              <w:t>)</w:t>
            </w:r>
          </w:p>
        </w:tc>
      </w:tr>
    </w:tbl>
    <w:bookmarkEnd w:id="0"/>
    <w:p w14:paraId="0942D6D4" w14:textId="3AF2DC66" w:rsidR="00E870E2" w:rsidRPr="00EE3A88" w:rsidRDefault="00E870E2" w:rsidP="0001529B">
      <w:pPr>
        <w:spacing w:after="120"/>
        <w:rPr>
          <w:rFonts w:cs="Calibri"/>
          <w:sz w:val="22"/>
          <w:szCs w:val="22"/>
        </w:rPr>
      </w:pPr>
      <w:r w:rsidRPr="00EE3A88">
        <w:rPr>
          <w:rFonts w:cs="Calibri"/>
          <w:sz w:val="22"/>
          <w:szCs w:val="22"/>
        </w:rPr>
        <w:t>I wish you a productive and enjoyable meeting.</w:t>
      </w:r>
    </w:p>
    <w:p w14:paraId="6C034AC7" w14:textId="40FEBBA4" w:rsidR="00B73C85" w:rsidRPr="00EE3A88" w:rsidRDefault="006E76CC" w:rsidP="0001529B">
      <w:pPr>
        <w:spacing w:before="0" w:after="120"/>
        <w:rPr>
          <w:rFonts w:cs="Calibri"/>
          <w:sz w:val="22"/>
          <w:szCs w:val="22"/>
        </w:rPr>
      </w:pPr>
      <w:r>
        <w:rPr>
          <w:rFonts w:cs="Calibri"/>
          <w:noProof/>
          <w:sz w:val="22"/>
          <w:szCs w:val="22"/>
        </w:rPr>
        <w:drawing>
          <wp:anchor distT="0" distB="0" distL="114300" distR="114300" simplePos="0" relativeHeight="251658240" behindDoc="1" locked="0" layoutInCell="1" allowOverlap="1" wp14:anchorId="229E6672" wp14:editId="034844BF">
            <wp:simplePos x="0" y="0"/>
            <wp:positionH relativeFrom="margin">
              <wp:align>left</wp:align>
            </wp:positionH>
            <wp:positionV relativeFrom="paragraph">
              <wp:posOffset>234315</wp:posOffset>
            </wp:positionV>
            <wp:extent cx="711237" cy="368319"/>
            <wp:effectExtent l="0" t="0" r="0" b="0"/>
            <wp:wrapNone/>
            <wp:docPr id="9918581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858136" name="Picture 991858136"/>
                    <pic:cNvPicPr/>
                  </pic:nvPicPr>
                  <pic:blipFill>
                    <a:blip r:embed="rId23">
                      <a:extLst>
                        <a:ext uri="{28A0092B-C50C-407E-A947-70E740481C1C}">
                          <a14:useLocalDpi xmlns:a14="http://schemas.microsoft.com/office/drawing/2010/main" val="0"/>
                        </a:ext>
                      </a:extLst>
                    </a:blip>
                    <a:stretch>
                      <a:fillRect/>
                    </a:stretch>
                  </pic:blipFill>
                  <pic:spPr>
                    <a:xfrm>
                      <a:off x="0" y="0"/>
                      <a:ext cx="711237" cy="368319"/>
                    </a:xfrm>
                    <a:prstGeom prst="rect">
                      <a:avLst/>
                    </a:prstGeom>
                  </pic:spPr>
                </pic:pic>
              </a:graphicData>
            </a:graphic>
          </wp:anchor>
        </w:drawing>
      </w:r>
      <w:r w:rsidR="00EC74F6" w:rsidRPr="00EE3A88">
        <w:rPr>
          <w:rFonts w:cs="Calibri"/>
          <w:sz w:val="22"/>
          <w:szCs w:val="22"/>
        </w:rPr>
        <w:t>Yours faithfully,</w:t>
      </w:r>
      <w:bookmarkStart w:id="1" w:name="_Hlk124842710"/>
    </w:p>
    <w:p w14:paraId="1AA3A717" w14:textId="4A6C8A34" w:rsidR="00EC74F6" w:rsidRPr="00EE3A88" w:rsidRDefault="00EC74F6" w:rsidP="0001529B">
      <w:pPr>
        <w:spacing w:before="720" w:after="120"/>
        <w:rPr>
          <w:rFonts w:cs="Calibri"/>
          <w:sz w:val="22"/>
          <w:szCs w:val="22"/>
        </w:rPr>
      </w:pPr>
      <w:r w:rsidRPr="00EE3A88">
        <w:rPr>
          <w:rFonts w:cs="Calibri"/>
          <w:sz w:val="22"/>
          <w:szCs w:val="22"/>
        </w:rPr>
        <w:t>Seizo Onoe</w:t>
      </w:r>
      <w:bookmarkEnd w:id="1"/>
      <w:r w:rsidRPr="00EE3A88">
        <w:rPr>
          <w:rFonts w:cs="Calibri"/>
          <w:sz w:val="22"/>
          <w:szCs w:val="22"/>
        </w:rPr>
        <w:br/>
        <w:t>Director of the Telecommunication</w:t>
      </w:r>
      <w:r w:rsidRPr="00EE3A88">
        <w:rPr>
          <w:rFonts w:cs="Calibri"/>
          <w:sz w:val="22"/>
          <w:szCs w:val="22"/>
        </w:rPr>
        <w:br/>
        <w:t>Standardization Bureau</w:t>
      </w:r>
    </w:p>
    <w:p w14:paraId="07F3B8D8" w14:textId="77777777" w:rsidR="00E870E2" w:rsidRPr="00EE3A88" w:rsidRDefault="00E870E2" w:rsidP="00E870E2">
      <w:pPr>
        <w:rPr>
          <w:rFonts w:cs="Calibri"/>
          <w:sz w:val="22"/>
          <w:szCs w:val="22"/>
        </w:rPr>
      </w:pPr>
    </w:p>
    <w:p w14:paraId="012EA775" w14:textId="6DC621B0" w:rsidR="00EC74F6" w:rsidRPr="00EE3A88" w:rsidRDefault="00E870E2" w:rsidP="008D5054">
      <w:pPr>
        <w:rPr>
          <w:rFonts w:cs="Calibri"/>
          <w:b/>
          <w:bCs/>
          <w:sz w:val="22"/>
          <w:szCs w:val="22"/>
        </w:rPr>
      </w:pPr>
      <w:r w:rsidRPr="00EE3A88">
        <w:rPr>
          <w:rFonts w:cs="Calibri"/>
          <w:b/>
          <w:bCs/>
          <w:sz w:val="22"/>
          <w:szCs w:val="22"/>
        </w:rPr>
        <w:t>Annex:</w:t>
      </w:r>
      <w:r w:rsidR="0001529B">
        <w:rPr>
          <w:rFonts w:cs="Calibri"/>
          <w:b/>
          <w:bCs/>
          <w:sz w:val="22"/>
          <w:szCs w:val="22"/>
        </w:rPr>
        <w:tab/>
      </w:r>
      <w:r w:rsidRPr="00EE3A88">
        <w:rPr>
          <w:rFonts w:cs="Calibri"/>
          <w:sz w:val="22"/>
          <w:szCs w:val="22"/>
        </w:rPr>
        <w:t>1</w:t>
      </w:r>
      <w:r w:rsidRPr="00EE3A88">
        <w:rPr>
          <w:rFonts w:cs="Calibri"/>
          <w:b/>
          <w:bCs/>
          <w:sz w:val="22"/>
          <w:szCs w:val="22"/>
        </w:rPr>
        <w:br w:type="page"/>
      </w:r>
    </w:p>
    <w:p w14:paraId="3B99C7C3" w14:textId="3326AF37" w:rsidR="00874EEB" w:rsidRPr="00EE3A88" w:rsidRDefault="00E870E2" w:rsidP="00D272BD">
      <w:pPr>
        <w:pStyle w:val="AnnexNo"/>
        <w:rPr>
          <w:rFonts w:cs="Calibri"/>
          <w:b/>
          <w:bCs/>
          <w:lang w:eastAsia="zh-CN"/>
        </w:rPr>
      </w:pPr>
      <w:r w:rsidRPr="00EE3A88">
        <w:rPr>
          <w:rFonts w:cs="Calibri"/>
          <w:b/>
          <w:bCs/>
          <w:lang w:eastAsia="zh-CN"/>
        </w:rPr>
        <w:lastRenderedPageBreak/>
        <w:t>ANNEX 1:</w:t>
      </w:r>
      <w:r w:rsidR="00A40722" w:rsidRPr="00EE3A88">
        <w:rPr>
          <w:rFonts w:cs="Calibri"/>
          <w:b/>
          <w:bCs/>
          <w:lang w:eastAsia="zh-CN"/>
        </w:rPr>
        <w:br/>
      </w:r>
      <w:r w:rsidR="0048330F" w:rsidRPr="00EE3A88">
        <w:rPr>
          <w:rFonts w:cs="Calibri"/>
          <w:b/>
          <w:bCs/>
          <w:lang w:eastAsia="zh-CN"/>
        </w:rPr>
        <w:t xml:space="preserve">TERMS OF REFERENCE for the </w:t>
      </w:r>
      <w:r w:rsidR="00874EEB" w:rsidRPr="00EE3A88">
        <w:rPr>
          <w:rFonts w:cs="Calibri"/>
          <w:b/>
          <w:bCs/>
          <w:lang w:eastAsia="zh-CN"/>
        </w:rPr>
        <w:t>FOCUS GROUP ON EMBODIED ARTIFICIAL INTELLIGENCE FOR MULTIMEDIA TECHNOLOGIES (FG-EAI)</w:t>
      </w:r>
    </w:p>
    <w:p w14:paraId="10BA4F3C" w14:textId="77777777" w:rsidR="00874EEB" w:rsidRPr="00EE3A88" w:rsidRDefault="00874EEB" w:rsidP="008D5054">
      <w:pPr>
        <w:rPr>
          <w:sz w:val="22"/>
          <w:szCs w:val="22"/>
          <w:lang w:eastAsia="zh-CN"/>
        </w:rPr>
      </w:pPr>
    </w:p>
    <w:p w14:paraId="349A7EB0" w14:textId="77777777" w:rsidR="000652EB" w:rsidRPr="00EE3A88" w:rsidRDefault="000652EB" w:rsidP="000652EB">
      <w:pPr>
        <w:pStyle w:val="Headingb"/>
        <w:rPr>
          <w:rFonts w:cs="Calibri"/>
          <w:lang w:eastAsia="zh-CN"/>
        </w:rPr>
      </w:pPr>
      <w:r w:rsidRPr="00EE3A88">
        <w:rPr>
          <w:rFonts w:cs="Calibri"/>
          <w:lang w:eastAsia="zh-CN"/>
        </w:rPr>
        <w:t>Background</w:t>
      </w:r>
    </w:p>
    <w:p w14:paraId="4371573B" w14:textId="77777777" w:rsidR="0048330F" w:rsidRPr="00EE3A88" w:rsidRDefault="000652EB" w:rsidP="000652EB">
      <w:pPr>
        <w:rPr>
          <w:rFonts w:cs="Calibri"/>
          <w:lang w:eastAsia="zh-CN"/>
        </w:rPr>
      </w:pPr>
      <w:r w:rsidRPr="00EE3A88">
        <w:rPr>
          <w:rFonts w:cs="Calibri"/>
          <w:lang w:eastAsia="zh-CN"/>
        </w:rPr>
        <w:t xml:space="preserve">This Focus Group is established under the policy framework of Recommendation ITU-T A.7 </w:t>
      </w:r>
      <w:hyperlink r:id="rId24" w:history="1">
        <w:r w:rsidRPr="00EE3A88">
          <w:rPr>
            <w:rStyle w:val="Hyperlink"/>
            <w:rFonts w:cs="Calibri"/>
            <w:lang w:eastAsia="zh-CN"/>
          </w:rPr>
          <w:t>https://www.itu.int/rec/T-REC-A.7/en</w:t>
        </w:r>
      </w:hyperlink>
    </w:p>
    <w:p w14:paraId="32CA9E5F" w14:textId="77777777" w:rsidR="0048330F" w:rsidRPr="00EE3A88" w:rsidRDefault="000652EB" w:rsidP="000652EB">
      <w:pPr>
        <w:pStyle w:val="Headingb"/>
        <w:numPr>
          <w:ilvl w:val="0"/>
          <w:numId w:val="33"/>
        </w:numPr>
        <w:rPr>
          <w:rFonts w:cs="Calibri"/>
          <w:lang w:eastAsia="zh-CN"/>
        </w:rPr>
      </w:pPr>
      <w:r w:rsidRPr="00EE3A88">
        <w:rPr>
          <w:rFonts w:cs="Calibri"/>
          <w:lang w:eastAsia="zh-CN"/>
        </w:rPr>
        <w:t>Rationale</w:t>
      </w:r>
    </w:p>
    <w:p w14:paraId="4597751B" w14:textId="6E2C411B" w:rsidR="000652EB" w:rsidRPr="00EE3A88" w:rsidRDefault="000652EB" w:rsidP="000652EB">
      <w:pPr>
        <w:rPr>
          <w:rFonts w:cs="Calibri"/>
        </w:rPr>
      </w:pPr>
      <w:r w:rsidRPr="00EE3A88">
        <w:rPr>
          <w:rFonts w:cs="Calibri"/>
          <w:lang w:eastAsia="zh-CN"/>
        </w:rPr>
        <w:t>Embodied artificial intelligence (EAI) represents a transformative paradigm in which AI is integrated into physical bodies. Its embodied interaction and native multimodal perception naturally enhance and extend next-generation multimedia applications. Meanwhile, EAI systems are no longer designed merely to perform pre-programmed tasks in structured settings. Driven by its core capabilities, such as cognition, learning, and collaboration, EAI systems are now being designed to coexist and collaborate with humans in open, dynamic environments, supporting a broad range of application domains, including smart manufacturing, public service, logistics, healthcare, and home automation, and creating growing demands for interoperable platforms, multimodal frameworks, and scalable system architectures.</w:t>
      </w:r>
    </w:p>
    <w:p w14:paraId="5E74649F" w14:textId="77777777" w:rsidR="000652EB" w:rsidRPr="00EE3A88" w:rsidRDefault="000652EB" w:rsidP="000652EB">
      <w:pPr>
        <w:rPr>
          <w:rFonts w:cs="Calibri"/>
          <w:lang w:eastAsia="zh-CN"/>
        </w:rPr>
      </w:pPr>
      <w:r w:rsidRPr="00EE3A88">
        <w:rPr>
          <w:rFonts w:cs="Calibri"/>
          <w:lang w:eastAsia="zh-CN"/>
        </w:rPr>
        <w:t xml:space="preserve">Despite its potential, current EAI technologies remain technically immature, rapidly evolving, and fragmented, with significant gaps in reliability, accessibility, and usability. </w:t>
      </w:r>
      <w:r w:rsidRPr="00EE3A88">
        <w:rPr>
          <w:rFonts w:eastAsia="Batang" w:cs="Calibri"/>
        </w:rPr>
        <w:t>There is currently no global consensus on terminology, architecture, or evaluation app</w:t>
      </w:r>
      <w:r w:rsidRPr="00EE3A88">
        <w:rPr>
          <w:rFonts w:cs="Calibri"/>
          <w:lang w:eastAsia="zh-CN"/>
        </w:rPr>
        <w:t xml:space="preserve">roaches for evaluating performance, aligning with human values and needs, and guarantee safety, and achieving interoperability. These stand in stark contrast to the </w:t>
      </w:r>
      <w:r w:rsidRPr="00EE3A88">
        <w:rPr>
          <w:rFonts w:cs="Calibri"/>
        </w:rPr>
        <w:t>ITU’s vision of trusted, safe, and inclusive development of AI</w:t>
      </w:r>
      <w:r w:rsidRPr="00EE3A88">
        <w:rPr>
          <w:rStyle w:val="FootnoteReference"/>
          <w:rFonts w:cs="Calibri"/>
        </w:rPr>
        <w:footnoteReference w:id="1"/>
      </w:r>
      <w:r w:rsidRPr="00EE3A88">
        <w:rPr>
          <w:rFonts w:cs="Calibri"/>
        </w:rPr>
        <w:t xml:space="preserve"> technologies, </w:t>
      </w:r>
      <w:r w:rsidRPr="00EE3A88">
        <w:rPr>
          <w:rFonts w:cs="Calibri"/>
          <w:lang w:eastAsia="zh-CN"/>
        </w:rPr>
        <w:t>underscoring the urgent need for a coordinated effort across institutions and stakeholders.</w:t>
      </w:r>
    </w:p>
    <w:p w14:paraId="32452378" w14:textId="77777777" w:rsidR="000652EB" w:rsidRPr="00EE3A88" w:rsidRDefault="000652EB" w:rsidP="000652EB">
      <w:pPr>
        <w:pStyle w:val="Headingb"/>
        <w:numPr>
          <w:ilvl w:val="0"/>
          <w:numId w:val="33"/>
        </w:numPr>
        <w:rPr>
          <w:rFonts w:cs="Calibri"/>
          <w:lang w:eastAsia="zh-CN"/>
        </w:rPr>
      </w:pPr>
      <w:r w:rsidRPr="00EE3A88">
        <w:rPr>
          <w:rFonts w:cs="Calibri"/>
          <w:lang w:eastAsia="zh-CN"/>
        </w:rPr>
        <w:t>Scope</w:t>
      </w:r>
    </w:p>
    <w:p w14:paraId="52EB9AA0" w14:textId="77777777" w:rsidR="0048330F" w:rsidRPr="00EE3A88" w:rsidRDefault="000652EB" w:rsidP="000652EB">
      <w:pPr>
        <w:rPr>
          <w:rFonts w:cs="Calibri"/>
          <w:lang w:eastAsia="zh-CN"/>
        </w:rPr>
      </w:pPr>
      <w:r w:rsidRPr="00EE3A88">
        <w:rPr>
          <w:rFonts w:cs="Calibri"/>
          <w:lang w:eastAsia="zh-CN"/>
        </w:rPr>
        <w:t xml:space="preserve">The scope of this Focus Group reflects the ITU-T SG21 remit and is limited to embodied artificial intelligence for multimedia technologies. In this context the Focus Group will canvass EAI for human-centric multimedia applications by studying its technical capabilities, including cognition to enhance understanding of the physical world, learning to adapt tasks through trial and error, and collaboration among humans, machines, and environments. It will investigate foundational technologies </w:t>
      </w:r>
      <w:r w:rsidRPr="00EE3A88">
        <w:rPr>
          <w:rFonts w:eastAsia="Batang" w:cs="Calibri"/>
        </w:rPr>
        <w:t>including real/virtual-world datasets, closed-loop control, world-model training and advanced human–machine interaction.</w:t>
      </w:r>
      <w:r w:rsidRPr="00EE3A88">
        <w:rPr>
          <w:rFonts w:cs="Calibri"/>
          <w:lang w:eastAsia="zh-CN"/>
        </w:rPr>
        <w:t xml:space="preserve"> It will also consider application-level challenges, such as insufficient capabilities and instability in long-horizon tasks, that contribute to today’s fragmented development and hinder industrial-scale deployment. Safety and human factors will also be addressed, clarifying technology readiness and human oversight mechanisms.</w:t>
      </w:r>
    </w:p>
    <w:p w14:paraId="286A775F" w14:textId="222A7C34" w:rsidR="000652EB" w:rsidRPr="00EE3A88" w:rsidRDefault="000652EB" w:rsidP="000652EB">
      <w:pPr>
        <w:rPr>
          <w:rFonts w:cs="Calibri"/>
          <w:lang w:eastAsia="zh-CN"/>
        </w:rPr>
      </w:pPr>
      <w:r w:rsidRPr="00EE3A88">
        <w:rPr>
          <w:rFonts w:cs="Calibri"/>
          <w:lang w:eastAsia="zh-CN"/>
        </w:rPr>
        <w:t xml:space="preserve">The Focus Group will </w:t>
      </w:r>
      <w:r w:rsidRPr="00EE3A88">
        <w:rPr>
          <w:rFonts w:eastAsia="Batang" w:cs="Calibri"/>
        </w:rPr>
        <w:t>identify stakeholders with whom ITU-T could collaborate, and for enabling the inclusion of non-members to contribute to the technical pre-standardization work.</w:t>
      </w:r>
      <w:r w:rsidRPr="00EE3A88">
        <w:rPr>
          <w:rFonts w:cs="Calibri"/>
          <w:lang w:eastAsia="zh-CN"/>
        </w:rPr>
        <w:t xml:space="preserve"> Potential collaboration can be built across academia, industry, regulatory bodies, and standards development organizations (SDOs),</w:t>
      </w:r>
      <w:r w:rsidRPr="00EE3A88" w:rsidDel="001605DB">
        <w:rPr>
          <w:rFonts w:cs="Calibri"/>
          <w:lang w:eastAsia="zh-CN"/>
        </w:rPr>
        <w:t xml:space="preserve"> </w:t>
      </w:r>
      <w:r w:rsidRPr="00EE3A88">
        <w:rPr>
          <w:rFonts w:cs="Calibri"/>
          <w:lang w:eastAsia="zh-CN"/>
        </w:rPr>
        <w:t>to ensure inclusive and interoperable technical foundations.</w:t>
      </w:r>
    </w:p>
    <w:p w14:paraId="61BD58F3" w14:textId="77777777" w:rsidR="0048330F" w:rsidRPr="00EE3A88" w:rsidRDefault="000652EB" w:rsidP="000652EB">
      <w:pPr>
        <w:pStyle w:val="Headingb"/>
        <w:numPr>
          <w:ilvl w:val="0"/>
          <w:numId w:val="33"/>
        </w:numPr>
        <w:rPr>
          <w:rFonts w:cs="Calibri"/>
          <w:lang w:eastAsia="zh-CN"/>
        </w:rPr>
      </w:pPr>
      <w:r w:rsidRPr="00EE3A88">
        <w:rPr>
          <w:rFonts w:cs="Calibri"/>
          <w:lang w:eastAsia="zh-CN"/>
        </w:rPr>
        <w:lastRenderedPageBreak/>
        <w:t>Objectives</w:t>
      </w:r>
    </w:p>
    <w:p w14:paraId="128BD637" w14:textId="3397CDC2" w:rsidR="000652EB" w:rsidRPr="00EE3A88" w:rsidRDefault="000652EB" w:rsidP="000652EB">
      <w:pPr>
        <w:rPr>
          <w:rFonts w:cs="Calibri"/>
          <w:lang w:eastAsia="zh-CN"/>
        </w:rPr>
      </w:pPr>
      <w:r w:rsidRPr="00EE3A88">
        <w:rPr>
          <w:rFonts w:cs="Calibri"/>
          <w:lang w:eastAsia="zh-CN"/>
        </w:rPr>
        <w:t>According to its scope (clause 2), the Focus Group aims to identify key technologies, conduct pre-standardization work, and facilitate standard adoption for enabling EAI, including for human-centric multimedia applications. It has the following objectives:</w:t>
      </w:r>
    </w:p>
    <w:p w14:paraId="19A5AA4A" w14:textId="77777777" w:rsidR="000652EB" w:rsidRPr="00EE3A88" w:rsidRDefault="000652EB" w:rsidP="000652EB">
      <w:pPr>
        <w:pStyle w:val="ListParagraph"/>
        <w:numPr>
          <w:ilvl w:val="0"/>
          <w:numId w:val="34"/>
        </w:numPr>
        <w:ind w:leftChars="0"/>
        <w:contextualSpacing/>
        <w:rPr>
          <w:rFonts w:ascii="Calibri" w:hAnsi="Calibri" w:cs="Calibri"/>
          <w:lang w:eastAsia="zh-CN"/>
        </w:rPr>
      </w:pPr>
      <w:r w:rsidRPr="00EE3A88">
        <w:rPr>
          <w:rFonts w:ascii="Calibri" w:hAnsi="Calibri" w:cs="Calibri"/>
          <w:lang w:eastAsia="zh-CN"/>
        </w:rPr>
        <w:t>To study and harmonize concepts, terminologies, working definitions, vision, and ecosystem relevant to EAI.</w:t>
      </w:r>
    </w:p>
    <w:p w14:paraId="0382961A" w14:textId="77777777" w:rsidR="000652EB" w:rsidRPr="00EE3A88" w:rsidRDefault="000652EB" w:rsidP="000652EB">
      <w:pPr>
        <w:pStyle w:val="ListParagraph"/>
        <w:numPr>
          <w:ilvl w:val="0"/>
          <w:numId w:val="34"/>
        </w:numPr>
        <w:ind w:leftChars="0"/>
        <w:contextualSpacing/>
        <w:rPr>
          <w:rFonts w:ascii="Calibri" w:hAnsi="Calibri" w:cs="Calibri"/>
          <w:lang w:eastAsia="zh-CN"/>
        </w:rPr>
      </w:pPr>
      <w:r w:rsidRPr="00EE3A88">
        <w:rPr>
          <w:rFonts w:ascii="Calibri" w:hAnsi="Calibri" w:cs="Calibri"/>
          <w:lang w:eastAsia="zh-CN"/>
        </w:rPr>
        <w:t>To analyse the standardization gaps toward EAI-enabled services.</w:t>
      </w:r>
    </w:p>
    <w:p w14:paraId="43C52648" w14:textId="77777777" w:rsidR="000652EB" w:rsidRPr="00EE3A88" w:rsidRDefault="000652EB" w:rsidP="000652EB">
      <w:pPr>
        <w:pStyle w:val="ListParagraph"/>
        <w:numPr>
          <w:ilvl w:val="0"/>
          <w:numId w:val="34"/>
        </w:numPr>
        <w:ind w:leftChars="0"/>
        <w:contextualSpacing/>
        <w:rPr>
          <w:rFonts w:ascii="Calibri" w:hAnsi="Calibri" w:cs="Calibri"/>
          <w:lang w:eastAsia="zh-CN"/>
        </w:rPr>
      </w:pPr>
      <w:r w:rsidRPr="00EE3A88">
        <w:rPr>
          <w:rFonts w:ascii="Calibri" w:hAnsi="Calibri" w:cs="Calibri"/>
          <w:lang w:eastAsia="zh-CN"/>
        </w:rPr>
        <w:t>To identify and study enabling technologies, trends, and standardization needs relevant to EAI capabilities.</w:t>
      </w:r>
    </w:p>
    <w:p w14:paraId="7D5A72E4" w14:textId="77777777" w:rsidR="000652EB" w:rsidRPr="00EE3A88" w:rsidRDefault="000652EB" w:rsidP="000652EB">
      <w:pPr>
        <w:pStyle w:val="ListParagraph"/>
        <w:numPr>
          <w:ilvl w:val="0"/>
          <w:numId w:val="34"/>
        </w:numPr>
        <w:ind w:leftChars="0"/>
        <w:contextualSpacing/>
        <w:rPr>
          <w:rFonts w:ascii="Calibri" w:hAnsi="Calibri" w:cs="Calibri"/>
          <w:lang w:eastAsia="zh-CN"/>
        </w:rPr>
      </w:pPr>
      <w:r w:rsidRPr="00EE3A88">
        <w:rPr>
          <w:rFonts w:ascii="Calibri" w:hAnsi="Calibri" w:cs="Calibri"/>
          <w:lang w:eastAsia="zh-CN"/>
        </w:rPr>
        <w:t>To identify use cases to guide future EAI development for multimedia applications across various service domains, facilitating EAI adoption.</w:t>
      </w:r>
    </w:p>
    <w:p w14:paraId="11F693C3" w14:textId="77777777" w:rsidR="000652EB" w:rsidRPr="00EE3A88" w:rsidRDefault="000652EB" w:rsidP="000652EB">
      <w:pPr>
        <w:pStyle w:val="ListParagraph"/>
        <w:numPr>
          <w:ilvl w:val="0"/>
          <w:numId w:val="34"/>
        </w:numPr>
        <w:ind w:leftChars="0"/>
        <w:contextualSpacing/>
        <w:rPr>
          <w:rFonts w:ascii="Calibri" w:hAnsi="Calibri" w:cs="Calibri"/>
          <w:lang w:eastAsia="zh-CN"/>
        </w:rPr>
      </w:pPr>
      <w:r w:rsidRPr="00EE3A88">
        <w:rPr>
          <w:rFonts w:ascii="Calibri" w:hAnsi="Calibri" w:cs="Calibri"/>
          <w:lang w:eastAsia="zh-CN"/>
        </w:rPr>
        <w:t>To identify criteria and benchmarks for assessing</w:t>
      </w:r>
      <w:r w:rsidRPr="00EE3A88">
        <w:rPr>
          <w:rFonts w:ascii="Calibri" w:hAnsi="Calibri" w:cs="Calibri"/>
        </w:rPr>
        <w:t xml:space="preserve"> performance, accessibility, usability, safety, and reliability</w:t>
      </w:r>
      <w:r w:rsidRPr="00EE3A88">
        <w:rPr>
          <w:rFonts w:ascii="Calibri" w:hAnsi="Calibri" w:cs="Calibri"/>
          <w:lang w:eastAsia="zh-CN"/>
        </w:rPr>
        <w:t xml:space="preserve"> of multimedia services enabled by EAI.</w:t>
      </w:r>
    </w:p>
    <w:p w14:paraId="3B8F47ED" w14:textId="77777777" w:rsidR="000652EB" w:rsidRPr="00EE3A88" w:rsidRDefault="000652EB" w:rsidP="000652EB">
      <w:pPr>
        <w:pStyle w:val="ListParagraph"/>
        <w:numPr>
          <w:ilvl w:val="0"/>
          <w:numId w:val="34"/>
        </w:numPr>
        <w:ind w:leftChars="0"/>
        <w:contextualSpacing/>
        <w:rPr>
          <w:rFonts w:ascii="Calibri" w:hAnsi="Calibri" w:cs="Calibri"/>
          <w:lang w:eastAsia="zh-CN"/>
        </w:rPr>
      </w:pPr>
      <w:r w:rsidRPr="00EE3A88">
        <w:rPr>
          <w:rFonts w:ascii="Calibri" w:hAnsi="Calibri" w:cs="Calibri"/>
          <w:lang w:eastAsia="zh-CN"/>
        </w:rPr>
        <w:t xml:space="preserve">To </w:t>
      </w:r>
      <w:proofErr w:type="gramStart"/>
      <w:r w:rsidRPr="00EE3A88">
        <w:rPr>
          <w:rFonts w:ascii="Calibri" w:hAnsi="Calibri" w:cs="Calibri"/>
          <w:lang w:eastAsia="zh-CN"/>
        </w:rPr>
        <w:t>take into account</w:t>
      </w:r>
      <w:proofErr w:type="gramEnd"/>
      <w:r w:rsidRPr="00EE3A88">
        <w:rPr>
          <w:rFonts w:ascii="Calibri" w:hAnsi="Calibri" w:cs="Calibri"/>
          <w:lang w:eastAsia="zh-CN"/>
        </w:rPr>
        <w:t xml:space="preserve"> key aspects of trustworthy EAI-enabled multimedia applications, including safety and human factors and privacy.</w:t>
      </w:r>
    </w:p>
    <w:p w14:paraId="02C72FC2" w14:textId="77777777" w:rsidR="000652EB" w:rsidRPr="00EE3A88" w:rsidRDefault="000652EB" w:rsidP="000652EB">
      <w:pPr>
        <w:pStyle w:val="ListParagraph"/>
        <w:numPr>
          <w:ilvl w:val="0"/>
          <w:numId w:val="34"/>
        </w:numPr>
        <w:ind w:leftChars="0"/>
        <w:contextualSpacing/>
        <w:rPr>
          <w:rFonts w:ascii="Calibri" w:hAnsi="Calibri" w:cs="Calibri"/>
          <w:lang w:eastAsia="zh-CN"/>
        </w:rPr>
      </w:pPr>
      <w:r w:rsidRPr="00EE3A88">
        <w:rPr>
          <w:rFonts w:ascii="Calibri" w:hAnsi="Calibri" w:cs="Calibri"/>
          <w:lang w:eastAsia="zh-CN"/>
        </w:rPr>
        <w:t xml:space="preserve">To identify opportunities for collaboration among </w:t>
      </w:r>
      <w:r w:rsidRPr="00EE3A88">
        <w:rPr>
          <w:rFonts w:ascii="Calibri" w:hAnsi="Calibri" w:cs="Calibri"/>
        </w:rPr>
        <w:t>relevant ITU-T Study Groups (SGs),</w:t>
      </w:r>
      <w:r w:rsidRPr="00EE3A88">
        <w:rPr>
          <w:rFonts w:ascii="Calibri" w:hAnsi="Calibri" w:cs="Calibri"/>
          <w:lang w:eastAsia="zh-CN"/>
        </w:rPr>
        <w:t xml:space="preserve"> external SDOs, industrial entities, and academic institutions, including both ITU and non-ITU members, to guarantee interoperability and foster collaboration.</w:t>
      </w:r>
    </w:p>
    <w:p w14:paraId="2E7FE518" w14:textId="77777777" w:rsidR="000652EB" w:rsidRPr="00EE3A88" w:rsidRDefault="000652EB" w:rsidP="000652EB">
      <w:pPr>
        <w:pStyle w:val="ListParagraph"/>
        <w:numPr>
          <w:ilvl w:val="0"/>
          <w:numId w:val="34"/>
        </w:numPr>
        <w:ind w:leftChars="0"/>
        <w:contextualSpacing/>
        <w:rPr>
          <w:rFonts w:ascii="Calibri" w:hAnsi="Calibri" w:cs="Calibri"/>
          <w:lang w:eastAsia="zh-CN"/>
        </w:rPr>
      </w:pPr>
      <w:r w:rsidRPr="00EE3A88">
        <w:rPr>
          <w:rFonts w:ascii="Calibri" w:hAnsi="Calibri" w:cs="Calibri"/>
          <w:lang w:eastAsia="zh-CN"/>
        </w:rPr>
        <w:t>To provide a platform to share findings and for dialogue on technical policy and regulatory implications of EAI related to multimedia aspects.</w:t>
      </w:r>
    </w:p>
    <w:p w14:paraId="7B84855C" w14:textId="77777777" w:rsidR="000652EB" w:rsidRPr="00EE3A88" w:rsidRDefault="000652EB" w:rsidP="000652EB">
      <w:pPr>
        <w:pStyle w:val="ListParagraph"/>
        <w:numPr>
          <w:ilvl w:val="0"/>
          <w:numId w:val="34"/>
        </w:numPr>
        <w:ind w:leftChars="0"/>
        <w:contextualSpacing/>
        <w:rPr>
          <w:rFonts w:ascii="Calibri" w:hAnsi="Calibri" w:cs="Calibri"/>
          <w:lang w:eastAsia="zh-CN"/>
        </w:rPr>
      </w:pPr>
      <w:r w:rsidRPr="00EE3A88">
        <w:rPr>
          <w:rFonts w:ascii="Calibri" w:hAnsi="Calibri" w:cs="Calibri"/>
          <w:lang w:eastAsia="zh-CN"/>
        </w:rPr>
        <w:t>To facilitate community engagement and best practice, knowledge dissemination to accelerate consensus in the technical approaches, ensuring alignment with the evolving yet maturing landscape of EAI.</w:t>
      </w:r>
    </w:p>
    <w:p w14:paraId="25FD21BF" w14:textId="77777777" w:rsidR="000652EB" w:rsidRPr="00EE3A88" w:rsidRDefault="000652EB" w:rsidP="000652EB">
      <w:pPr>
        <w:pStyle w:val="ListParagraph"/>
        <w:numPr>
          <w:ilvl w:val="0"/>
          <w:numId w:val="34"/>
        </w:numPr>
        <w:ind w:leftChars="0"/>
        <w:contextualSpacing/>
        <w:rPr>
          <w:rFonts w:ascii="Calibri" w:hAnsi="Calibri" w:cs="Calibri"/>
          <w:lang w:eastAsia="zh-CN"/>
        </w:rPr>
      </w:pPr>
      <w:r w:rsidRPr="00EE3A88">
        <w:rPr>
          <w:rFonts w:ascii="Calibri" w:eastAsia="Batang" w:hAnsi="Calibri" w:cs="Calibri"/>
          <w:lang w:eastAsia="zh-CN"/>
        </w:rPr>
        <w:t>To study and gather information to develop a pre-standardization roadmap.</w:t>
      </w:r>
    </w:p>
    <w:p w14:paraId="7B0451A8" w14:textId="77777777" w:rsidR="000652EB" w:rsidRPr="00EE3A88" w:rsidRDefault="000652EB" w:rsidP="000652EB">
      <w:pPr>
        <w:pStyle w:val="Headingb"/>
        <w:numPr>
          <w:ilvl w:val="0"/>
          <w:numId w:val="33"/>
        </w:numPr>
        <w:rPr>
          <w:rFonts w:cs="Calibri"/>
          <w:lang w:eastAsia="zh-CN"/>
        </w:rPr>
      </w:pPr>
      <w:r w:rsidRPr="00EE3A88">
        <w:rPr>
          <w:rFonts w:cs="Calibri"/>
          <w:lang w:eastAsia="zh-CN"/>
        </w:rPr>
        <w:t>Specific tasks and deliverables</w:t>
      </w:r>
    </w:p>
    <w:p w14:paraId="6FBD9FDA" w14:textId="77777777" w:rsidR="000652EB" w:rsidRPr="00EE3A88" w:rsidRDefault="000652EB" w:rsidP="000652EB">
      <w:pPr>
        <w:rPr>
          <w:rFonts w:cs="Calibri"/>
          <w:lang w:eastAsia="zh-CN"/>
        </w:rPr>
      </w:pPr>
      <w:r w:rsidRPr="00EE3A88">
        <w:rPr>
          <w:rFonts w:cs="Calibri"/>
          <w:lang w:eastAsia="zh-CN"/>
        </w:rPr>
        <w:t>According to its scope (clause 2), the Focus Group aims to develop deliverables considering the following aspects:</w:t>
      </w:r>
    </w:p>
    <w:p w14:paraId="58AA57EB" w14:textId="77777777" w:rsidR="000652EB" w:rsidRPr="00EE3A88" w:rsidRDefault="000652EB" w:rsidP="000652EB">
      <w:pPr>
        <w:pStyle w:val="ListParagraph"/>
        <w:numPr>
          <w:ilvl w:val="0"/>
          <w:numId w:val="34"/>
        </w:numPr>
        <w:ind w:leftChars="0"/>
        <w:contextualSpacing/>
        <w:rPr>
          <w:rFonts w:ascii="Calibri" w:hAnsi="Calibri" w:cs="Calibri"/>
          <w:lang w:eastAsia="zh-CN"/>
        </w:rPr>
      </w:pPr>
      <w:r w:rsidRPr="00EE3A88">
        <w:rPr>
          <w:rFonts w:ascii="Calibri" w:hAnsi="Calibri" w:cs="Calibri"/>
          <w:lang w:eastAsia="zh-CN"/>
        </w:rPr>
        <w:t xml:space="preserve">develop deliverables covering concepts, working definitions and terminologies of EAI </w:t>
      </w:r>
      <w:proofErr w:type="gramStart"/>
      <w:r w:rsidRPr="00EE3A88">
        <w:rPr>
          <w:rFonts w:ascii="Calibri" w:hAnsi="Calibri" w:cs="Calibri"/>
          <w:lang w:eastAsia="zh-CN"/>
        </w:rPr>
        <w:t>systems;</w:t>
      </w:r>
      <w:proofErr w:type="gramEnd"/>
    </w:p>
    <w:p w14:paraId="19FBB79A" w14:textId="77777777" w:rsidR="000652EB" w:rsidRPr="00EE3A88" w:rsidRDefault="000652EB" w:rsidP="000652EB">
      <w:pPr>
        <w:pStyle w:val="ListParagraph"/>
        <w:numPr>
          <w:ilvl w:val="0"/>
          <w:numId w:val="34"/>
        </w:numPr>
        <w:ind w:leftChars="0"/>
        <w:contextualSpacing/>
        <w:rPr>
          <w:rFonts w:ascii="Calibri" w:hAnsi="Calibri" w:cs="Calibri"/>
          <w:lang w:eastAsia="zh-CN"/>
        </w:rPr>
      </w:pPr>
      <w:r w:rsidRPr="00EE3A88">
        <w:rPr>
          <w:rFonts w:ascii="Calibri" w:hAnsi="Calibri" w:cs="Calibri"/>
          <w:lang w:eastAsia="zh-CN"/>
        </w:rPr>
        <w:t xml:space="preserve">identify standardization gaps and technical requirements to ensure interoperability between heterogeneous EAI </w:t>
      </w:r>
      <w:proofErr w:type="gramStart"/>
      <w:r w:rsidRPr="00EE3A88">
        <w:rPr>
          <w:rFonts w:ascii="Calibri" w:hAnsi="Calibri" w:cs="Calibri"/>
          <w:lang w:eastAsia="zh-CN"/>
        </w:rPr>
        <w:t>systems;</w:t>
      </w:r>
      <w:proofErr w:type="gramEnd"/>
    </w:p>
    <w:p w14:paraId="68BF51A1" w14:textId="77777777" w:rsidR="000652EB" w:rsidRPr="00EE3A88" w:rsidRDefault="000652EB" w:rsidP="000652EB">
      <w:pPr>
        <w:pStyle w:val="ListParagraph"/>
        <w:numPr>
          <w:ilvl w:val="0"/>
          <w:numId w:val="34"/>
        </w:numPr>
        <w:ind w:leftChars="0"/>
        <w:contextualSpacing/>
        <w:rPr>
          <w:rFonts w:ascii="Calibri" w:hAnsi="Calibri" w:cs="Calibri"/>
          <w:lang w:eastAsia="zh-CN"/>
        </w:rPr>
      </w:pPr>
      <w:r w:rsidRPr="00EE3A88">
        <w:rPr>
          <w:rFonts w:ascii="Calibri" w:hAnsi="Calibri" w:cs="Calibri"/>
          <w:lang w:eastAsia="zh-CN"/>
        </w:rPr>
        <w:t xml:space="preserve">identify needs for improvement of service architectures in computing and network/cloud resource provisioning, scheduling, and optimization to enable EAI for multimedia </w:t>
      </w:r>
      <w:proofErr w:type="gramStart"/>
      <w:r w:rsidRPr="00EE3A88">
        <w:rPr>
          <w:rFonts w:ascii="Calibri" w:hAnsi="Calibri" w:cs="Calibri"/>
          <w:lang w:eastAsia="zh-CN"/>
        </w:rPr>
        <w:t>applications;</w:t>
      </w:r>
      <w:proofErr w:type="gramEnd"/>
    </w:p>
    <w:p w14:paraId="0EAB80A8" w14:textId="77777777" w:rsidR="000652EB" w:rsidRPr="00EE3A88" w:rsidRDefault="000652EB" w:rsidP="000652EB">
      <w:pPr>
        <w:pStyle w:val="ListParagraph"/>
        <w:numPr>
          <w:ilvl w:val="0"/>
          <w:numId w:val="34"/>
        </w:numPr>
        <w:ind w:leftChars="0"/>
        <w:contextualSpacing/>
        <w:rPr>
          <w:rFonts w:ascii="Calibri" w:hAnsi="Calibri" w:cs="Calibri"/>
          <w:lang w:eastAsia="zh-CN"/>
        </w:rPr>
      </w:pPr>
      <w:r w:rsidRPr="00EE3A88">
        <w:rPr>
          <w:rFonts w:ascii="Calibri" w:eastAsia="Batang" w:hAnsi="Calibri" w:cs="Calibri"/>
          <w:lang w:eastAsia="zh-CN"/>
        </w:rPr>
        <w:t>to study and gather information to develop a pre-standardization roadmap on EAI.</w:t>
      </w:r>
    </w:p>
    <w:p w14:paraId="64736779" w14:textId="77777777" w:rsidR="000652EB" w:rsidRPr="00EE3A88" w:rsidRDefault="000652EB" w:rsidP="000652EB">
      <w:pPr>
        <w:rPr>
          <w:rFonts w:cs="Calibri"/>
          <w:lang w:eastAsia="zh-CN"/>
        </w:rPr>
      </w:pPr>
      <w:r w:rsidRPr="00EE3A88">
        <w:rPr>
          <w:rFonts w:cs="Calibri"/>
          <w:lang w:eastAsia="zh-CN"/>
        </w:rPr>
        <w:t>To develop deliverables on technologies related to core capabilities of EAI in the context of multimedia applications, including but not limited to:</w:t>
      </w:r>
    </w:p>
    <w:p w14:paraId="3A5580DF" w14:textId="77777777" w:rsidR="000652EB" w:rsidRPr="00EE3A88" w:rsidRDefault="000652EB" w:rsidP="000652EB">
      <w:pPr>
        <w:pStyle w:val="ListParagraph"/>
        <w:numPr>
          <w:ilvl w:val="0"/>
          <w:numId w:val="34"/>
        </w:numPr>
        <w:ind w:leftChars="0"/>
        <w:contextualSpacing/>
        <w:rPr>
          <w:rFonts w:ascii="Calibri" w:hAnsi="Calibri" w:cs="Calibri"/>
          <w:lang w:eastAsia="zh-CN"/>
        </w:rPr>
      </w:pPr>
      <w:r w:rsidRPr="00EE3A88">
        <w:rPr>
          <w:rFonts w:ascii="Calibri" w:hAnsi="Calibri" w:cs="Calibri"/>
          <w:lang w:eastAsia="zh-CN"/>
        </w:rPr>
        <w:t xml:space="preserve">study common EAI foundational </w:t>
      </w:r>
      <w:proofErr w:type="gramStart"/>
      <w:r w:rsidRPr="00EE3A88">
        <w:rPr>
          <w:rFonts w:ascii="Calibri" w:hAnsi="Calibri" w:cs="Calibri"/>
          <w:lang w:eastAsia="zh-CN"/>
        </w:rPr>
        <w:t>technologies;</w:t>
      </w:r>
      <w:proofErr w:type="gramEnd"/>
    </w:p>
    <w:p w14:paraId="7D3DC4C6" w14:textId="77777777" w:rsidR="000652EB" w:rsidRPr="00EE3A88" w:rsidRDefault="000652EB" w:rsidP="000652EB">
      <w:pPr>
        <w:pStyle w:val="ListParagraph"/>
        <w:numPr>
          <w:ilvl w:val="0"/>
          <w:numId w:val="34"/>
        </w:numPr>
        <w:ind w:leftChars="0"/>
        <w:contextualSpacing/>
        <w:rPr>
          <w:rFonts w:ascii="Calibri" w:hAnsi="Calibri" w:cs="Calibri"/>
          <w:lang w:eastAsia="zh-CN"/>
        </w:rPr>
      </w:pPr>
      <w:r w:rsidRPr="00EE3A88">
        <w:rPr>
          <w:rFonts w:ascii="Calibri" w:hAnsi="Calibri" w:cs="Calibri"/>
          <w:lang w:eastAsia="zh-CN"/>
        </w:rPr>
        <w:t xml:space="preserve">study cognition-related technical foundations for </w:t>
      </w:r>
      <w:proofErr w:type="gramStart"/>
      <w:r w:rsidRPr="00EE3A88">
        <w:rPr>
          <w:rFonts w:ascii="Calibri" w:hAnsi="Calibri" w:cs="Calibri"/>
          <w:lang w:eastAsia="zh-CN"/>
        </w:rPr>
        <w:t>EAI;</w:t>
      </w:r>
      <w:proofErr w:type="gramEnd"/>
    </w:p>
    <w:p w14:paraId="45B2D0FF" w14:textId="77777777" w:rsidR="000652EB" w:rsidRPr="00EE3A88" w:rsidRDefault="000652EB" w:rsidP="000652EB">
      <w:pPr>
        <w:pStyle w:val="ListParagraph"/>
        <w:numPr>
          <w:ilvl w:val="0"/>
          <w:numId w:val="34"/>
        </w:numPr>
        <w:ind w:leftChars="0"/>
        <w:contextualSpacing/>
        <w:rPr>
          <w:rFonts w:ascii="Calibri" w:hAnsi="Calibri" w:cs="Calibri"/>
          <w:lang w:eastAsia="zh-CN"/>
        </w:rPr>
      </w:pPr>
      <w:r w:rsidRPr="00EE3A88">
        <w:rPr>
          <w:rFonts w:ascii="Calibri" w:hAnsi="Calibri" w:cs="Calibri"/>
          <w:lang w:eastAsia="zh-CN"/>
        </w:rPr>
        <w:t xml:space="preserve">study learning-related foundations for </w:t>
      </w:r>
      <w:proofErr w:type="gramStart"/>
      <w:r w:rsidRPr="00EE3A88">
        <w:rPr>
          <w:rFonts w:ascii="Calibri" w:hAnsi="Calibri" w:cs="Calibri"/>
          <w:lang w:eastAsia="zh-CN"/>
        </w:rPr>
        <w:t>EAI;</w:t>
      </w:r>
      <w:proofErr w:type="gramEnd"/>
    </w:p>
    <w:p w14:paraId="7808A438" w14:textId="77777777" w:rsidR="000652EB" w:rsidRPr="00EE3A88" w:rsidRDefault="000652EB" w:rsidP="000652EB">
      <w:pPr>
        <w:pStyle w:val="ListParagraph"/>
        <w:numPr>
          <w:ilvl w:val="0"/>
          <w:numId w:val="34"/>
        </w:numPr>
        <w:ind w:leftChars="0"/>
        <w:contextualSpacing/>
        <w:rPr>
          <w:rFonts w:ascii="Calibri" w:hAnsi="Calibri" w:cs="Calibri"/>
          <w:lang w:eastAsia="zh-CN"/>
        </w:rPr>
      </w:pPr>
      <w:r w:rsidRPr="00EE3A88">
        <w:rPr>
          <w:rFonts w:ascii="Calibri" w:hAnsi="Calibri" w:cs="Calibri"/>
          <w:lang w:eastAsia="zh-CN"/>
        </w:rPr>
        <w:t>study collaboration-related foundations for EAI.</w:t>
      </w:r>
    </w:p>
    <w:p w14:paraId="7E90F386" w14:textId="77777777" w:rsidR="000652EB" w:rsidRPr="00EE3A88" w:rsidRDefault="000652EB" w:rsidP="000652EB">
      <w:pPr>
        <w:rPr>
          <w:rFonts w:cs="Calibri"/>
          <w:lang w:eastAsia="zh-CN"/>
        </w:rPr>
      </w:pPr>
      <w:r w:rsidRPr="00EE3A88">
        <w:rPr>
          <w:rFonts w:cs="Calibri"/>
          <w:lang w:eastAsia="zh-CN"/>
        </w:rPr>
        <w:t>To develop deliverables on use cases and technical enablers related to EAI in human-centric multimedia applications, including:</w:t>
      </w:r>
    </w:p>
    <w:p w14:paraId="19DB4D33" w14:textId="77777777" w:rsidR="000652EB" w:rsidRPr="00EE3A88" w:rsidRDefault="000652EB" w:rsidP="000652EB">
      <w:pPr>
        <w:pStyle w:val="ListParagraph"/>
        <w:numPr>
          <w:ilvl w:val="0"/>
          <w:numId w:val="34"/>
        </w:numPr>
        <w:ind w:leftChars="0"/>
        <w:contextualSpacing/>
        <w:rPr>
          <w:rFonts w:ascii="Calibri" w:hAnsi="Calibri" w:cs="Calibri"/>
          <w:lang w:eastAsia="zh-CN"/>
        </w:rPr>
      </w:pPr>
      <w:r w:rsidRPr="00EE3A88">
        <w:rPr>
          <w:rFonts w:ascii="Calibri" w:hAnsi="Calibri" w:cs="Calibri"/>
          <w:lang w:eastAsia="zh-CN"/>
        </w:rPr>
        <w:t>safety and human factors in cross-sector collaboration (e.g. healthcare, manufacturing, education, retail, logistics).</w:t>
      </w:r>
    </w:p>
    <w:p w14:paraId="0D2D5833" w14:textId="77777777" w:rsidR="000652EB" w:rsidRPr="00EE3A88" w:rsidRDefault="000652EB" w:rsidP="000652EB">
      <w:pPr>
        <w:pStyle w:val="ListParagraph"/>
        <w:numPr>
          <w:ilvl w:val="0"/>
          <w:numId w:val="34"/>
        </w:numPr>
        <w:ind w:leftChars="0"/>
        <w:contextualSpacing/>
        <w:rPr>
          <w:rFonts w:ascii="Calibri" w:hAnsi="Calibri" w:cs="Calibri"/>
          <w:lang w:eastAsia="zh-CN"/>
        </w:rPr>
      </w:pPr>
      <w:r w:rsidRPr="00EE3A88">
        <w:rPr>
          <w:rFonts w:ascii="Calibri" w:hAnsi="Calibri" w:cs="Calibri"/>
          <w:lang w:eastAsia="zh-CN"/>
        </w:rPr>
        <w:t>technology readiness of EAI systems assessment to facilitate the adoption of EAI applications.</w:t>
      </w:r>
    </w:p>
    <w:p w14:paraId="1F9D589F" w14:textId="77777777" w:rsidR="000652EB" w:rsidRPr="00EE3A88" w:rsidRDefault="000652EB" w:rsidP="000652EB">
      <w:pPr>
        <w:pStyle w:val="ListParagraph"/>
        <w:numPr>
          <w:ilvl w:val="0"/>
          <w:numId w:val="34"/>
        </w:numPr>
        <w:ind w:leftChars="0"/>
        <w:contextualSpacing/>
        <w:rPr>
          <w:rFonts w:ascii="Calibri" w:hAnsi="Calibri" w:cs="Calibri"/>
          <w:lang w:eastAsia="zh-CN"/>
        </w:rPr>
      </w:pPr>
      <w:r w:rsidRPr="00EE3A88">
        <w:rPr>
          <w:rFonts w:ascii="Calibri" w:hAnsi="Calibri" w:cs="Calibri"/>
          <w:lang w:eastAsia="zh-CN"/>
        </w:rPr>
        <w:lastRenderedPageBreak/>
        <w:t>evaluation methods and assessment frameworks, procedures and metrics for accessibility, reliability, and usability of human-centric EAI applications.</w:t>
      </w:r>
    </w:p>
    <w:p w14:paraId="725D9929" w14:textId="77777777" w:rsidR="000652EB" w:rsidRPr="00EE3A88" w:rsidRDefault="000652EB" w:rsidP="000652EB">
      <w:pPr>
        <w:rPr>
          <w:rFonts w:cs="Calibri"/>
          <w:lang w:eastAsia="zh-CN"/>
        </w:rPr>
      </w:pPr>
      <w:r w:rsidRPr="00EE3A88">
        <w:rPr>
          <w:rFonts w:cs="Calibri"/>
          <w:lang w:eastAsia="zh-CN"/>
        </w:rPr>
        <w:t>To support liaison with relevant ITU-T SGs, industrial entities and external SDOs, especially:</w:t>
      </w:r>
    </w:p>
    <w:p w14:paraId="0BC9AC17" w14:textId="77777777" w:rsidR="000652EB" w:rsidRPr="00EE3A88" w:rsidRDefault="000652EB" w:rsidP="000652EB">
      <w:pPr>
        <w:pStyle w:val="ListParagraph"/>
        <w:numPr>
          <w:ilvl w:val="0"/>
          <w:numId w:val="34"/>
        </w:numPr>
        <w:ind w:leftChars="0"/>
        <w:contextualSpacing/>
        <w:rPr>
          <w:rFonts w:ascii="Calibri" w:hAnsi="Calibri" w:cs="Calibri"/>
          <w:lang w:eastAsia="zh-CN"/>
        </w:rPr>
      </w:pPr>
      <w:r w:rsidRPr="00EE3A88">
        <w:rPr>
          <w:rFonts w:ascii="Calibri" w:eastAsia="Times New Roman" w:hAnsi="Calibri" w:cs="Calibri"/>
        </w:rPr>
        <w:t xml:space="preserve">collaborate with related ITU-T </w:t>
      </w:r>
      <w:r w:rsidRPr="00EE3A88">
        <w:rPr>
          <w:rFonts w:ascii="Calibri" w:hAnsi="Calibri" w:cs="Calibri"/>
          <w:lang w:eastAsia="zh-CN"/>
        </w:rPr>
        <w:t>study group</w:t>
      </w:r>
      <w:r w:rsidRPr="00EE3A88">
        <w:rPr>
          <w:rFonts w:ascii="Calibri" w:eastAsia="Times New Roman" w:hAnsi="Calibri" w:cs="Calibri"/>
        </w:rPr>
        <w:t xml:space="preserve">s and other standards bodies working on Embodied AI and related </w:t>
      </w:r>
      <w:proofErr w:type="gramStart"/>
      <w:r w:rsidRPr="00EE3A88">
        <w:rPr>
          <w:rFonts w:ascii="Calibri" w:eastAsia="Times New Roman" w:hAnsi="Calibri" w:cs="Calibri"/>
        </w:rPr>
        <w:t>areas;</w:t>
      </w:r>
      <w:proofErr w:type="gramEnd"/>
    </w:p>
    <w:p w14:paraId="52DB9AF0" w14:textId="77777777" w:rsidR="000652EB" w:rsidRPr="00EE3A88" w:rsidRDefault="000652EB" w:rsidP="000652EB">
      <w:pPr>
        <w:pStyle w:val="ListParagraph"/>
        <w:numPr>
          <w:ilvl w:val="0"/>
          <w:numId w:val="34"/>
        </w:numPr>
        <w:ind w:leftChars="0"/>
        <w:contextualSpacing/>
        <w:rPr>
          <w:rFonts w:ascii="Calibri" w:hAnsi="Calibri" w:cs="Calibri"/>
          <w:lang w:eastAsia="zh-CN"/>
        </w:rPr>
      </w:pPr>
      <w:r w:rsidRPr="00EE3A88">
        <w:rPr>
          <w:rFonts w:ascii="Calibri" w:hAnsi="Calibri" w:cs="Calibri"/>
          <w:lang w:eastAsia="zh-CN"/>
        </w:rPr>
        <w:t xml:space="preserve">collaborate with academia and industry to promote interoperability and accelerate the adoption of standard </w:t>
      </w:r>
      <w:proofErr w:type="gramStart"/>
      <w:r w:rsidRPr="00EE3A88">
        <w:rPr>
          <w:rFonts w:ascii="Calibri" w:hAnsi="Calibri" w:cs="Calibri"/>
          <w:lang w:eastAsia="zh-CN"/>
        </w:rPr>
        <w:t>approaches;</w:t>
      </w:r>
      <w:proofErr w:type="gramEnd"/>
    </w:p>
    <w:p w14:paraId="4DD3C5F3" w14:textId="77777777" w:rsidR="000652EB" w:rsidRPr="00EE3A88" w:rsidRDefault="000652EB" w:rsidP="000652EB">
      <w:pPr>
        <w:pStyle w:val="ListParagraph"/>
        <w:numPr>
          <w:ilvl w:val="0"/>
          <w:numId w:val="34"/>
        </w:numPr>
        <w:ind w:leftChars="0"/>
        <w:contextualSpacing/>
        <w:rPr>
          <w:rFonts w:ascii="Calibri" w:hAnsi="Calibri" w:cs="Calibri"/>
          <w:lang w:eastAsia="zh-CN"/>
        </w:rPr>
      </w:pPr>
      <w:r w:rsidRPr="00EE3A88">
        <w:rPr>
          <w:rFonts w:ascii="Calibri" w:hAnsi="Calibri" w:cs="Calibri"/>
          <w:lang w:eastAsia="zh-CN"/>
        </w:rPr>
        <w:t>organize workshops, panels, hackathons, and global challenges in coordination with major ITU events (e.g., AI for Good Global Summit) to collect knowledge and experience, foster innovation, and promote youth education.</w:t>
      </w:r>
    </w:p>
    <w:p w14:paraId="505DD02C" w14:textId="11158528" w:rsidR="000652EB" w:rsidRPr="00EE3A88" w:rsidRDefault="000652EB" w:rsidP="000652EB">
      <w:pPr>
        <w:rPr>
          <w:rFonts w:cs="Calibri"/>
          <w:lang w:eastAsia="zh-CN"/>
        </w:rPr>
      </w:pPr>
      <w:r w:rsidRPr="00EE3A88">
        <w:rPr>
          <w:rFonts w:cs="Calibri"/>
          <w:lang w:eastAsia="zh-CN"/>
        </w:rPr>
        <w:t>Upon completion of its lifetime, the FG should provide the final report, including the complete set of deliverables to its parent group</w:t>
      </w:r>
      <w:r w:rsidR="0048330F" w:rsidRPr="00EE3A88">
        <w:rPr>
          <w:rFonts w:cs="Calibri"/>
          <w:lang w:eastAsia="zh-CN"/>
        </w:rPr>
        <w:t>,</w:t>
      </w:r>
      <w:r w:rsidRPr="00EE3A88">
        <w:rPr>
          <w:rFonts w:cs="Calibri"/>
          <w:lang w:eastAsia="zh-CN"/>
        </w:rPr>
        <w:t xml:space="preserve"> </w:t>
      </w:r>
      <w:r w:rsidR="0048330F" w:rsidRPr="00EE3A88">
        <w:rPr>
          <w:rFonts w:cs="Calibri"/>
          <w:lang w:eastAsia="zh-CN"/>
        </w:rPr>
        <w:t xml:space="preserve">ITU-T </w:t>
      </w:r>
      <w:r w:rsidRPr="00EE3A88">
        <w:rPr>
          <w:rFonts w:cs="Calibri"/>
          <w:lang w:eastAsia="zh-CN"/>
        </w:rPr>
        <w:t>SG21.</w:t>
      </w:r>
    </w:p>
    <w:p w14:paraId="3A07FA1B" w14:textId="77777777" w:rsidR="000652EB" w:rsidRPr="00EE3A88" w:rsidRDefault="000652EB" w:rsidP="000652EB">
      <w:pPr>
        <w:pStyle w:val="Headingb"/>
        <w:numPr>
          <w:ilvl w:val="0"/>
          <w:numId w:val="33"/>
        </w:numPr>
        <w:rPr>
          <w:rFonts w:cs="Calibri"/>
          <w:lang w:eastAsia="zh-CN"/>
        </w:rPr>
      </w:pPr>
      <w:r w:rsidRPr="00EE3A88">
        <w:rPr>
          <w:rFonts w:cs="Calibri"/>
          <w:lang w:eastAsia="zh-CN"/>
        </w:rPr>
        <w:t>Relationships</w:t>
      </w:r>
    </w:p>
    <w:p w14:paraId="5F12BAA5" w14:textId="3A007E8C" w:rsidR="000652EB" w:rsidRPr="00EE3A88" w:rsidRDefault="000652EB" w:rsidP="000652EB">
      <w:pPr>
        <w:rPr>
          <w:rFonts w:cs="Calibri"/>
          <w:lang w:eastAsia="zh-CN"/>
        </w:rPr>
      </w:pPr>
      <w:r w:rsidRPr="00EE3A88">
        <w:rPr>
          <w:rFonts w:cs="Calibri"/>
          <w:lang w:eastAsia="zh-CN"/>
        </w:rPr>
        <w:t xml:space="preserve">The Focus Group will work through regular meetings with ITU-T SG21 when possible. Its pre-standardization work serves to support, complement, and inform the standardization activities of </w:t>
      </w:r>
      <w:r w:rsidR="0048330F" w:rsidRPr="00EE3A88">
        <w:rPr>
          <w:rFonts w:cs="Calibri"/>
          <w:lang w:eastAsia="zh-CN"/>
        </w:rPr>
        <w:t xml:space="preserve">ITU-T </w:t>
      </w:r>
      <w:r w:rsidRPr="00EE3A88">
        <w:rPr>
          <w:rFonts w:cs="Calibri"/>
          <w:lang w:eastAsia="zh-CN"/>
        </w:rPr>
        <w:t>SG21, without duplicating ongoing efforts. Furthermore, it will liaise with other relevant ITU-T SGs as necessary to ensure coherence, promote synergy and avoid duplication.</w:t>
      </w:r>
    </w:p>
    <w:p w14:paraId="6C8F27CD" w14:textId="77777777" w:rsidR="000652EB" w:rsidRPr="00EE3A88" w:rsidRDefault="000652EB" w:rsidP="000652EB">
      <w:pPr>
        <w:rPr>
          <w:rFonts w:cs="Calibri"/>
          <w:lang w:eastAsia="zh-CN"/>
        </w:rPr>
      </w:pPr>
      <w:r w:rsidRPr="00EE3A88">
        <w:rPr>
          <w:rFonts w:cs="Calibri"/>
          <w:lang w:eastAsia="zh-CN"/>
        </w:rPr>
        <w:t>The Focus Group will collaborate with other relevant entities and groups in accordance with Recommendation ITU-T A.7. These include governments, non-governmental organizations (NGOs), policy makers, SDOs, industry forums and consortia, companies, academic institutions, research institutions and other relevant organizations, dealing with aspects of EAI from their own perspectives.</w:t>
      </w:r>
    </w:p>
    <w:p w14:paraId="4AF6D7D6" w14:textId="77777777" w:rsidR="000652EB" w:rsidRPr="00EE3A88" w:rsidRDefault="000652EB" w:rsidP="000652EB">
      <w:pPr>
        <w:rPr>
          <w:rFonts w:cs="Calibri"/>
          <w:lang w:eastAsia="zh-CN"/>
        </w:rPr>
      </w:pPr>
      <w:r w:rsidRPr="00EE3A88">
        <w:rPr>
          <w:rFonts w:cs="Calibri"/>
          <w:lang w:eastAsia="zh-CN"/>
        </w:rPr>
        <w:t>The Focus Group will organize thematic workshops and forums to promote the FG activities, encouraging both ITU members and non-ITU members to jointly contribute to this Focus Group and its objectives.</w:t>
      </w:r>
    </w:p>
    <w:p w14:paraId="7AC30A06" w14:textId="77777777" w:rsidR="000652EB" w:rsidRPr="00EE3A88" w:rsidRDefault="000652EB" w:rsidP="000652EB">
      <w:pPr>
        <w:pStyle w:val="Headingb"/>
        <w:numPr>
          <w:ilvl w:val="0"/>
          <w:numId w:val="33"/>
        </w:numPr>
        <w:rPr>
          <w:rFonts w:cs="Calibri"/>
          <w:lang w:eastAsia="zh-CN"/>
        </w:rPr>
      </w:pPr>
      <w:r w:rsidRPr="00EE3A88">
        <w:rPr>
          <w:rFonts w:cs="Calibri"/>
          <w:lang w:eastAsia="zh-CN"/>
        </w:rPr>
        <w:t>Structure</w:t>
      </w:r>
    </w:p>
    <w:p w14:paraId="27648DDB" w14:textId="77777777" w:rsidR="000652EB" w:rsidRPr="00EE3A88" w:rsidRDefault="000652EB" w:rsidP="000652EB">
      <w:pPr>
        <w:rPr>
          <w:rFonts w:cs="Calibri"/>
          <w:lang w:eastAsia="zh-CN"/>
        </w:rPr>
      </w:pPr>
      <w:r w:rsidRPr="00EE3A88">
        <w:rPr>
          <w:rFonts w:cs="Calibri"/>
          <w:lang w:eastAsia="zh-CN"/>
        </w:rPr>
        <w:t>The Focus Group may establish a sub-group structure if needed.</w:t>
      </w:r>
    </w:p>
    <w:p w14:paraId="57A2BFD5" w14:textId="77777777" w:rsidR="000652EB" w:rsidRPr="00EE3A88" w:rsidRDefault="000652EB" w:rsidP="000652EB">
      <w:pPr>
        <w:pStyle w:val="Headingb"/>
        <w:numPr>
          <w:ilvl w:val="0"/>
          <w:numId w:val="33"/>
        </w:numPr>
        <w:rPr>
          <w:rFonts w:cs="Calibri"/>
          <w:lang w:eastAsia="zh-CN"/>
        </w:rPr>
      </w:pPr>
      <w:r w:rsidRPr="00EE3A88">
        <w:rPr>
          <w:rFonts w:cs="Calibri"/>
          <w:lang w:eastAsia="zh-CN"/>
        </w:rPr>
        <w:t>Parent group</w:t>
      </w:r>
    </w:p>
    <w:p w14:paraId="19A62DD7" w14:textId="77777777" w:rsidR="000652EB" w:rsidRPr="00EE3A88" w:rsidRDefault="000652EB" w:rsidP="000652EB">
      <w:pPr>
        <w:rPr>
          <w:rFonts w:cs="Calibri"/>
          <w:lang w:eastAsia="zh-CN"/>
        </w:rPr>
      </w:pPr>
      <w:r w:rsidRPr="00EE3A88">
        <w:rPr>
          <w:rFonts w:cs="Calibri"/>
          <w:lang w:eastAsia="zh-CN"/>
        </w:rPr>
        <w:t>The parent group of the Focus Group is ITU-T SG21.</w:t>
      </w:r>
    </w:p>
    <w:p w14:paraId="17395452" w14:textId="77777777" w:rsidR="000652EB" w:rsidRPr="00EE3A88" w:rsidRDefault="000652EB" w:rsidP="000652EB">
      <w:pPr>
        <w:pStyle w:val="Headingb"/>
        <w:numPr>
          <w:ilvl w:val="0"/>
          <w:numId w:val="33"/>
        </w:numPr>
        <w:rPr>
          <w:rFonts w:cs="Calibri"/>
          <w:lang w:eastAsia="zh-CN"/>
        </w:rPr>
      </w:pPr>
      <w:r w:rsidRPr="00EE3A88">
        <w:rPr>
          <w:rFonts w:cs="Calibri"/>
          <w:lang w:eastAsia="zh-CN"/>
        </w:rPr>
        <w:t>Leadership</w:t>
      </w:r>
    </w:p>
    <w:p w14:paraId="0D647EA5" w14:textId="77777777" w:rsidR="000652EB" w:rsidRPr="00EE3A88" w:rsidRDefault="000652EB" w:rsidP="000652EB">
      <w:pPr>
        <w:rPr>
          <w:rFonts w:cs="Calibri"/>
          <w:lang w:eastAsia="zh-CN"/>
        </w:rPr>
      </w:pPr>
      <w:r w:rsidRPr="00EE3A88">
        <w:rPr>
          <w:rFonts w:cs="Calibri"/>
          <w:lang w:eastAsia="zh-CN"/>
        </w:rPr>
        <w:t>See clause 2.3 of Recommendation ITU-T A.7.</w:t>
      </w:r>
    </w:p>
    <w:p w14:paraId="635B43E6" w14:textId="77777777" w:rsidR="000652EB" w:rsidRPr="00EE3A88" w:rsidRDefault="000652EB" w:rsidP="000652EB">
      <w:pPr>
        <w:pStyle w:val="Headingb"/>
        <w:numPr>
          <w:ilvl w:val="0"/>
          <w:numId w:val="33"/>
        </w:numPr>
        <w:rPr>
          <w:rFonts w:cs="Calibri"/>
          <w:lang w:eastAsia="zh-CN"/>
        </w:rPr>
      </w:pPr>
      <w:r w:rsidRPr="00EE3A88">
        <w:rPr>
          <w:rFonts w:cs="Calibri"/>
          <w:lang w:eastAsia="zh-CN"/>
        </w:rPr>
        <w:t>Participation</w:t>
      </w:r>
    </w:p>
    <w:p w14:paraId="0062A684" w14:textId="77777777" w:rsidR="0048330F" w:rsidRPr="00EE3A88" w:rsidRDefault="000652EB" w:rsidP="000652EB">
      <w:pPr>
        <w:rPr>
          <w:rFonts w:cs="Calibri"/>
          <w:lang w:eastAsia="zh-CN"/>
        </w:rPr>
      </w:pPr>
      <w:r w:rsidRPr="00EE3A88">
        <w:rPr>
          <w:rFonts w:cs="Calibri"/>
          <w:lang w:eastAsia="zh-CN"/>
        </w:rPr>
        <w:t>See clause 3.1 of Recommendation ITU-T A.7.</w:t>
      </w:r>
    </w:p>
    <w:p w14:paraId="65BDEAD4" w14:textId="380A5B70" w:rsidR="000652EB" w:rsidRPr="00EE3A88" w:rsidRDefault="000652EB" w:rsidP="000652EB">
      <w:pPr>
        <w:rPr>
          <w:rFonts w:cs="Calibri"/>
          <w:lang w:eastAsia="zh-CN"/>
        </w:rPr>
      </w:pPr>
      <w:r w:rsidRPr="00EE3A88">
        <w:rPr>
          <w:rFonts w:cs="Calibri"/>
          <w:lang w:eastAsia="zh-CN"/>
        </w:rPr>
        <w:t>A list of participants will be maintained for reference purposes and reported to the parent group.</w:t>
      </w:r>
    </w:p>
    <w:p w14:paraId="41E6C14C" w14:textId="77777777" w:rsidR="000652EB" w:rsidRPr="00EE3A88" w:rsidRDefault="000652EB" w:rsidP="000652EB">
      <w:pPr>
        <w:pStyle w:val="Headingb"/>
        <w:numPr>
          <w:ilvl w:val="0"/>
          <w:numId w:val="33"/>
        </w:numPr>
        <w:rPr>
          <w:rFonts w:cs="Calibri"/>
          <w:lang w:eastAsia="zh-CN"/>
        </w:rPr>
      </w:pPr>
      <w:r w:rsidRPr="00EE3A88">
        <w:rPr>
          <w:rFonts w:cs="Calibri"/>
          <w:lang w:eastAsia="zh-CN"/>
        </w:rPr>
        <w:t>Administrative support</w:t>
      </w:r>
    </w:p>
    <w:p w14:paraId="4C926B3B" w14:textId="77777777" w:rsidR="000652EB" w:rsidRPr="00EE3A88" w:rsidRDefault="000652EB" w:rsidP="000652EB">
      <w:pPr>
        <w:rPr>
          <w:rFonts w:cs="Calibri"/>
          <w:lang w:eastAsia="zh-CN"/>
        </w:rPr>
      </w:pPr>
      <w:r w:rsidRPr="00EE3A88">
        <w:rPr>
          <w:rFonts w:cs="Calibri"/>
          <w:lang w:eastAsia="zh-CN"/>
        </w:rPr>
        <w:t>See clause 5 of Recommendation ITU-T A.7.</w:t>
      </w:r>
    </w:p>
    <w:p w14:paraId="2828A27B" w14:textId="77777777" w:rsidR="000652EB" w:rsidRPr="00EE3A88" w:rsidRDefault="000652EB" w:rsidP="000652EB">
      <w:pPr>
        <w:pStyle w:val="Headingb"/>
        <w:numPr>
          <w:ilvl w:val="0"/>
          <w:numId w:val="33"/>
        </w:numPr>
        <w:rPr>
          <w:rFonts w:cs="Calibri"/>
          <w:lang w:eastAsia="zh-CN"/>
        </w:rPr>
      </w:pPr>
      <w:r w:rsidRPr="00EE3A88">
        <w:rPr>
          <w:rFonts w:cs="Calibri"/>
          <w:lang w:eastAsia="zh-CN"/>
        </w:rPr>
        <w:t>FG Financing</w:t>
      </w:r>
    </w:p>
    <w:p w14:paraId="39EE1FAD" w14:textId="77777777" w:rsidR="000652EB" w:rsidRPr="00EE3A88" w:rsidRDefault="000652EB" w:rsidP="000652EB">
      <w:pPr>
        <w:rPr>
          <w:rFonts w:cs="Calibri"/>
          <w:lang w:eastAsia="zh-CN"/>
        </w:rPr>
      </w:pPr>
      <w:r w:rsidRPr="00EE3A88">
        <w:rPr>
          <w:rFonts w:cs="Calibri"/>
          <w:lang w:eastAsia="zh-CN"/>
        </w:rPr>
        <w:t>See clauses 4 of Recommendation ITU-T A.7.</w:t>
      </w:r>
    </w:p>
    <w:p w14:paraId="7F420543" w14:textId="77777777" w:rsidR="000652EB" w:rsidRPr="00EE3A88" w:rsidRDefault="000652EB" w:rsidP="000652EB">
      <w:pPr>
        <w:pStyle w:val="Headingb"/>
        <w:numPr>
          <w:ilvl w:val="0"/>
          <w:numId w:val="33"/>
        </w:numPr>
        <w:rPr>
          <w:rFonts w:cs="Calibri"/>
          <w:lang w:eastAsia="zh-CN"/>
        </w:rPr>
      </w:pPr>
      <w:r w:rsidRPr="00EE3A88">
        <w:rPr>
          <w:rFonts w:cs="Calibri"/>
          <w:lang w:eastAsia="zh-CN"/>
        </w:rPr>
        <w:lastRenderedPageBreak/>
        <w:t>Meetings</w:t>
      </w:r>
    </w:p>
    <w:p w14:paraId="22D0DE3E" w14:textId="77777777" w:rsidR="000652EB" w:rsidRPr="00EE3A88" w:rsidRDefault="000652EB" w:rsidP="000652EB">
      <w:pPr>
        <w:rPr>
          <w:rFonts w:cs="Calibri"/>
          <w:lang w:eastAsia="zh-CN"/>
        </w:rPr>
      </w:pPr>
      <w:r w:rsidRPr="00EE3A88">
        <w:rPr>
          <w:rFonts w:cs="Calibri"/>
          <w:lang w:eastAsia="zh-CN"/>
        </w:rPr>
        <w:t>The Focus Group will conduct regular meetings. The frequency and locations of meetings will be determined by the Focus Group management. The Focus Group will use remote collaboration tools to the maximum extent.</w:t>
      </w:r>
    </w:p>
    <w:p w14:paraId="41EAB096" w14:textId="77777777" w:rsidR="000652EB" w:rsidRPr="00EE3A88" w:rsidRDefault="000652EB" w:rsidP="000652EB">
      <w:pPr>
        <w:rPr>
          <w:rFonts w:cs="Calibri"/>
          <w:lang w:eastAsia="zh-CN"/>
        </w:rPr>
      </w:pPr>
      <w:r w:rsidRPr="00EE3A88">
        <w:rPr>
          <w:rFonts w:cs="Calibri"/>
          <w:lang w:eastAsia="zh-CN"/>
        </w:rPr>
        <w:t>The meeting dates will be announced by electronic means (e.g., e-mail and website) at least four weeks in advance.</w:t>
      </w:r>
    </w:p>
    <w:p w14:paraId="63854FF1" w14:textId="77777777" w:rsidR="000652EB" w:rsidRPr="00EE3A88" w:rsidRDefault="000652EB" w:rsidP="000652EB">
      <w:pPr>
        <w:pStyle w:val="Headingb"/>
        <w:numPr>
          <w:ilvl w:val="0"/>
          <w:numId w:val="33"/>
        </w:numPr>
        <w:rPr>
          <w:rFonts w:cs="Calibri"/>
          <w:lang w:eastAsia="zh-CN"/>
        </w:rPr>
      </w:pPr>
      <w:r w:rsidRPr="00EE3A88">
        <w:rPr>
          <w:rFonts w:cs="Calibri"/>
          <w:lang w:eastAsia="zh-CN"/>
        </w:rPr>
        <w:t>Deliverables</w:t>
      </w:r>
    </w:p>
    <w:p w14:paraId="0C58CE82" w14:textId="77777777" w:rsidR="000652EB" w:rsidRPr="00EE3A88" w:rsidRDefault="000652EB" w:rsidP="000652EB">
      <w:pPr>
        <w:rPr>
          <w:rFonts w:cs="Calibri"/>
          <w:lang w:eastAsia="zh-CN"/>
        </w:rPr>
      </w:pPr>
      <w:r w:rsidRPr="00EE3A88">
        <w:rPr>
          <w:rFonts w:cs="Calibri"/>
          <w:lang w:eastAsia="zh-CN"/>
        </w:rPr>
        <w:t>See clause 8 of Recommendation ITU-T A.7.</w:t>
      </w:r>
    </w:p>
    <w:p w14:paraId="45F711AA" w14:textId="77777777" w:rsidR="000652EB" w:rsidRPr="00EE3A88" w:rsidRDefault="000652EB" w:rsidP="000652EB">
      <w:pPr>
        <w:pStyle w:val="Headingb"/>
        <w:numPr>
          <w:ilvl w:val="0"/>
          <w:numId w:val="33"/>
        </w:numPr>
        <w:rPr>
          <w:rFonts w:cs="Calibri"/>
          <w:lang w:eastAsia="zh-CN"/>
        </w:rPr>
      </w:pPr>
      <w:r w:rsidRPr="00EE3A88">
        <w:rPr>
          <w:rFonts w:cs="Calibri"/>
          <w:lang w:eastAsia="zh-CN"/>
        </w:rPr>
        <w:t>Working language</w:t>
      </w:r>
    </w:p>
    <w:p w14:paraId="326D88B1" w14:textId="77777777" w:rsidR="000652EB" w:rsidRPr="00EE3A88" w:rsidRDefault="000652EB" w:rsidP="000652EB">
      <w:pPr>
        <w:rPr>
          <w:rFonts w:cs="Calibri"/>
          <w:lang w:eastAsia="zh-CN"/>
        </w:rPr>
      </w:pPr>
      <w:r w:rsidRPr="00EE3A88">
        <w:rPr>
          <w:rFonts w:cs="Calibri"/>
          <w:lang w:eastAsia="zh-CN"/>
        </w:rPr>
        <w:t>The working language is English.</w:t>
      </w:r>
    </w:p>
    <w:p w14:paraId="2F21B14A" w14:textId="77777777" w:rsidR="000652EB" w:rsidRPr="00EE3A88" w:rsidRDefault="000652EB" w:rsidP="000652EB">
      <w:pPr>
        <w:pStyle w:val="Headingb"/>
        <w:numPr>
          <w:ilvl w:val="0"/>
          <w:numId w:val="33"/>
        </w:numPr>
        <w:rPr>
          <w:rFonts w:cs="Calibri"/>
          <w:lang w:eastAsia="zh-CN"/>
        </w:rPr>
      </w:pPr>
      <w:r w:rsidRPr="00EE3A88">
        <w:rPr>
          <w:rFonts w:cs="Calibri"/>
          <w:lang w:eastAsia="zh-CN"/>
        </w:rPr>
        <w:t>Approval of deliverables</w:t>
      </w:r>
    </w:p>
    <w:p w14:paraId="3A9B2632" w14:textId="77777777" w:rsidR="000652EB" w:rsidRPr="00EE3A88" w:rsidRDefault="000652EB" w:rsidP="000652EB">
      <w:pPr>
        <w:rPr>
          <w:rFonts w:cs="Calibri"/>
          <w:lang w:eastAsia="zh-CN"/>
        </w:rPr>
      </w:pPr>
      <w:r w:rsidRPr="00EE3A88">
        <w:rPr>
          <w:rFonts w:cs="Calibri"/>
        </w:rPr>
        <w:t xml:space="preserve">Approval shall be obtained by consensus according to </w:t>
      </w:r>
      <w:r w:rsidRPr="00EE3A88">
        <w:rPr>
          <w:rFonts w:cs="Calibri"/>
          <w:lang w:eastAsia="zh-CN"/>
        </w:rPr>
        <w:t>clause 8.2 of Recommendation ITU-T A.7.</w:t>
      </w:r>
    </w:p>
    <w:p w14:paraId="6D151C7C" w14:textId="77777777" w:rsidR="000652EB" w:rsidRPr="00EE3A88" w:rsidRDefault="000652EB" w:rsidP="000652EB">
      <w:pPr>
        <w:pStyle w:val="Headingb"/>
        <w:numPr>
          <w:ilvl w:val="0"/>
          <w:numId w:val="33"/>
        </w:numPr>
        <w:tabs>
          <w:tab w:val="clear" w:pos="794"/>
        </w:tabs>
        <w:rPr>
          <w:rFonts w:cs="Calibri"/>
          <w:lang w:eastAsia="zh-CN"/>
        </w:rPr>
      </w:pPr>
      <w:r w:rsidRPr="00EE3A88">
        <w:rPr>
          <w:rFonts w:cs="Calibri"/>
          <w:lang w:eastAsia="zh-CN"/>
        </w:rPr>
        <w:t>Working guidelines</w:t>
      </w:r>
    </w:p>
    <w:p w14:paraId="5DF2B675" w14:textId="77777777" w:rsidR="000652EB" w:rsidRPr="00EE3A88" w:rsidRDefault="000652EB" w:rsidP="000652EB">
      <w:pPr>
        <w:rPr>
          <w:rFonts w:cs="Calibri"/>
          <w:lang w:eastAsia="zh-CN"/>
        </w:rPr>
      </w:pPr>
      <w:r w:rsidRPr="00EE3A88">
        <w:rPr>
          <w:rFonts w:cs="Calibri"/>
          <w:lang w:eastAsia="zh-CN"/>
        </w:rPr>
        <w:t>Working procedures shall follow the procedures of Rapporteur meetings (ITU-T A.1). No additional working guidelines are defined.</w:t>
      </w:r>
    </w:p>
    <w:p w14:paraId="434E989F" w14:textId="77777777" w:rsidR="000652EB" w:rsidRPr="00EE3A88" w:rsidRDefault="000652EB" w:rsidP="000652EB">
      <w:pPr>
        <w:pStyle w:val="Headingb"/>
        <w:numPr>
          <w:ilvl w:val="0"/>
          <w:numId w:val="33"/>
        </w:numPr>
        <w:rPr>
          <w:rFonts w:cs="Calibri"/>
          <w:lang w:eastAsia="zh-CN"/>
        </w:rPr>
      </w:pPr>
      <w:r w:rsidRPr="00EE3A88">
        <w:rPr>
          <w:rFonts w:cs="Calibri"/>
          <w:lang w:eastAsia="zh-CN"/>
        </w:rPr>
        <w:t>Progress reports</w:t>
      </w:r>
    </w:p>
    <w:p w14:paraId="3941D7BD" w14:textId="77777777" w:rsidR="000652EB" w:rsidRPr="00EE3A88" w:rsidRDefault="000652EB" w:rsidP="000652EB">
      <w:pPr>
        <w:rPr>
          <w:rFonts w:cs="Calibri"/>
          <w:lang w:eastAsia="zh-CN"/>
        </w:rPr>
      </w:pPr>
      <w:r w:rsidRPr="00EE3A88">
        <w:rPr>
          <w:rFonts w:cs="Calibri"/>
          <w:lang w:eastAsia="zh-CN"/>
        </w:rPr>
        <w:t>See clause 3.6 of Recommendation ITU-T A.7.</w:t>
      </w:r>
    </w:p>
    <w:p w14:paraId="2DFE4E8B" w14:textId="77777777" w:rsidR="000652EB" w:rsidRPr="00EE3A88" w:rsidRDefault="000652EB" w:rsidP="000652EB">
      <w:pPr>
        <w:pStyle w:val="Headingb"/>
        <w:numPr>
          <w:ilvl w:val="0"/>
          <w:numId w:val="33"/>
        </w:numPr>
        <w:rPr>
          <w:rFonts w:cs="Calibri"/>
          <w:lang w:eastAsia="zh-CN"/>
        </w:rPr>
      </w:pPr>
      <w:r w:rsidRPr="00EE3A88">
        <w:rPr>
          <w:rFonts w:cs="Calibri"/>
          <w:lang w:eastAsia="zh-CN"/>
        </w:rPr>
        <w:t>Announcement of Focus Group formation</w:t>
      </w:r>
    </w:p>
    <w:p w14:paraId="1017FF05" w14:textId="77777777" w:rsidR="000652EB" w:rsidRPr="00EE3A88" w:rsidRDefault="000652EB" w:rsidP="000652EB">
      <w:pPr>
        <w:rPr>
          <w:rFonts w:cs="Calibri"/>
          <w:lang w:eastAsia="zh-CN"/>
        </w:rPr>
      </w:pPr>
      <w:r w:rsidRPr="00EE3A88">
        <w:rPr>
          <w:rFonts w:cs="Calibri"/>
          <w:lang w:eastAsia="zh-CN"/>
        </w:rPr>
        <w:t>The formation of the Focus Group will be announced via TSB Circular to all ITU membership, via the ITU-T news log, press releases and other means, including communication with the other involved organizations.</w:t>
      </w:r>
    </w:p>
    <w:p w14:paraId="039F121A" w14:textId="77777777" w:rsidR="000652EB" w:rsidRPr="00EE3A88" w:rsidRDefault="000652EB" w:rsidP="000652EB">
      <w:pPr>
        <w:pStyle w:val="Headingb"/>
        <w:numPr>
          <w:ilvl w:val="0"/>
          <w:numId w:val="33"/>
        </w:numPr>
        <w:rPr>
          <w:rFonts w:cs="Calibri"/>
          <w:lang w:eastAsia="zh-CN"/>
        </w:rPr>
      </w:pPr>
      <w:r w:rsidRPr="00EE3A88">
        <w:rPr>
          <w:rFonts w:cs="Calibri"/>
          <w:lang w:eastAsia="zh-CN"/>
        </w:rPr>
        <w:t>Milestones and duration of the Focus Group</w:t>
      </w:r>
    </w:p>
    <w:p w14:paraId="0886142A" w14:textId="77777777" w:rsidR="000652EB" w:rsidRPr="00EE3A88" w:rsidRDefault="000652EB" w:rsidP="000652EB">
      <w:pPr>
        <w:rPr>
          <w:rFonts w:cs="Calibri"/>
          <w:lang w:eastAsia="zh-CN"/>
        </w:rPr>
      </w:pPr>
      <w:r w:rsidRPr="00EE3A88">
        <w:rPr>
          <w:rFonts w:cs="Calibri"/>
          <w:lang w:eastAsia="zh-CN"/>
        </w:rPr>
        <w:t>The Focus Group lifetime is set for one year from the first meeting with possibility of extension.</w:t>
      </w:r>
    </w:p>
    <w:p w14:paraId="1AC042E3" w14:textId="77777777" w:rsidR="000652EB" w:rsidRPr="00EE3A88" w:rsidRDefault="000652EB" w:rsidP="000652EB">
      <w:pPr>
        <w:rPr>
          <w:rFonts w:cs="Calibri"/>
          <w:lang w:eastAsia="zh-CN"/>
        </w:rPr>
      </w:pPr>
      <w:r w:rsidRPr="00EE3A88">
        <w:rPr>
          <w:rFonts w:cs="Calibri"/>
          <w:lang w:eastAsia="zh-CN"/>
        </w:rPr>
        <w:t>Any extension beyond the above-mentioned date is subject to the decision by ITU-T SG21, in line with ITU-T A.7.</w:t>
      </w:r>
    </w:p>
    <w:p w14:paraId="5CD2B7B5" w14:textId="77777777" w:rsidR="000652EB" w:rsidRPr="00EE3A88" w:rsidRDefault="000652EB" w:rsidP="000652EB">
      <w:pPr>
        <w:pStyle w:val="Headingb"/>
        <w:numPr>
          <w:ilvl w:val="0"/>
          <w:numId w:val="33"/>
        </w:numPr>
        <w:rPr>
          <w:rFonts w:cs="Calibri"/>
          <w:lang w:eastAsia="zh-CN"/>
        </w:rPr>
      </w:pPr>
      <w:r w:rsidRPr="00EE3A88">
        <w:rPr>
          <w:rFonts w:cs="Calibri"/>
          <w:lang w:eastAsia="zh-CN"/>
        </w:rPr>
        <w:t>Intellectual Property Rights</w:t>
      </w:r>
    </w:p>
    <w:p w14:paraId="1ADE9244" w14:textId="77777777" w:rsidR="000652EB" w:rsidRPr="00EE3A88" w:rsidRDefault="000652EB" w:rsidP="000652EB">
      <w:pPr>
        <w:rPr>
          <w:rFonts w:cs="Calibri"/>
          <w:lang w:eastAsia="zh-CN"/>
        </w:rPr>
      </w:pPr>
      <w:r w:rsidRPr="00EE3A88">
        <w:rPr>
          <w:rFonts w:cs="Calibri"/>
          <w:lang w:eastAsia="zh-CN"/>
        </w:rPr>
        <w:t>See clause 7 of Recommendation ITU-T A.7.</w:t>
      </w:r>
    </w:p>
    <w:p w14:paraId="7EDC7E06" w14:textId="0E3981B4" w:rsidR="00E870E2" w:rsidRPr="00EE3A88" w:rsidRDefault="000652EB" w:rsidP="000652EB">
      <w:pPr>
        <w:jc w:val="center"/>
        <w:rPr>
          <w:rFonts w:asciiTheme="minorHAnsi" w:hAnsiTheme="minorHAnsi" w:cstheme="minorHAnsi"/>
          <w:sz w:val="22"/>
          <w:szCs w:val="22"/>
        </w:rPr>
      </w:pPr>
      <w:r w:rsidRPr="00EE3A88">
        <w:rPr>
          <w:rFonts w:cs="Calibri"/>
          <w:lang w:eastAsia="zh-CN"/>
        </w:rPr>
        <w:t>________________</w:t>
      </w:r>
    </w:p>
    <w:sectPr w:rsidR="00E870E2" w:rsidRPr="00EE3A88" w:rsidSect="00C24502">
      <w:headerReference w:type="default" r:id="rId25"/>
      <w:footerReference w:type="first" r:id="rId26"/>
      <w:type w:val="oddPage"/>
      <w:pgSz w:w="11907" w:h="16834" w:code="9"/>
      <w:pgMar w:top="567" w:right="1089" w:bottom="851"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4F251" w14:textId="77777777" w:rsidR="00B80CC5" w:rsidRDefault="00B80CC5">
      <w:r>
        <w:separator/>
      </w:r>
    </w:p>
  </w:endnote>
  <w:endnote w:type="continuationSeparator" w:id="0">
    <w:p w14:paraId="67ABDBC9" w14:textId="77777777" w:rsidR="00B80CC5" w:rsidRDefault="00B8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D308" w14:textId="77777777" w:rsidR="00114254" w:rsidRPr="00C24502" w:rsidRDefault="00114254">
    <w:pPr>
      <w:pStyle w:val="FirstFooter"/>
      <w:ind w:left="-397" w:right="-397"/>
      <w:jc w:val="center"/>
      <w:rPr>
        <w:color w:val="0070C0"/>
      </w:rPr>
    </w:pPr>
    <w:r w:rsidRPr="00C24502">
      <w:rPr>
        <w:color w:val="0070C0"/>
        <w:sz w:val="18"/>
        <w:szCs w:val="18"/>
      </w:rPr>
      <w:t>International Telecommunication Union • Place des Nations • CH-1211 Geneva 20 • Switzerland</w:t>
    </w:r>
    <w:r w:rsidRPr="00C24502">
      <w:rPr>
        <w:color w:val="0070C0"/>
        <w:sz w:val="18"/>
        <w:szCs w:val="18"/>
      </w:rPr>
      <w:br/>
      <w:t xml:space="preserve">Tel: +41 22 730 5111 • Fax: +41 22 733 7256 • E-mail: </w:t>
    </w:r>
    <w:hyperlink r:id="rId1" w:history="1">
      <w:r w:rsidRPr="00C24502">
        <w:rPr>
          <w:rStyle w:val="Hyperlink"/>
          <w:color w:val="0070C0"/>
          <w:sz w:val="18"/>
          <w:szCs w:val="18"/>
        </w:rPr>
        <w:t>itumail@itu.int</w:t>
      </w:r>
    </w:hyperlink>
    <w:r w:rsidRPr="00C24502">
      <w:rPr>
        <w:color w:val="0070C0"/>
        <w:sz w:val="18"/>
        <w:szCs w:val="18"/>
      </w:rPr>
      <w:t xml:space="preserve"> • </w:t>
    </w:r>
    <w:hyperlink r:id="rId2" w:history="1">
      <w:r w:rsidRPr="00C24502">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0E3A6" w14:textId="77777777" w:rsidR="00B80CC5" w:rsidRDefault="00B80CC5">
      <w:r>
        <w:t>____________________</w:t>
      </w:r>
    </w:p>
  </w:footnote>
  <w:footnote w:type="continuationSeparator" w:id="0">
    <w:p w14:paraId="3AE7EBD0" w14:textId="77777777" w:rsidR="00B80CC5" w:rsidRDefault="00B80CC5">
      <w:r>
        <w:continuationSeparator/>
      </w:r>
    </w:p>
  </w:footnote>
  <w:footnote w:id="1">
    <w:p w14:paraId="34E61CEC" w14:textId="60E0C4D8" w:rsidR="000652EB" w:rsidRPr="003540D7" w:rsidRDefault="000652EB" w:rsidP="000652EB">
      <w:pPr>
        <w:pStyle w:val="Footer"/>
        <w:rPr>
          <w:lang w:val="fr-FR" w:eastAsia="zh-CN"/>
        </w:rPr>
      </w:pPr>
      <w:r>
        <w:rPr>
          <w:rStyle w:val="FootnoteReference"/>
        </w:rPr>
        <w:footnoteRef/>
      </w:r>
      <w:r w:rsidRPr="0048330F">
        <w:rPr>
          <w:sz w:val="20"/>
          <w:lang w:val="fr-FR"/>
        </w:rPr>
        <w:t xml:space="preserve"> </w:t>
      </w:r>
      <w:hyperlink r:id="rId1" w:history="1">
        <w:r w:rsidR="0048330F" w:rsidRPr="0048330F">
          <w:rPr>
            <w:rStyle w:val="Hyperlink"/>
            <w:caps w:val="0"/>
            <w:sz w:val="20"/>
            <w:lang w:val="fr-FR" w:eastAsia="zh-CN"/>
          </w:rPr>
          <w:t>https://www.itu.int/en/action/ai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C20C" w14:textId="6C91058A" w:rsidR="00114254" w:rsidRDefault="00114254" w:rsidP="008D5054">
    <w:pPr>
      <w:pStyle w:val="Header"/>
      <w:spacing w:after="240"/>
      <w:rPr>
        <w:noProof/>
      </w:rPr>
    </w:pPr>
    <w:r>
      <w:t xml:space="preserve">- </w:t>
    </w:r>
    <w:r>
      <w:fldChar w:fldCharType="begin"/>
    </w:r>
    <w:r>
      <w:instrText xml:space="preserve"> PAGE   \* MERGEFORMAT </w:instrText>
    </w:r>
    <w:r>
      <w:fldChar w:fldCharType="separate"/>
    </w:r>
    <w:r w:rsidR="00FC5C1C">
      <w:rPr>
        <w:noProof/>
      </w:rPr>
      <w:t>2</w:t>
    </w:r>
    <w:r>
      <w:rPr>
        <w:noProof/>
      </w:rPr>
      <w:fldChar w:fldCharType="end"/>
    </w:r>
    <w:r>
      <w:rPr>
        <w:noProof/>
      </w:rPr>
      <w:t xml:space="preserve"> -</w:t>
    </w:r>
    <w:r>
      <w:rPr>
        <w:noProof/>
      </w:rPr>
      <w:br/>
    </w:r>
    <w:r w:rsidR="00704DAF">
      <w:rPr>
        <w:noProof/>
      </w:rPr>
      <w:fldChar w:fldCharType="begin"/>
    </w:r>
    <w:r w:rsidR="00704DAF">
      <w:rPr>
        <w:noProof/>
      </w:rPr>
      <w:instrText xml:space="preserve"> styleref CircularNo </w:instrText>
    </w:r>
    <w:r w:rsidR="00704DAF">
      <w:rPr>
        <w:noProof/>
      </w:rPr>
      <w:fldChar w:fldCharType="separate"/>
    </w:r>
    <w:r w:rsidR="006E76CC">
      <w:rPr>
        <w:noProof/>
      </w:rPr>
      <w:t>TSB Circular 120</w:t>
    </w:r>
    <w:r w:rsidR="00704DAF">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38699D"/>
    <w:multiLevelType w:val="hybridMultilevel"/>
    <w:tmpl w:val="FF20F686"/>
    <w:lvl w:ilvl="0" w:tplc="EBAE24A4">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267EAE"/>
    <w:multiLevelType w:val="multilevel"/>
    <w:tmpl w:val="12267E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494204"/>
    <w:multiLevelType w:val="hybridMultilevel"/>
    <w:tmpl w:val="05365D78"/>
    <w:lvl w:ilvl="0" w:tplc="08090005">
      <w:start w:val="1"/>
      <w:numFmt w:val="bullet"/>
      <w:lvlText w:val=""/>
      <w:lvlJc w:val="left"/>
      <w:pPr>
        <w:ind w:left="1155" w:hanging="795"/>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3D61C5"/>
    <w:multiLevelType w:val="multilevel"/>
    <w:tmpl w:val="213D6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CC0F3E"/>
    <w:multiLevelType w:val="hybridMultilevel"/>
    <w:tmpl w:val="7BBAF588"/>
    <w:lvl w:ilvl="0" w:tplc="31EC9F8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33181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36BF6CC1"/>
    <w:multiLevelType w:val="multilevel"/>
    <w:tmpl w:val="36BF6CC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9F3C69"/>
    <w:multiLevelType w:val="hybridMultilevel"/>
    <w:tmpl w:val="6CAC87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E95F13"/>
    <w:multiLevelType w:val="hybridMultilevel"/>
    <w:tmpl w:val="28E89BF8"/>
    <w:lvl w:ilvl="0" w:tplc="0F826492">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1E4D7B"/>
    <w:multiLevelType w:val="hybridMultilevel"/>
    <w:tmpl w:val="6B4CCE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1C72B9"/>
    <w:multiLevelType w:val="hybridMultilevel"/>
    <w:tmpl w:val="1B82AC1C"/>
    <w:lvl w:ilvl="0" w:tplc="2AA8B89E">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92232F"/>
    <w:multiLevelType w:val="hybridMultilevel"/>
    <w:tmpl w:val="FFF864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78452A7"/>
    <w:multiLevelType w:val="hybridMultilevel"/>
    <w:tmpl w:val="2EDAC584"/>
    <w:lvl w:ilvl="0" w:tplc="116A654A">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235F14"/>
    <w:multiLevelType w:val="hybridMultilevel"/>
    <w:tmpl w:val="C4B4E4D0"/>
    <w:lvl w:ilvl="0" w:tplc="C3088982">
      <w:numFmt w:val="bullet"/>
      <w:lvlText w:val="–"/>
      <w:lvlJc w:val="left"/>
      <w:pPr>
        <w:ind w:left="1155" w:hanging="795"/>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B0ECA"/>
    <w:multiLevelType w:val="hybridMultilevel"/>
    <w:tmpl w:val="B1D263D8"/>
    <w:lvl w:ilvl="0" w:tplc="FE8002EE">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B6687A"/>
    <w:multiLevelType w:val="hybridMultilevel"/>
    <w:tmpl w:val="DE5C149E"/>
    <w:lvl w:ilvl="0" w:tplc="F34EB58C">
      <w:start w:val="150"/>
      <w:numFmt w:val="bullet"/>
      <w:lvlText w:val=""/>
      <w:lvlJc w:val="left"/>
      <w:pPr>
        <w:ind w:left="360" w:hanging="360"/>
      </w:pPr>
      <w:rPr>
        <w:rFonts w:ascii="Symbol" w:eastAsia="Times New Roman"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09B6898"/>
    <w:multiLevelType w:val="hybridMultilevel"/>
    <w:tmpl w:val="AC363B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741561"/>
    <w:multiLevelType w:val="hybridMultilevel"/>
    <w:tmpl w:val="D2409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E200A3"/>
    <w:multiLevelType w:val="hybridMultilevel"/>
    <w:tmpl w:val="CCE286F0"/>
    <w:lvl w:ilvl="0" w:tplc="DFD0AD1E">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B967DF"/>
    <w:multiLevelType w:val="hybridMultilevel"/>
    <w:tmpl w:val="4782C1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DA6F36"/>
    <w:multiLevelType w:val="hybridMultilevel"/>
    <w:tmpl w:val="3C96AC4C"/>
    <w:lvl w:ilvl="0" w:tplc="7C2C30D0">
      <w:start w:val="1"/>
      <w:numFmt w:val="decimal"/>
      <w:lvlText w:val="%1."/>
      <w:lvlJc w:val="left"/>
      <w:pPr>
        <w:ind w:left="360" w:hanging="360"/>
      </w:pPr>
      <w:rPr>
        <w:rFonts w:asciiTheme="minorHAnsi" w:hAnsiTheme="minorHAnsi" w:cstheme="minorHAns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6B7254F"/>
    <w:multiLevelType w:val="hybridMultilevel"/>
    <w:tmpl w:val="7A42D270"/>
    <w:lvl w:ilvl="0" w:tplc="E17E4BB2">
      <w:start w:val="1"/>
      <w:numFmt w:val="decimal"/>
      <w:lvlText w:val="%1."/>
      <w:lvlJc w:val="left"/>
      <w:pPr>
        <w:ind w:left="720" w:hanging="360"/>
      </w:pPr>
      <w:rPr>
        <w:rFonts w:ascii="Calibri" w:eastAsia="Times New Roman" w:hAnsi="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ED66A9"/>
    <w:multiLevelType w:val="hybridMultilevel"/>
    <w:tmpl w:val="4B0A3FA6"/>
    <w:lvl w:ilvl="0" w:tplc="0F826492">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9F1764"/>
    <w:multiLevelType w:val="hybridMultilevel"/>
    <w:tmpl w:val="F3BE79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090224">
    <w:abstractNumId w:val="9"/>
  </w:num>
  <w:num w:numId="2" w16cid:durableId="1583416746">
    <w:abstractNumId w:val="7"/>
  </w:num>
  <w:num w:numId="3" w16cid:durableId="2021155601">
    <w:abstractNumId w:val="6"/>
  </w:num>
  <w:num w:numId="4" w16cid:durableId="73170365">
    <w:abstractNumId w:val="5"/>
  </w:num>
  <w:num w:numId="5" w16cid:durableId="764152136">
    <w:abstractNumId w:val="4"/>
  </w:num>
  <w:num w:numId="6" w16cid:durableId="897284385">
    <w:abstractNumId w:val="8"/>
  </w:num>
  <w:num w:numId="7" w16cid:durableId="716899370">
    <w:abstractNumId w:val="3"/>
  </w:num>
  <w:num w:numId="8" w16cid:durableId="373045669">
    <w:abstractNumId w:val="2"/>
  </w:num>
  <w:num w:numId="9" w16cid:durableId="2016107181">
    <w:abstractNumId w:val="1"/>
  </w:num>
  <w:num w:numId="10" w16cid:durableId="1615821364">
    <w:abstractNumId w:val="0"/>
  </w:num>
  <w:num w:numId="11" w16cid:durableId="24792855">
    <w:abstractNumId w:val="14"/>
  </w:num>
  <w:num w:numId="12" w16cid:durableId="1229920914">
    <w:abstractNumId w:val="33"/>
  </w:num>
  <w:num w:numId="13" w16cid:durableId="911164175">
    <w:abstractNumId w:val="29"/>
  </w:num>
  <w:num w:numId="14" w16cid:durableId="938639230">
    <w:abstractNumId w:val="16"/>
  </w:num>
  <w:num w:numId="15" w16cid:durableId="1320305922">
    <w:abstractNumId w:val="11"/>
  </w:num>
  <w:num w:numId="16" w16cid:durableId="557477774">
    <w:abstractNumId w:val="13"/>
  </w:num>
  <w:num w:numId="17" w16cid:durableId="1647322298">
    <w:abstractNumId w:val="21"/>
  </w:num>
  <w:num w:numId="18" w16cid:durableId="1769229339">
    <w:abstractNumId w:val="31"/>
  </w:num>
  <w:num w:numId="19" w16cid:durableId="364453697">
    <w:abstractNumId w:val="30"/>
  </w:num>
  <w:num w:numId="20" w16cid:durableId="201094465">
    <w:abstractNumId w:val="20"/>
  </w:num>
  <w:num w:numId="21" w16cid:durableId="1660573812">
    <w:abstractNumId w:val="28"/>
  </w:num>
  <w:num w:numId="22" w16cid:durableId="105663965">
    <w:abstractNumId w:val="22"/>
  </w:num>
  <w:num w:numId="23" w16cid:durableId="251479151">
    <w:abstractNumId w:val="24"/>
  </w:num>
  <w:num w:numId="24" w16cid:durableId="1621915932">
    <w:abstractNumId w:val="17"/>
  </w:num>
  <w:num w:numId="25" w16cid:durableId="923610459">
    <w:abstractNumId w:val="26"/>
  </w:num>
  <w:num w:numId="26" w16cid:durableId="98255084">
    <w:abstractNumId w:val="10"/>
  </w:num>
  <w:num w:numId="27" w16cid:durableId="1728841027">
    <w:abstractNumId w:val="18"/>
  </w:num>
  <w:num w:numId="28" w16cid:durableId="2057243541">
    <w:abstractNumId w:val="32"/>
  </w:num>
  <w:num w:numId="29" w16cid:durableId="2073887254">
    <w:abstractNumId w:val="27"/>
  </w:num>
  <w:num w:numId="30" w16cid:durableId="845897454">
    <w:abstractNumId w:val="23"/>
  </w:num>
  <w:num w:numId="31" w16cid:durableId="251938965">
    <w:abstractNumId w:val="12"/>
  </w:num>
  <w:num w:numId="32" w16cid:durableId="167982007">
    <w:abstractNumId w:val="19"/>
  </w:num>
  <w:num w:numId="33" w16cid:durableId="1511333570">
    <w:abstractNumId w:val="15"/>
  </w:num>
  <w:num w:numId="34" w16cid:durableId="8358045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2NDYyNDU3NzQ0tLRQ0lEKTi0uzszPAykwNKkFAMf3iactAAAA"/>
  </w:docVars>
  <w:rsids>
    <w:rsidRoot w:val="00C24502"/>
    <w:rsid w:val="00006F35"/>
    <w:rsid w:val="000103F7"/>
    <w:rsid w:val="000119CA"/>
    <w:rsid w:val="0001529B"/>
    <w:rsid w:val="00016F53"/>
    <w:rsid w:val="00022E6B"/>
    <w:rsid w:val="000253A8"/>
    <w:rsid w:val="0003277E"/>
    <w:rsid w:val="00033AB7"/>
    <w:rsid w:val="00036544"/>
    <w:rsid w:val="00040E81"/>
    <w:rsid w:val="00042695"/>
    <w:rsid w:val="000434A8"/>
    <w:rsid w:val="00043834"/>
    <w:rsid w:val="000548D0"/>
    <w:rsid w:val="00060DA5"/>
    <w:rsid w:val="00064731"/>
    <w:rsid w:val="000652EB"/>
    <w:rsid w:val="00074B3E"/>
    <w:rsid w:val="00077472"/>
    <w:rsid w:val="0008278C"/>
    <w:rsid w:val="0008405D"/>
    <w:rsid w:val="000938C5"/>
    <w:rsid w:val="000939D4"/>
    <w:rsid w:val="0009680B"/>
    <w:rsid w:val="000A04D9"/>
    <w:rsid w:val="000A067F"/>
    <w:rsid w:val="000A0F2B"/>
    <w:rsid w:val="000A12D5"/>
    <w:rsid w:val="000A2136"/>
    <w:rsid w:val="000A526A"/>
    <w:rsid w:val="000B15C8"/>
    <w:rsid w:val="000B1DD6"/>
    <w:rsid w:val="000B2E87"/>
    <w:rsid w:val="000C3274"/>
    <w:rsid w:val="000C5921"/>
    <w:rsid w:val="000D14FF"/>
    <w:rsid w:val="000D469B"/>
    <w:rsid w:val="000D6626"/>
    <w:rsid w:val="000D7910"/>
    <w:rsid w:val="000D7D44"/>
    <w:rsid w:val="000E52FA"/>
    <w:rsid w:val="000E69D3"/>
    <w:rsid w:val="000F0641"/>
    <w:rsid w:val="001018B0"/>
    <w:rsid w:val="001018E1"/>
    <w:rsid w:val="001055EC"/>
    <w:rsid w:val="00106652"/>
    <w:rsid w:val="00110B55"/>
    <w:rsid w:val="00112F37"/>
    <w:rsid w:val="00114254"/>
    <w:rsid w:val="00117C01"/>
    <w:rsid w:val="0012363E"/>
    <w:rsid w:val="0012746A"/>
    <w:rsid w:val="001314E9"/>
    <w:rsid w:val="00132509"/>
    <w:rsid w:val="00132E38"/>
    <w:rsid w:val="001331F0"/>
    <w:rsid w:val="00140DAD"/>
    <w:rsid w:val="00142F9D"/>
    <w:rsid w:val="00160D56"/>
    <w:rsid w:val="00163A28"/>
    <w:rsid w:val="001650FB"/>
    <w:rsid w:val="00165ECA"/>
    <w:rsid w:val="00174260"/>
    <w:rsid w:val="00176B2C"/>
    <w:rsid w:val="00180A0E"/>
    <w:rsid w:val="0018348D"/>
    <w:rsid w:val="00194B71"/>
    <w:rsid w:val="00197CB5"/>
    <w:rsid w:val="001A34EC"/>
    <w:rsid w:val="001A695F"/>
    <w:rsid w:val="001B4871"/>
    <w:rsid w:val="001B568B"/>
    <w:rsid w:val="001B5CD2"/>
    <w:rsid w:val="001B6878"/>
    <w:rsid w:val="001B6FD8"/>
    <w:rsid w:val="001C04B9"/>
    <w:rsid w:val="001C2831"/>
    <w:rsid w:val="001C7C93"/>
    <w:rsid w:val="001D0769"/>
    <w:rsid w:val="001D0944"/>
    <w:rsid w:val="001D101A"/>
    <w:rsid w:val="001D212C"/>
    <w:rsid w:val="001D47B0"/>
    <w:rsid w:val="001D516F"/>
    <w:rsid w:val="001D524E"/>
    <w:rsid w:val="001E0A16"/>
    <w:rsid w:val="001E224F"/>
    <w:rsid w:val="001E37D9"/>
    <w:rsid w:val="001E692B"/>
    <w:rsid w:val="001F612E"/>
    <w:rsid w:val="001F6BF6"/>
    <w:rsid w:val="00205749"/>
    <w:rsid w:val="00212790"/>
    <w:rsid w:val="00212B83"/>
    <w:rsid w:val="00215C27"/>
    <w:rsid w:val="002164A6"/>
    <w:rsid w:val="00230030"/>
    <w:rsid w:val="00241455"/>
    <w:rsid w:val="00243CFE"/>
    <w:rsid w:val="00246954"/>
    <w:rsid w:val="00252B86"/>
    <w:rsid w:val="00254274"/>
    <w:rsid w:val="00254923"/>
    <w:rsid w:val="00256361"/>
    <w:rsid w:val="00261FC3"/>
    <w:rsid w:val="002705B4"/>
    <w:rsid w:val="00281DAD"/>
    <w:rsid w:val="00285E38"/>
    <w:rsid w:val="00287163"/>
    <w:rsid w:val="002931E2"/>
    <w:rsid w:val="002A2973"/>
    <w:rsid w:val="002B05E6"/>
    <w:rsid w:val="002B52D9"/>
    <w:rsid w:val="002B6CEA"/>
    <w:rsid w:val="002C3404"/>
    <w:rsid w:val="002C4CD5"/>
    <w:rsid w:val="002E10DD"/>
    <w:rsid w:val="002E6544"/>
    <w:rsid w:val="002F3BE3"/>
    <w:rsid w:val="002F472C"/>
    <w:rsid w:val="002F7968"/>
    <w:rsid w:val="0030191A"/>
    <w:rsid w:val="003041C0"/>
    <w:rsid w:val="00315BC8"/>
    <w:rsid w:val="0031681F"/>
    <w:rsid w:val="00316EFA"/>
    <w:rsid w:val="00327E67"/>
    <w:rsid w:val="00333157"/>
    <w:rsid w:val="003339DB"/>
    <w:rsid w:val="00343697"/>
    <w:rsid w:val="003437E1"/>
    <w:rsid w:val="00345F16"/>
    <w:rsid w:val="00346D0A"/>
    <w:rsid w:val="003500F6"/>
    <w:rsid w:val="00350C1F"/>
    <w:rsid w:val="003540D7"/>
    <w:rsid w:val="003554E3"/>
    <w:rsid w:val="00356B73"/>
    <w:rsid w:val="00365A74"/>
    <w:rsid w:val="00367771"/>
    <w:rsid w:val="00367F51"/>
    <w:rsid w:val="0037187F"/>
    <w:rsid w:val="00373A98"/>
    <w:rsid w:val="003746A5"/>
    <w:rsid w:val="00375AE6"/>
    <w:rsid w:val="00380340"/>
    <w:rsid w:val="00384F9D"/>
    <w:rsid w:val="00386837"/>
    <w:rsid w:val="00395F32"/>
    <w:rsid w:val="003A277F"/>
    <w:rsid w:val="003A32E0"/>
    <w:rsid w:val="003A452A"/>
    <w:rsid w:val="003A4E2A"/>
    <w:rsid w:val="003B0EDF"/>
    <w:rsid w:val="003B3AC7"/>
    <w:rsid w:val="003C445D"/>
    <w:rsid w:val="003C79F3"/>
    <w:rsid w:val="003D4690"/>
    <w:rsid w:val="003D589A"/>
    <w:rsid w:val="003E0708"/>
    <w:rsid w:val="003F5F55"/>
    <w:rsid w:val="003F7608"/>
    <w:rsid w:val="0040270C"/>
    <w:rsid w:val="00403B9F"/>
    <w:rsid w:val="00427371"/>
    <w:rsid w:val="004301BC"/>
    <w:rsid w:val="0043177D"/>
    <w:rsid w:val="00432A54"/>
    <w:rsid w:val="004330D3"/>
    <w:rsid w:val="004333D9"/>
    <w:rsid w:val="00433A8E"/>
    <w:rsid w:val="00440306"/>
    <w:rsid w:val="00441A73"/>
    <w:rsid w:val="004424D8"/>
    <w:rsid w:val="004426C0"/>
    <w:rsid w:val="00453CEA"/>
    <w:rsid w:val="00455B93"/>
    <w:rsid w:val="0046334C"/>
    <w:rsid w:val="00467944"/>
    <w:rsid w:val="00474B52"/>
    <w:rsid w:val="004778EE"/>
    <w:rsid w:val="004779E6"/>
    <w:rsid w:val="00481570"/>
    <w:rsid w:val="00482C4F"/>
    <w:rsid w:val="0048330F"/>
    <w:rsid w:val="004834BB"/>
    <w:rsid w:val="00483568"/>
    <w:rsid w:val="00487330"/>
    <w:rsid w:val="00493CB8"/>
    <w:rsid w:val="004A1DBF"/>
    <w:rsid w:val="004A52A9"/>
    <w:rsid w:val="004B1B26"/>
    <w:rsid w:val="004B2BD8"/>
    <w:rsid w:val="004B377E"/>
    <w:rsid w:val="004C004A"/>
    <w:rsid w:val="004C6429"/>
    <w:rsid w:val="004D0F94"/>
    <w:rsid w:val="004D1B7D"/>
    <w:rsid w:val="004D20F7"/>
    <w:rsid w:val="004D22D2"/>
    <w:rsid w:val="004D60F3"/>
    <w:rsid w:val="004E65D4"/>
    <w:rsid w:val="004E7530"/>
    <w:rsid w:val="004F349F"/>
    <w:rsid w:val="0050096F"/>
    <w:rsid w:val="005013F3"/>
    <w:rsid w:val="00503ADB"/>
    <w:rsid w:val="005054E5"/>
    <w:rsid w:val="00514B65"/>
    <w:rsid w:val="00516174"/>
    <w:rsid w:val="00517828"/>
    <w:rsid w:val="00525098"/>
    <w:rsid w:val="00532365"/>
    <w:rsid w:val="00532A00"/>
    <w:rsid w:val="005338E8"/>
    <w:rsid w:val="00547D6A"/>
    <w:rsid w:val="00560106"/>
    <w:rsid w:val="00560C97"/>
    <w:rsid w:val="00561EFB"/>
    <w:rsid w:val="00563DBB"/>
    <w:rsid w:val="0056750D"/>
    <w:rsid w:val="00584E9D"/>
    <w:rsid w:val="00586185"/>
    <w:rsid w:val="00595912"/>
    <w:rsid w:val="005B04A3"/>
    <w:rsid w:val="005B0A85"/>
    <w:rsid w:val="005C05C7"/>
    <w:rsid w:val="005C066C"/>
    <w:rsid w:val="005C1ECF"/>
    <w:rsid w:val="005C3596"/>
    <w:rsid w:val="005D1908"/>
    <w:rsid w:val="005D3B65"/>
    <w:rsid w:val="005D7C28"/>
    <w:rsid w:val="005E003C"/>
    <w:rsid w:val="005E7145"/>
    <w:rsid w:val="005F1983"/>
    <w:rsid w:val="005F3818"/>
    <w:rsid w:val="005F3C6C"/>
    <w:rsid w:val="00602FBB"/>
    <w:rsid w:val="0060352E"/>
    <w:rsid w:val="00604605"/>
    <w:rsid w:val="00604F26"/>
    <w:rsid w:val="00605F10"/>
    <w:rsid w:val="0061063A"/>
    <w:rsid w:val="00620E07"/>
    <w:rsid w:val="006219AE"/>
    <w:rsid w:val="006250F8"/>
    <w:rsid w:val="00625755"/>
    <w:rsid w:val="006335A4"/>
    <w:rsid w:val="00644E34"/>
    <w:rsid w:val="006456EA"/>
    <w:rsid w:val="0065423B"/>
    <w:rsid w:val="0065491B"/>
    <w:rsid w:val="0068014A"/>
    <w:rsid w:val="00694E2D"/>
    <w:rsid w:val="0069509F"/>
    <w:rsid w:val="00696239"/>
    <w:rsid w:val="006A4BFC"/>
    <w:rsid w:val="006A6479"/>
    <w:rsid w:val="006B3FFA"/>
    <w:rsid w:val="006B74DE"/>
    <w:rsid w:val="006C09B9"/>
    <w:rsid w:val="006D0234"/>
    <w:rsid w:val="006D4A63"/>
    <w:rsid w:val="006E04C0"/>
    <w:rsid w:val="006E4B4C"/>
    <w:rsid w:val="006E4C7E"/>
    <w:rsid w:val="006E76CC"/>
    <w:rsid w:val="006F06D5"/>
    <w:rsid w:val="006F60FE"/>
    <w:rsid w:val="006F717F"/>
    <w:rsid w:val="0070332B"/>
    <w:rsid w:val="00704DAF"/>
    <w:rsid w:val="00705586"/>
    <w:rsid w:val="0071000B"/>
    <w:rsid w:val="00712E5C"/>
    <w:rsid w:val="00716601"/>
    <w:rsid w:val="00720390"/>
    <w:rsid w:val="007215A6"/>
    <w:rsid w:val="007231B6"/>
    <w:rsid w:val="00726301"/>
    <w:rsid w:val="00730A58"/>
    <w:rsid w:val="007333E9"/>
    <w:rsid w:val="007348A5"/>
    <w:rsid w:val="00734CD8"/>
    <w:rsid w:val="0075708A"/>
    <w:rsid w:val="007613A3"/>
    <w:rsid w:val="0076232C"/>
    <w:rsid w:val="00764B6B"/>
    <w:rsid w:val="00765C34"/>
    <w:rsid w:val="007671A3"/>
    <w:rsid w:val="00767A90"/>
    <w:rsid w:val="00780D43"/>
    <w:rsid w:val="0078477D"/>
    <w:rsid w:val="00784823"/>
    <w:rsid w:val="0078517F"/>
    <w:rsid w:val="00785A00"/>
    <w:rsid w:val="00787B26"/>
    <w:rsid w:val="0079080D"/>
    <w:rsid w:val="00797425"/>
    <w:rsid w:val="0079763E"/>
    <w:rsid w:val="007A148E"/>
    <w:rsid w:val="007A42DD"/>
    <w:rsid w:val="007A630B"/>
    <w:rsid w:val="007A65E8"/>
    <w:rsid w:val="007C4686"/>
    <w:rsid w:val="007C4AFD"/>
    <w:rsid w:val="007C5667"/>
    <w:rsid w:val="007C6370"/>
    <w:rsid w:val="007D2694"/>
    <w:rsid w:val="007D39A4"/>
    <w:rsid w:val="007D3F9A"/>
    <w:rsid w:val="007E68C9"/>
    <w:rsid w:val="007F514E"/>
    <w:rsid w:val="007F648C"/>
    <w:rsid w:val="0080664A"/>
    <w:rsid w:val="00811B5A"/>
    <w:rsid w:val="0081294E"/>
    <w:rsid w:val="00814351"/>
    <w:rsid w:val="00814E37"/>
    <w:rsid w:val="0081587F"/>
    <w:rsid w:val="00820A77"/>
    <w:rsid w:val="00825E30"/>
    <w:rsid w:val="00831133"/>
    <w:rsid w:val="008326E9"/>
    <w:rsid w:val="0083545D"/>
    <w:rsid w:val="008413AB"/>
    <w:rsid w:val="00843033"/>
    <w:rsid w:val="0084321D"/>
    <w:rsid w:val="008545C9"/>
    <w:rsid w:val="00855083"/>
    <w:rsid w:val="008561CB"/>
    <w:rsid w:val="008570EC"/>
    <w:rsid w:val="0086237F"/>
    <w:rsid w:val="00863F6D"/>
    <w:rsid w:val="00872258"/>
    <w:rsid w:val="00872354"/>
    <w:rsid w:val="00874DEC"/>
    <w:rsid w:val="00874EEB"/>
    <w:rsid w:val="00880F4A"/>
    <w:rsid w:val="00885266"/>
    <w:rsid w:val="00886660"/>
    <w:rsid w:val="00887E8B"/>
    <w:rsid w:val="0089469F"/>
    <w:rsid w:val="00897C26"/>
    <w:rsid w:val="00897C5C"/>
    <w:rsid w:val="008A0328"/>
    <w:rsid w:val="008A52F0"/>
    <w:rsid w:val="008B09C2"/>
    <w:rsid w:val="008B1D19"/>
    <w:rsid w:val="008B3981"/>
    <w:rsid w:val="008B6792"/>
    <w:rsid w:val="008C026D"/>
    <w:rsid w:val="008C03F5"/>
    <w:rsid w:val="008C4331"/>
    <w:rsid w:val="008C68AA"/>
    <w:rsid w:val="008D1B7A"/>
    <w:rsid w:val="008D2714"/>
    <w:rsid w:val="008D5054"/>
    <w:rsid w:val="008E2F95"/>
    <w:rsid w:val="008E70CB"/>
    <w:rsid w:val="008F665A"/>
    <w:rsid w:val="00903896"/>
    <w:rsid w:val="00913BE2"/>
    <w:rsid w:val="009146F7"/>
    <w:rsid w:val="009229C5"/>
    <w:rsid w:val="00927E01"/>
    <w:rsid w:val="00935B10"/>
    <w:rsid w:val="009368C4"/>
    <w:rsid w:val="0094351A"/>
    <w:rsid w:val="00944B51"/>
    <w:rsid w:val="0094780C"/>
    <w:rsid w:val="00952B09"/>
    <w:rsid w:val="0096179B"/>
    <w:rsid w:val="00963900"/>
    <w:rsid w:val="00966F0B"/>
    <w:rsid w:val="009747C5"/>
    <w:rsid w:val="009749CC"/>
    <w:rsid w:val="00974ED4"/>
    <w:rsid w:val="00977251"/>
    <w:rsid w:val="0097799E"/>
    <w:rsid w:val="0098055D"/>
    <w:rsid w:val="009820D9"/>
    <w:rsid w:val="00991FE8"/>
    <w:rsid w:val="009A0850"/>
    <w:rsid w:val="009A1C5C"/>
    <w:rsid w:val="009A4054"/>
    <w:rsid w:val="009A4989"/>
    <w:rsid w:val="009A6073"/>
    <w:rsid w:val="009B1923"/>
    <w:rsid w:val="009B2EB5"/>
    <w:rsid w:val="009B58FE"/>
    <w:rsid w:val="009B7639"/>
    <w:rsid w:val="009C039A"/>
    <w:rsid w:val="009C6B49"/>
    <w:rsid w:val="009C7C45"/>
    <w:rsid w:val="009D3305"/>
    <w:rsid w:val="009D4A17"/>
    <w:rsid w:val="009F42C6"/>
    <w:rsid w:val="00A007AC"/>
    <w:rsid w:val="00A02C14"/>
    <w:rsid w:val="00A0519C"/>
    <w:rsid w:val="00A07BF4"/>
    <w:rsid w:val="00A12220"/>
    <w:rsid w:val="00A21BD6"/>
    <w:rsid w:val="00A22282"/>
    <w:rsid w:val="00A401C0"/>
    <w:rsid w:val="00A40483"/>
    <w:rsid w:val="00A40722"/>
    <w:rsid w:val="00A420A9"/>
    <w:rsid w:val="00A54EB3"/>
    <w:rsid w:val="00A60616"/>
    <w:rsid w:val="00A635CD"/>
    <w:rsid w:val="00A67087"/>
    <w:rsid w:val="00A72C30"/>
    <w:rsid w:val="00A863FB"/>
    <w:rsid w:val="00A86BDD"/>
    <w:rsid w:val="00A928C6"/>
    <w:rsid w:val="00AA0C67"/>
    <w:rsid w:val="00AB7C9B"/>
    <w:rsid w:val="00AC33EB"/>
    <w:rsid w:val="00AC37FC"/>
    <w:rsid w:val="00AC418F"/>
    <w:rsid w:val="00AC5B63"/>
    <w:rsid w:val="00AC76F4"/>
    <w:rsid w:val="00AD413B"/>
    <w:rsid w:val="00AD7724"/>
    <w:rsid w:val="00AE056A"/>
    <w:rsid w:val="00AE13DA"/>
    <w:rsid w:val="00AE60AC"/>
    <w:rsid w:val="00AF1DE9"/>
    <w:rsid w:val="00AF5F88"/>
    <w:rsid w:val="00B01E48"/>
    <w:rsid w:val="00B02597"/>
    <w:rsid w:val="00B04B33"/>
    <w:rsid w:val="00B06848"/>
    <w:rsid w:val="00B128D3"/>
    <w:rsid w:val="00B2488F"/>
    <w:rsid w:val="00B34672"/>
    <w:rsid w:val="00B376F5"/>
    <w:rsid w:val="00B3794A"/>
    <w:rsid w:val="00B44D24"/>
    <w:rsid w:val="00B4669D"/>
    <w:rsid w:val="00B46F43"/>
    <w:rsid w:val="00B53D9E"/>
    <w:rsid w:val="00B55F7F"/>
    <w:rsid w:val="00B57FE0"/>
    <w:rsid w:val="00B61012"/>
    <w:rsid w:val="00B73030"/>
    <w:rsid w:val="00B73C85"/>
    <w:rsid w:val="00B77587"/>
    <w:rsid w:val="00B80644"/>
    <w:rsid w:val="00B80CC5"/>
    <w:rsid w:val="00B824CE"/>
    <w:rsid w:val="00B95874"/>
    <w:rsid w:val="00B95B27"/>
    <w:rsid w:val="00BA1798"/>
    <w:rsid w:val="00BA79DA"/>
    <w:rsid w:val="00BB35E4"/>
    <w:rsid w:val="00BB7B55"/>
    <w:rsid w:val="00BC7342"/>
    <w:rsid w:val="00BD0C4A"/>
    <w:rsid w:val="00BD7344"/>
    <w:rsid w:val="00BE0A52"/>
    <w:rsid w:val="00BE11CE"/>
    <w:rsid w:val="00BE67DE"/>
    <w:rsid w:val="00BF07F2"/>
    <w:rsid w:val="00BF2912"/>
    <w:rsid w:val="00BF30CA"/>
    <w:rsid w:val="00C03E72"/>
    <w:rsid w:val="00C04873"/>
    <w:rsid w:val="00C04AAD"/>
    <w:rsid w:val="00C04EDA"/>
    <w:rsid w:val="00C04FC4"/>
    <w:rsid w:val="00C06AC4"/>
    <w:rsid w:val="00C06E2E"/>
    <w:rsid w:val="00C1429C"/>
    <w:rsid w:val="00C224B3"/>
    <w:rsid w:val="00C24502"/>
    <w:rsid w:val="00C247CC"/>
    <w:rsid w:val="00C277F1"/>
    <w:rsid w:val="00C3120F"/>
    <w:rsid w:val="00C32C5E"/>
    <w:rsid w:val="00C36438"/>
    <w:rsid w:val="00C36692"/>
    <w:rsid w:val="00C47DD1"/>
    <w:rsid w:val="00C54615"/>
    <w:rsid w:val="00C558F1"/>
    <w:rsid w:val="00C56B74"/>
    <w:rsid w:val="00C6351F"/>
    <w:rsid w:val="00C64069"/>
    <w:rsid w:val="00C640E1"/>
    <w:rsid w:val="00C67BBC"/>
    <w:rsid w:val="00C70C6A"/>
    <w:rsid w:val="00C73EC6"/>
    <w:rsid w:val="00C7741E"/>
    <w:rsid w:val="00C812D9"/>
    <w:rsid w:val="00C95BF6"/>
    <w:rsid w:val="00CA45C9"/>
    <w:rsid w:val="00CA5862"/>
    <w:rsid w:val="00CA5E93"/>
    <w:rsid w:val="00CA7813"/>
    <w:rsid w:val="00CB024A"/>
    <w:rsid w:val="00CB697A"/>
    <w:rsid w:val="00CD24CA"/>
    <w:rsid w:val="00CE3C6B"/>
    <w:rsid w:val="00CE51D3"/>
    <w:rsid w:val="00CE5631"/>
    <w:rsid w:val="00CE66BA"/>
    <w:rsid w:val="00CE7935"/>
    <w:rsid w:val="00CF0C00"/>
    <w:rsid w:val="00CF1449"/>
    <w:rsid w:val="00CF29F1"/>
    <w:rsid w:val="00CF3AF8"/>
    <w:rsid w:val="00D13D7C"/>
    <w:rsid w:val="00D1462E"/>
    <w:rsid w:val="00D1681C"/>
    <w:rsid w:val="00D1744D"/>
    <w:rsid w:val="00D1749B"/>
    <w:rsid w:val="00D178C5"/>
    <w:rsid w:val="00D21520"/>
    <w:rsid w:val="00D22076"/>
    <w:rsid w:val="00D2341D"/>
    <w:rsid w:val="00D250AA"/>
    <w:rsid w:val="00D2548E"/>
    <w:rsid w:val="00D26093"/>
    <w:rsid w:val="00D272BD"/>
    <w:rsid w:val="00D41D70"/>
    <w:rsid w:val="00D4212D"/>
    <w:rsid w:val="00D42E8A"/>
    <w:rsid w:val="00D514B4"/>
    <w:rsid w:val="00D52252"/>
    <w:rsid w:val="00D52A96"/>
    <w:rsid w:val="00D54175"/>
    <w:rsid w:val="00D62702"/>
    <w:rsid w:val="00D63E62"/>
    <w:rsid w:val="00D65EA5"/>
    <w:rsid w:val="00D70A07"/>
    <w:rsid w:val="00D75C0D"/>
    <w:rsid w:val="00D77319"/>
    <w:rsid w:val="00D80E31"/>
    <w:rsid w:val="00D81BB4"/>
    <w:rsid w:val="00D81D16"/>
    <w:rsid w:val="00D82AE5"/>
    <w:rsid w:val="00D837CE"/>
    <w:rsid w:val="00D85C39"/>
    <w:rsid w:val="00D91D91"/>
    <w:rsid w:val="00D924E8"/>
    <w:rsid w:val="00D92E73"/>
    <w:rsid w:val="00D9366C"/>
    <w:rsid w:val="00D95921"/>
    <w:rsid w:val="00D9747F"/>
    <w:rsid w:val="00DA1B34"/>
    <w:rsid w:val="00DA2FC7"/>
    <w:rsid w:val="00DA6CC1"/>
    <w:rsid w:val="00DB4F17"/>
    <w:rsid w:val="00DB686B"/>
    <w:rsid w:val="00DC3A3F"/>
    <w:rsid w:val="00DC7E54"/>
    <w:rsid w:val="00DD1B1E"/>
    <w:rsid w:val="00DD5252"/>
    <w:rsid w:val="00DE4A21"/>
    <w:rsid w:val="00DF237A"/>
    <w:rsid w:val="00DF3A74"/>
    <w:rsid w:val="00DF3F32"/>
    <w:rsid w:val="00DF7D1F"/>
    <w:rsid w:val="00E01F0F"/>
    <w:rsid w:val="00E039FC"/>
    <w:rsid w:val="00E071A8"/>
    <w:rsid w:val="00E225E6"/>
    <w:rsid w:val="00E22B7D"/>
    <w:rsid w:val="00E265FA"/>
    <w:rsid w:val="00E2756D"/>
    <w:rsid w:val="00E31105"/>
    <w:rsid w:val="00E334A8"/>
    <w:rsid w:val="00E36AC0"/>
    <w:rsid w:val="00E37FD1"/>
    <w:rsid w:val="00E40613"/>
    <w:rsid w:val="00E42995"/>
    <w:rsid w:val="00E478FD"/>
    <w:rsid w:val="00E500BB"/>
    <w:rsid w:val="00E563F4"/>
    <w:rsid w:val="00E623F2"/>
    <w:rsid w:val="00E6542F"/>
    <w:rsid w:val="00E67DB9"/>
    <w:rsid w:val="00E72571"/>
    <w:rsid w:val="00E72F9B"/>
    <w:rsid w:val="00E847C0"/>
    <w:rsid w:val="00E870E2"/>
    <w:rsid w:val="00E9199B"/>
    <w:rsid w:val="00E91B16"/>
    <w:rsid w:val="00E97F38"/>
    <w:rsid w:val="00EA017C"/>
    <w:rsid w:val="00EA2114"/>
    <w:rsid w:val="00EA76D5"/>
    <w:rsid w:val="00EA79B7"/>
    <w:rsid w:val="00EB13B3"/>
    <w:rsid w:val="00EB6BED"/>
    <w:rsid w:val="00EC15F4"/>
    <w:rsid w:val="00EC25FB"/>
    <w:rsid w:val="00EC74F6"/>
    <w:rsid w:val="00ED6FDC"/>
    <w:rsid w:val="00ED71EA"/>
    <w:rsid w:val="00ED7272"/>
    <w:rsid w:val="00EE07E9"/>
    <w:rsid w:val="00EE3A88"/>
    <w:rsid w:val="00EE61C5"/>
    <w:rsid w:val="00EE77A6"/>
    <w:rsid w:val="00EF0DAD"/>
    <w:rsid w:val="00EF14A8"/>
    <w:rsid w:val="00F0302E"/>
    <w:rsid w:val="00F05C4F"/>
    <w:rsid w:val="00F116FE"/>
    <w:rsid w:val="00F133CE"/>
    <w:rsid w:val="00F1762C"/>
    <w:rsid w:val="00F2168F"/>
    <w:rsid w:val="00F22314"/>
    <w:rsid w:val="00F26216"/>
    <w:rsid w:val="00F318CF"/>
    <w:rsid w:val="00F56BA0"/>
    <w:rsid w:val="00F66E70"/>
    <w:rsid w:val="00F7459F"/>
    <w:rsid w:val="00F74CD4"/>
    <w:rsid w:val="00F81518"/>
    <w:rsid w:val="00F85DAD"/>
    <w:rsid w:val="00F873BE"/>
    <w:rsid w:val="00F90F2C"/>
    <w:rsid w:val="00F91349"/>
    <w:rsid w:val="00F91EF7"/>
    <w:rsid w:val="00F94876"/>
    <w:rsid w:val="00F94884"/>
    <w:rsid w:val="00FA46A0"/>
    <w:rsid w:val="00FB014C"/>
    <w:rsid w:val="00FB27B4"/>
    <w:rsid w:val="00FB3903"/>
    <w:rsid w:val="00FC1C19"/>
    <w:rsid w:val="00FC4E0B"/>
    <w:rsid w:val="00FC5C1C"/>
    <w:rsid w:val="00FC6D54"/>
    <w:rsid w:val="00FD0226"/>
    <w:rsid w:val="00FD261F"/>
    <w:rsid w:val="00FE711E"/>
    <w:rsid w:val="00FF5729"/>
    <w:rsid w:val="04648BED"/>
    <w:rsid w:val="04C15E73"/>
    <w:rsid w:val="0E630AB0"/>
    <w:rsid w:val="1CB5E9DC"/>
    <w:rsid w:val="4AF08526"/>
    <w:rsid w:val="6F1B6D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79E0E"/>
  <w15:docId w15:val="{4E631A60-1379-49FE-8B2E-2568398E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link w:val="enumlev1Char"/>
    <w:qFormat/>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uiPriority w:val="99"/>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uiPriority w:val="99"/>
    <w:rsid w:val="00964CF0"/>
    <w:rPr>
      <w:rFonts w:ascii="Calibri" w:hAnsi="Calibri"/>
      <w:position w:val="6"/>
      <w:sz w:val="18"/>
    </w:rPr>
  </w:style>
  <w:style w:type="paragraph" w:styleId="FootnoteText">
    <w:name w:val="footnote text"/>
    <w:basedOn w:val="Normal"/>
    <w:link w:val="FootnoteTextChar"/>
    <w:uiPriority w:val="99"/>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qFormat/>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table" w:styleId="TableGrid">
    <w:name w:val="Table Grid"/>
    <w:basedOn w:val="TableNormal"/>
    <w:uiPriority w:val="59"/>
    <w:rsid w:val="00C24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4502"/>
    <w:pPr>
      <w:tabs>
        <w:tab w:val="clear" w:pos="794"/>
        <w:tab w:val="clear" w:pos="1191"/>
        <w:tab w:val="clear" w:pos="1588"/>
        <w:tab w:val="clear" w:pos="1985"/>
      </w:tabs>
      <w:overflowPunct/>
      <w:autoSpaceDE/>
      <w:autoSpaceDN/>
      <w:adjustRightInd/>
      <w:ind w:leftChars="400" w:left="840"/>
      <w:textAlignment w:val="auto"/>
    </w:pPr>
    <w:rPr>
      <w:rFonts w:ascii="Times New Roman" w:eastAsiaTheme="minorEastAsia" w:hAnsi="Times New Roman"/>
      <w:szCs w:val="24"/>
      <w:lang w:eastAsia="ja-JP"/>
    </w:rPr>
  </w:style>
  <w:style w:type="character" w:customStyle="1" w:styleId="ListParagraphChar">
    <w:name w:val="List Paragraph Char"/>
    <w:basedOn w:val="DefaultParagraphFont"/>
    <w:link w:val="ListParagraph"/>
    <w:uiPriority w:val="34"/>
    <w:rsid w:val="00C24502"/>
    <w:rPr>
      <w:rFonts w:ascii="Times New Roman" w:eastAsiaTheme="minorEastAsia" w:hAnsi="Times New Roman"/>
      <w:sz w:val="24"/>
      <w:szCs w:val="24"/>
      <w:lang w:val="en-GB" w:eastAsia="ja-JP"/>
    </w:rPr>
  </w:style>
  <w:style w:type="character" w:customStyle="1" w:styleId="enumlev1Char">
    <w:name w:val="enumlev1 Char"/>
    <w:link w:val="enumlev1"/>
    <w:locked/>
    <w:rsid w:val="00C24502"/>
    <w:rPr>
      <w:rFonts w:ascii="Calibri" w:hAnsi="Calibri"/>
      <w:sz w:val="24"/>
      <w:lang w:val="en-GB" w:eastAsia="en-US"/>
    </w:rPr>
  </w:style>
  <w:style w:type="character" w:customStyle="1" w:styleId="UnresolvedMention1">
    <w:name w:val="Unresolved Mention1"/>
    <w:basedOn w:val="DefaultParagraphFont"/>
    <w:uiPriority w:val="99"/>
    <w:semiHidden/>
    <w:unhideWhenUsed/>
    <w:rsid w:val="00482C4F"/>
    <w:rPr>
      <w:color w:val="605E5C"/>
      <w:shd w:val="clear" w:color="auto" w:fill="E1DFDD"/>
    </w:rPr>
  </w:style>
  <w:style w:type="paragraph" w:styleId="Revision">
    <w:name w:val="Revision"/>
    <w:hidden/>
    <w:semiHidden/>
    <w:rsid w:val="0094780C"/>
    <w:rPr>
      <w:rFonts w:ascii="Calibri" w:hAnsi="Calibri"/>
      <w:sz w:val="24"/>
      <w:lang w:val="en-GB" w:eastAsia="en-US"/>
    </w:rPr>
  </w:style>
  <w:style w:type="character" w:styleId="UnresolvedMention">
    <w:name w:val="Unresolved Mention"/>
    <w:basedOn w:val="DefaultParagraphFont"/>
    <w:uiPriority w:val="99"/>
    <w:semiHidden/>
    <w:unhideWhenUsed/>
    <w:rsid w:val="00C54615"/>
    <w:rPr>
      <w:color w:val="605E5C"/>
      <w:shd w:val="clear" w:color="auto" w:fill="E1DFDD"/>
    </w:rPr>
  </w:style>
  <w:style w:type="paragraph" w:customStyle="1" w:styleId="AnnexNotitle">
    <w:name w:val="Annex_No &amp; title"/>
    <w:basedOn w:val="Normal"/>
    <w:next w:val="Normal"/>
    <w:rsid w:val="001E224F"/>
    <w:pPr>
      <w:keepNext/>
      <w:keepLines/>
      <w:spacing w:before="480"/>
      <w:jc w:val="center"/>
    </w:pPr>
    <w:rPr>
      <w:rFonts w:ascii="Times New Roman" w:eastAsia="Times New Roman" w:hAnsi="Times New Roman"/>
      <w:b/>
      <w:sz w:val="28"/>
    </w:rPr>
  </w:style>
  <w:style w:type="character" w:customStyle="1" w:styleId="FootnoteTextChar">
    <w:name w:val="Footnote Text Char"/>
    <w:basedOn w:val="DefaultParagraphFont"/>
    <w:link w:val="FootnoteText"/>
    <w:uiPriority w:val="99"/>
    <w:rsid w:val="001E224F"/>
    <w:rPr>
      <w:rFonts w:ascii="Calibri" w:hAnsi="Calibri"/>
      <w:sz w:val="24"/>
      <w:lang w:val="en-GB" w:eastAsia="en-US"/>
    </w:rPr>
  </w:style>
  <w:style w:type="paragraph" w:styleId="NormalWeb">
    <w:name w:val="Normal (Web)"/>
    <w:basedOn w:val="Normal"/>
    <w:uiPriority w:val="99"/>
    <w:semiHidden/>
    <w:unhideWhenUsed/>
    <w:rsid w:val="001E224F"/>
    <w:pPr>
      <w:tabs>
        <w:tab w:val="clear" w:pos="794"/>
        <w:tab w:val="clear" w:pos="1191"/>
        <w:tab w:val="clear" w:pos="1588"/>
        <w:tab w:val="clear" w:pos="1985"/>
      </w:tabs>
      <w:overflowPunct/>
      <w:autoSpaceDE/>
      <w:autoSpaceDN/>
      <w:adjustRightInd/>
      <w:textAlignment w:val="auto"/>
    </w:pPr>
    <w:rPr>
      <w:rFonts w:ascii="Times New Roman" w:eastAsiaTheme="minorEastAsia" w:hAnsi="Times New Roman"/>
      <w:szCs w:val="24"/>
      <w:lang w:eastAsia="ja-JP"/>
    </w:rPr>
  </w:style>
  <w:style w:type="character" w:customStyle="1" w:styleId="FooterChar">
    <w:name w:val="Footer Char"/>
    <w:basedOn w:val="DefaultParagraphFont"/>
    <w:link w:val="Footer"/>
    <w:uiPriority w:val="99"/>
    <w:rsid w:val="008D5054"/>
    <w:rPr>
      <w:rFonts w:ascii="Calibri" w:hAnsi="Calibri"/>
      <w:caps/>
      <w:noProof/>
      <w:sz w:val="16"/>
      <w:lang w:val="en-GB" w:eastAsia="en-US"/>
    </w:rPr>
  </w:style>
  <w:style w:type="character" w:styleId="Mention">
    <w:name w:val="Mention"/>
    <w:basedOn w:val="DefaultParagraphFont"/>
    <w:uiPriority w:val="99"/>
    <w:unhideWhenUsed/>
    <w:rsid w:val="00D26093"/>
    <w:rPr>
      <w:color w:val="2B579A"/>
      <w:shd w:val="clear" w:color="auto" w:fill="E1DFDD"/>
    </w:rPr>
  </w:style>
  <w:style w:type="paragraph" w:customStyle="1" w:styleId="CircularNo">
    <w:name w:val="CircularNo"/>
    <w:basedOn w:val="Tabletext"/>
    <w:qFormat/>
    <w:rsid w:val="00704DAF"/>
    <w:rPr>
      <w:rFonts w:cs="Calibri"/>
      <w:b/>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9578">
      <w:bodyDiv w:val="1"/>
      <w:marLeft w:val="0"/>
      <w:marRight w:val="0"/>
      <w:marTop w:val="0"/>
      <w:marBottom w:val="0"/>
      <w:divBdr>
        <w:top w:val="none" w:sz="0" w:space="0" w:color="auto"/>
        <w:left w:val="none" w:sz="0" w:space="0" w:color="auto"/>
        <w:bottom w:val="none" w:sz="0" w:space="0" w:color="auto"/>
        <w:right w:val="none" w:sz="0" w:space="0" w:color="auto"/>
      </w:divBdr>
    </w:div>
    <w:div w:id="548109973">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46147188">
      <w:bodyDiv w:val="1"/>
      <w:marLeft w:val="0"/>
      <w:marRight w:val="0"/>
      <w:marTop w:val="0"/>
      <w:marBottom w:val="0"/>
      <w:divBdr>
        <w:top w:val="none" w:sz="0" w:space="0" w:color="auto"/>
        <w:left w:val="none" w:sz="0" w:space="0" w:color="auto"/>
        <w:bottom w:val="none" w:sz="0" w:space="0" w:color="auto"/>
        <w:right w:val="none" w:sz="0" w:space="0" w:color="auto"/>
      </w:divBdr>
    </w:div>
    <w:div w:id="776557181">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310817036">
      <w:bodyDiv w:val="1"/>
      <w:marLeft w:val="0"/>
      <w:marRight w:val="0"/>
      <w:marTop w:val="0"/>
      <w:marBottom w:val="0"/>
      <w:divBdr>
        <w:top w:val="none" w:sz="0" w:space="0" w:color="auto"/>
        <w:left w:val="none" w:sz="0" w:space="0" w:color="auto"/>
        <w:bottom w:val="none" w:sz="0" w:space="0" w:color="auto"/>
        <w:right w:val="none" w:sz="0" w:space="0" w:color="auto"/>
      </w:divBdr>
    </w:div>
    <w:div w:id="1440249052">
      <w:bodyDiv w:val="1"/>
      <w:marLeft w:val="0"/>
      <w:marRight w:val="0"/>
      <w:marTop w:val="0"/>
      <w:marBottom w:val="0"/>
      <w:divBdr>
        <w:top w:val="none" w:sz="0" w:space="0" w:color="auto"/>
        <w:left w:val="none" w:sz="0" w:space="0" w:color="auto"/>
        <w:bottom w:val="none" w:sz="0" w:space="0" w:color="auto"/>
        <w:right w:val="none" w:sz="0" w:space="0" w:color="auto"/>
      </w:divBdr>
    </w:div>
    <w:div w:id="2005349967">
      <w:bodyDiv w:val="1"/>
      <w:marLeft w:val="0"/>
      <w:marRight w:val="0"/>
      <w:marTop w:val="0"/>
      <w:marBottom w:val="0"/>
      <w:divBdr>
        <w:top w:val="none" w:sz="0" w:space="0" w:color="auto"/>
        <w:left w:val="none" w:sz="0" w:space="0" w:color="auto"/>
        <w:bottom w:val="none" w:sz="0" w:space="0" w:color="auto"/>
        <w:right w:val="none" w:sz="0" w:space="0" w:color="auto"/>
      </w:divBdr>
    </w:div>
    <w:div w:id="211212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en/ITU-T/focusgroups/eai/Pages/reg.aspx" TargetMode="External"/><Relationship Id="rId18" Type="http://schemas.openxmlformats.org/officeDocument/2006/relationships/hyperlink" Target="https://aiforgood.itu.in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tsbfgeai@itu.int" TargetMode="External"/><Relationship Id="rId7" Type="http://schemas.openxmlformats.org/officeDocument/2006/relationships/webSettings" Target="webSettings.xml"/><Relationship Id="rId12" Type="http://schemas.openxmlformats.org/officeDocument/2006/relationships/hyperlink" Target="https://www.itu.int/go/fgeai" TargetMode="External"/><Relationship Id="rId17" Type="http://schemas.openxmlformats.org/officeDocument/2006/relationships/hyperlink" Target="https://aiforgood.itu.in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iforgood.itu.int/" TargetMode="External"/><Relationship Id="rId20" Type="http://schemas.openxmlformats.org/officeDocument/2006/relationships/hyperlink" Target="https://www.itu.int/go/fgea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fgeai@itu.int" TargetMode="External"/><Relationship Id="rId24" Type="http://schemas.openxmlformats.org/officeDocument/2006/relationships/hyperlink" Target="https://www.itu.int/rec/T-REC-A.7/en" TargetMode="External"/><Relationship Id="rId5" Type="http://schemas.openxmlformats.org/officeDocument/2006/relationships/styles" Target="styles.xml"/><Relationship Id="rId15" Type="http://schemas.openxmlformats.org/officeDocument/2006/relationships/hyperlink" Target="https://www.itu.int/en/ITU-T/studygroups/2025-2028/21/Pages/default.aspx"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tsbfgeai@itu.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rec/T-REC-A.7" TargetMode="External"/><Relationship Id="rId22" Type="http://schemas.openxmlformats.org/officeDocument/2006/relationships/hyperlink" Target="https://www.itu.int/go/fgeai"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en/actio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ani\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d4d2fee8c006f3f760f7f9944fb911e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25b931733d385342b108e0a2dba565d"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5FA18-4031-4C9F-B471-5C7F8DC51F96}">
  <ds:schemaRefs>
    <ds:schemaRef ds:uri="http://schemas.microsoft.com/sharepoint/v3/contenttype/forms"/>
  </ds:schemaRefs>
</ds:datastoreItem>
</file>

<file path=customXml/itemProps2.xml><?xml version="1.0" encoding="utf-8"?>
<ds:datastoreItem xmlns:ds="http://schemas.openxmlformats.org/officeDocument/2006/customXml" ds:itemID="{B8E8CEF6-9C19-4F2F-BEBC-6F6033FEC397}">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3.xml><?xml version="1.0" encoding="utf-8"?>
<ds:datastoreItem xmlns:ds="http://schemas.openxmlformats.org/officeDocument/2006/customXml" ds:itemID="{0E101D9A-B477-4470-91E2-94880BED3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TSB_Circular-E.dotx</Template>
  <TotalTime>25</TotalTime>
  <Pages>6</Pages>
  <Words>2060</Words>
  <Characters>12916</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14947</CharactersWithSpaces>
  <SharedDoc>false</SharedDoc>
  <HLinks>
    <vt:vector size="120" baseType="variant">
      <vt:variant>
        <vt:i4>1245190</vt:i4>
      </vt:variant>
      <vt:variant>
        <vt:i4>42</vt:i4>
      </vt:variant>
      <vt:variant>
        <vt:i4>0</vt:i4>
      </vt:variant>
      <vt:variant>
        <vt:i4>5</vt:i4>
      </vt:variant>
      <vt:variant>
        <vt:lpwstr>https://www.itu.int/rec/T-REC-A.7/en</vt:lpwstr>
      </vt:variant>
      <vt:variant>
        <vt:lpwstr/>
      </vt:variant>
      <vt:variant>
        <vt:i4>6553639</vt:i4>
      </vt:variant>
      <vt:variant>
        <vt:i4>39</vt:i4>
      </vt:variant>
      <vt:variant>
        <vt:i4>0</vt:i4>
      </vt:variant>
      <vt:variant>
        <vt:i4>5</vt:i4>
      </vt:variant>
      <vt:variant>
        <vt:lpwstr>http://www.itu.int/go/fgeai</vt:lpwstr>
      </vt:variant>
      <vt:variant>
        <vt:lpwstr/>
      </vt:variant>
      <vt:variant>
        <vt:i4>393254</vt:i4>
      </vt:variant>
      <vt:variant>
        <vt:i4>36</vt:i4>
      </vt:variant>
      <vt:variant>
        <vt:i4>0</vt:i4>
      </vt:variant>
      <vt:variant>
        <vt:i4>5</vt:i4>
      </vt:variant>
      <vt:variant>
        <vt:lpwstr>mailto:tsbfgeai@itu.int</vt:lpwstr>
      </vt:variant>
      <vt:variant>
        <vt:lpwstr/>
      </vt:variant>
      <vt:variant>
        <vt:i4>6553639</vt:i4>
      </vt:variant>
      <vt:variant>
        <vt:i4>33</vt:i4>
      </vt:variant>
      <vt:variant>
        <vt:i4>0</vt:i4>
      </vt:variant>
      <vt:variant>
        <vt:i4>5</vt:i4>
      </vt:variant>
      <vt:variant>
        <vt:lpwstr>http://www.itu.int/go/fgeai</vt:lpwstr>
      </vt:variant>
      <vt:variant>
        <vt:lpwstr/>
      </vt:variant>
      <vt:variant>
        <vt:i4>6553639</vt:i4>
      </vt:variant>
      <vt:variant>
        <vt:i4>30</vt:i4>
      </vt:variant>
      <vt:variant>
        <vt:i4>0</vt:i4>
      </vt:variant>
      <vt:variant>
        <vt:i4>5</vt:i4>
      </vt:variant>
      <vt:variant>
        <vt:lpwstr>http://www.itu.int/go/fgeai</vt:lpwstr>
      </vt:variant>
      <vt:variant>
        <vt:lpwstr/>
      </vt:variant>
      <vt:variant>
        <vt:i4>6553639</vt:i4>
      </vt:variant>
      <vt:variant>
        <vt:i4>27</vt:i4>
      </vt:variant>
      <vt:variant>
        <vt:i4>0</vt:i4>
      </vt:variant>
      <vt:variant>
        <vt:i4>5</vt:i4>
      </vt:variant>
      <vt:variant>
        <vt:lpwstr>http://www.itu.int/go/fgeai</vt:lpwstr>
      </vt:variant>
      <vt:variant>
        <vt:lpwstr/>
      </vt:variant>
      <vt:variant>
        <vt:i4>2949216</vt:i4>
      </vt:variant>
      <vt:variant>
        <vt:i4>24</vt:i4>
      </vt:variant>
      <vt:variant>
        <vt:i4>0</vt:i4>
      </vt:variant>
      <vt:variant>
        <vt:i4>5</vt:i4>
      </vt:variant>
      <vt:variant>
        <vt:lpwstr>https://www.itu.int/en/ITU-T/focusgroups/eai/Pages/default.aspx</vt:lpwstr>
      </vt:variant>
      <vt:variant>
        <vt:lpwstr/>
      </vt:variant>
      <vt:variant>
        <vt:i4>2949216</vt:i4>
      </vt:variant>
      <vt:variant>
        <vt:i4>21</vt:i4>
      </vt:variant>
      <vt:variant>
        <vt:i4>0</vt:i4>
      </vt:variant>
      <vt:variant>
        <vt:i4>5</vt:i4>
      </vt:variant>
      <vt:variant>
        <vt:lpwstr>https://www.itu.int/en/ITU-T/focusgroups/eai/Pages/default.aspx</vt:lpwstr>
      </vt:variant>
      <vt:variant>
        <vt:lpwstr/>
      </vt:variant>
      <vt:variant>
        <vt:i4>393254</vt:i4>
      </vt:variant>
      <vt:variant>
        <vt:i4>18</vt:i4>
      </vt:variant>
      <vt:variant>
        <vt:i4>0</vt:i4>
      </vt:variant>
      <vt:variant>
        <vt:i4>5</vt:i4>
      </vt:variant>
      <vt:variant>
        <vt:lpwstr>mailto:tsbfgeai@itu.int</vt:lpwstr>
      </vt:variant>
      <vt:variant>
        <vt:lpwstr/>
      </vt:variant>
      <vt:variant>
        <vt:i4>2752575</vt:i4>
      </vt:variant>
      <vt:variant>
        <vt:i4>15</vt:i4>
      </vt:variant>
      <vt:variant>
        <vt:i4>0</vt:i4>
      </vt:variant>
      <vt:variant>
        <vt:i4>5</vt:i4>
      </vt:variant>
      <vt:variant>
        <vt:lpwstr>https://aiforgood.itu.int/</vt:lpwstr>
      </vt:variant>
      <vt:variant>
        <vt:lpwstr/>
      </vt:variant>
      <vt:variant>
        <vt:i4>2752575</vt:i4>
      </vt:variant>
      <vt:variant>
        <vt:i4>12</vt:i4>
      </vt:variant>
      <vt:variant>
        <vt:i4>0</vt:i4>
      </vt:variant>
      <vt:variant>
        <vt:i4>5</vt:i4>
      </vt:variant>
      <vt:variant>
        <vt:lpwstr>https://aiforgood.itu.int/</vt:lpwstr>
      </vt:variant>
      <vt:variant>
        <vt:lpwstr/>
      </vt:variant>
      <vt:variant>
        <vt:i4>524362</vt:i4>
      </vt:variant>
      <vt:variant>
        <vt:i4>9</vt:i4>
      </vt:variant>
      <vt:variant>
        <vt:i4>0</vt:i4>
      </vt:variant>
      <vt:variant>
        <vt:i4>5</vt:i4>
      </vt:variant>
      <vt:variant>
        <vt:lpwstr>http://www.itu.int/rec/T-REC-A.7</vt:lpwstr>
      </vt:variant>
      <vt:variant>
        <vt:lpwstr/>
      </vt:variant>
      <vt:variant>
        <vt:i4>3866733</vt:i4>
      </vt:variant>
      <vt:variant>
        <vt:i4>6</vt:i4>
      </vt:variant>
      <vt:variant>
        <vt:i4>0</vt:i4>
      </vt:variant>
      <vt:variant>
        <vt:i4>5</vt:i4>
      </vt:variant>
      <vt:variant>
        <vt:lpwstr>https://www.itu.int/en/ITU-T/focusgroups/eai/Pages/reg.aspx</vt:lpwstr>
      </vt:variant>
      <vt:variant>
        <vt:lpwstr/>
      </vt:variant>
      <vt:variant>
        <vt:i4>2949216</vt:i4>
      </vt:variant>
      <vt:variant>
        <vt:i4>3</vt:i4>
      </vt:variant>
      <vt:variant>
        <vt:i4>0</vt:i4>
      </vt:variant>
      <vt:variant>
        <vt:i4>5</vt:i4>
      </vt:variant>
      <vt:variant>
        <vt:lpwstr>https://www.itu.int/en/ITU-T/focusgroups/eai/Pages/default.aspx</vt:lpwstr>
      </vt:variant>
      <vt:variant>
        <vt:lpwstr/>
      </vt:variant>
      <vt:variant>
        <vt:i4>393254</vt:i4>
      </vt:variant>
      <vt:variant>
        <vt:i4>0</vt:i4>
      </vt:variant>
      <vt:variant>
        <vt:i4>0</vt:i4>
      </vt:variant>
      <vt:variant>
        <vt:i4>5</vt:i4>
      </vt:variant>
      <vt:variant>
        <vt:lpwstr>mailto:tsbfgeai@itu.int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ariant>
        <vt:i4>3014749</vt:i4>
      </vt:variant>
      <vt:variant>
        <vt:i4>6</vt:i4>
      </vt:variant>
      <vt:variant>
        <vt:i4>0</vt:i4>
      </vt:variant>
      <vt:variant>
        <vt:i4>5</vt:i4>
      </vt:variant>
      <vt:variant>
        <vt:lpwstr>mailto:hiba.tahawi@itu.int</vt:lpwstr>
      </vt:variant>
      <vt:variant>
        <vt:lpwstr/>
      </vt:variant>
      <vt:variant>
        <vt:i4>262253</vt:i4>
      </vt:variant>
      <vt:variant>
        <vt:i4>3</vt:i4>
      </vt:variant>
      <vt:variant>
        <vt:i4>0</vt:i4>
      </vt:variant>
      <vt:variant>
        <vt:i4>5</vt:i4>
      </vt:variant>
      <vt:variant>
        <vt:lpwstr>mailto:stefano.polidori@itu.int</vt:lpwstr>
      </vt:variant>
      <vt:variant>
        <vt:lpwstr/>
      </vt:variant>
      <vt:variant>
        <vt:i4>3014749</vt:i4>
      </vt:variant>
      <vt:variant>
        <vt:i4>0</vt:i4>
      </vt:variant>
      <vt:variant>
        <vt:i4>0</vt:i4>
      </vt:variant>
      <vt:variant>
        <vt:i4>5</vt:i4>
      </vt:variant>
      <vt:variant>
        <vt:lpwstr>mailto:hiba.tahawi@itu.int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Bilani, Joumana</dc:creator>
  <cp:keywords/>
  <dc:description>T22-TSB-CIR-0040!!MSW-E (2).docx  For: _x000d_Document date: _x000d_Saved by ITU51014379 at 16:15:02 on 26.10.2022</dc:description>
  <cp:lastModifiedBy>Braud, Olivia</cp:lastModifiedBy>
  <cp:revision>6</cp:revision>
  <cp:lastPrinted>2026-03-03T08:26:00Z</cp:lastPrinted>
  <dcterms:created xsi:type="dcterms:W3CDTF">2026-03-02T14:09:00Z</dcterms:created>
  <dcterms:modified xsi:type="dcterms:W3CDTF">2026-03-03T08:26:00Z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T22-TSB-CIR-0040!!MSW-E (2).docx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23d123811a74a3bfb5e32dd249ccace47d6d781744039da058ba5052ee27b7f5</vt:lpwstr>
  </property>
  <property fmtid="{D5CDD505-2E9C-101B-9397-08002B2CF9AE}" pid="9" name="ContentTypeId">
    <vt:lpwstr>0x010100D1E61AAD99A901438D9BC061B6D8E5BF</vt:lpwstr>
  </property>
  <property fmtid="{D5CDD505-2E9C-101B-9397-08002B2CF9AE}" pid="10" name="MediaServiceImageTags">
    <vt:lpwstr/>
  </property>
</Properties>
</file>