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715"/>
        <w:gridCol w:w="4925"/>
      </w:tblGrid>
      <w:tr w:rsidR="007B6316" w14:paraId="2A40CED5" w14:textId="77777777" w:rsidTr="000E5327">
        <w:trPr>
          <w:cantSplit/>
          <w:trHeight w:val="340"/>
        </w:trPr>
        <w:tc>
          <w:tcPr>
            <w:tcW w:w="1260" w:type="dxa"/>
          </w:tcPr>
          <w:p w14:paraId="0D7F7709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0307AB8C" wp14:editId="584CDD5E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2"/>
            <w:vAlign w:val="center"/>
          </w:tcPr>
          <w:p w14:paraId="6E063F93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0C1EA29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6B2C29" w14:paraId="3CF9BE9C" w14:textId="77777777" w:rsidTr="000E5327">
        <w:trPr>
          <w:cantSplit/>
          <w:trHeight w:val="340"/>
        </w:trPr>
        <w:tc>
          <w:tcPr>
            <w:tcW w:w="1260" w:type="dxa"/>
          </w:tcPr>
          <w:p w14:paraId="134B941B" w14:textId="77777777" w:rsidR="007B6316" w:rsidRPr="006B2C2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5" w:type="dxa"/>
          </w:tcPr>
          <w:p w14:paraId="557D7CCD" w14:textId="77777777" w:rsidR="007B6316" w:rsidRPr="006B2C29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4925" w:type="dxa"/>
          </w:tcPr>
          <w:p w14:paraId="4A29B461" w14:textId="56486C31" w:rsidR="007B6316" w:rsidRPr="006B2C29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Ginebra,</w:t>
            </w:r>
            <w:r w:rsidR="00370ED1" w:rsidRPr="006B2C29">
              <w:rPr>
                <w:sz w:val="22"/>
                <w:szCs w:val="22"/>
              </w:rPr>
              <w:t xml:space="preserve"> </w:t>
            </w:r>
            <w:r w:rsidR="004542B1">
              <w:rPr>
                <w:sz w:val="22"/>
                <w:szCs w:val="22"/>
              </w:rPr>
              <w:t>20 de febrero de 2026</w:t>
            </w:r>
          </w:p>
        </w:tc>
      </w:tr>
      <w:tr w:rsidR="001350B9" w:rsidRPr="006B2C29" w14:paraId="1818BAEF" w14:textId="77777777" w:rsidTr="000E5327">
        <w:trPr>
          <w:cantSplit/>
          <w:trHeight w:val="340"/>
        </w:trPr>
        <w:tc>
          <w:tcPr>
            <w:tcW w:w="1260" w:type="dxa"/>
          </w:tcPr>
          <w:p w14:paraId="54124A8D" w14:textId="77777777" w:rsidR="001350B9" w:rsidRPr="000E5327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0E5327">
              <w:rPr>
                <w:b/>
                <w:bCs/>
                <w:sz w:val="22"/>
                <w:szCs w:val="22"/>
              </w:rPr>
              <w:t>Ref.:</w:t>
            </w:r>
          </w:p>
          <w:p w14:paraId="5CC2E1EE" w14:textId="77777777" w:rsidR="001350B9" w:rsidRPr="006B2C29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715" w:type="dxa"/>
          </w:tcPr>
          <w:p w14:paraId="3B625814" w14:textId="336B78CE" w:rsidR="001350B9" w:rsidRPr="006B2C2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6B2C29">
              <w:rPr>
                <w:b/>
                <w:sz w:val="22"/>
                <w:szCs w:val="22"/>
              </w:rPr>
              <w:t xml:space="preserve">Circular TSB </w:t>
            </w:r>
            <w:r w:rsidR="004542B1">
              <w:rPr>
                <w:b/>
                <w:sz w:val="22"/>
                <w:szCs w:val="22"/>
              </w:rPr>
              <w:t>118</w:t>
            </w:r>
          </w:p>
          <w:p w14:paraId="46D9D154" w14:textId="49B6FD2F" w:rsidR="001350B9" w:rsidRPr="006B2C29" w:rsidRDefault="00370ED1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SG2</w:t>
            </w:r>
            <w:r w:rsidR="001350B9" w:rsidRPr="006B2C29">
              <w:rPr>
                <w:sz w:val="22"/>
                <w:szCs w:val="22"/>
              </w:rPr>
              <w:t>/</w:t>
            </w:r>
            <w:r w:rsidRPr="006B2C29">
              <w:rPr>
                <w:sz w:val="22"/>
                <w:szCs w:val="22"/>
              </w:rPr>
              <w:t>MCB</w:t>
            </w:r>
          </w:p>
          <w:p w14:paraId="2D406A18" w14:textId="77777777" w:rsidR="001350B9" w:rsidRPr="006B2C29" w:rsidRDefault="001350B9" w:rsidP="007B6316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925" w:type="dxa"/>
            <w:vMerge w:val="restart"/>
          </w:tcPr>
          <w:p w14:paraId="1323EDBE" w14:textId="77777777" w:rsidR="00014913" w:rsidRPr="009C7037" w:rsidRDefault="00014913" w:rsidP="00014913">
            <w:pPr>
              <w:pStyle w:val="Tabletext0"/>
              <w:ind w:firstLine="76"/>
              <w:rPr>
                <w:szCs w:val="22"/>
                <w:lang w:val="es-ES"/>
              </w:rPr>
            </w:pPr>
            <w:bookmarkStart w:id="0" w:name="Addressee_S"/>
            <w:bookmarkEnd w:id="0"/>
            <w:r w:rsidRPr="009C7037">
              <w:rPr>
                <w:b/>
                <w:bCs/>
                <w:color w:val="000000"/>
                <w:szCs w:val="22"/>
                <w:lang w:val="es-ES"/>
              </w:rPr>
              <w:t>Para:</w:t>
            </w:r>
          </w:p>
          <w:p w14:paraId="2D1F8017" w14:textId="582AAA4C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</w:r>
            <w:r w:rsidR="00014913">
              <w:rPr>
                <w:sz w:val="22"/>
                <w:szCs w:val="22"/>
              </w:rPr>
              <w:t>L</w:t>
            </w:r>
            <w:r w:rsidR="001350B9" w:rsidRPr="006B2C29">
              <w:rPr>
                <w:sz w:val="22"/>
                <w:szCs w:val="22"/>
              </w:rPr>
              <w:t>as Administraciones de los Estados Miembros de la Unión</w:t>
            </w:r>
            <w:r w:rsidRPr="006B2C29">
              <w:rPr>
                <w:sz w:val="22"/>
                <w:szCs w:val="22"/>
              </w:rPr>
              <w:t>;</w:t>
            </w:r>
          </w:p>
          <w:p w14:paraId="4015785A" w14:textId="1E880796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Pr="006B2C29">
              <w:rPr>
                <w:sz w:val="22"/>
                <w:szCs w:val="22"/>
              </w:rPr>
              <w:tab/>
            </w:r>
            <w:r w:rsidR="00014913">
              <w:rPr>
                <w:sz w:val="22"/>
                <w:szCs w:val="22"/>
              </w:rPr>
              <w:t>E</w:t>
            </w:r>
            <w:r w:rsidR="00373720">
              <w:rPr>
                <w:sz w:val="22"/>
                <w:szCs w:val="22"/>
              </w:rPr>
              <w:t xml:space="preserve">l </w:t>
            </w:r>
            <w:r w:rsidRPr="006B2C29">
              <w:rPr>
                <w:sz w:val="22"/>
                <w:szCs w:val="22"/>
              </w:rPr>
              <w:t>Estado de Palestina (Res.99 (Rev. Dubái, 2018))</w:t>
            </w:r>
          </w:p>
          <w:p w14:paraId="0EA70D19" w14:textId="37625805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  <w:sz w:val="22"/>
                <w:szCs w:val="22"/>
              </w:rPr>
            </w:pPr>
            <w:r w:rsidRPr="006B2C29">
              <w:rPr>
                <w:b/>
                <w:bCs/>
                <w:sz w:val="22"/>
                <w:szCs w:val="22"/>
              </w:rPr>
              <w:t>Copia:</w:t>
            </w:r>
          </w:p>
          <w:p w14:paraId="1E227F95" w14:textId="60EEAF9C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 xml:space="preserve">A los Miembros de Sector </w:t>
            </w:r>
            <w:r w:rsidRPr="006B2C29">
              <w:rPr>
                <w:sz w:val="22"/>
                <w:szCs w:val="22"/>
              </w:rPr>
              <w:t xml:space="preserve">del </w:t>
            </w:r>
            <w:r w:rsidR="001350B9" w:rsidRPr="006B2C29">
              <w:rPr>
                <w:sz w:val="22"/>
                <w:szCs w:val="22"/>
              </w:rPr>
              <w:t>UIT</w:t>
            </w:r>
            <w:r w:rsidR="001350B9" w:rsidRPr="006B2C29">
              <w:rPr>
                <w:sz w:val="22"/>
                <w:szCs w:val="22"/>
              </w:rPr>
              <w:noBreakHyphen/>
              <w:t>T;</w:t>
            </w:r>
          </w:p>
          <w:p w14:paraId="53346186" w14:textId="07875706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 los Asociados de</w:t>
            </w:r>
            <w:r w:rsidRPr="006B2C29">
              <w:rPr>
                <w:sz w:val="22"/>
                <w:szCs w:val="22"/>
              </w:rPr>
              <w:t xml:space="preserve"> </w:t>
            </w:r>
            <w:r w:rsidR="001350B9" w:rsidRPr="006B2C29">
              <w:rPr>
                <w:sz w:val="22"/>
                <w:szCs w:val="22"/>
              </w:rPr>
              <w:t>l</w:t>
            </w:r>
            <w:r w:rsidRPr="006B2C29">
              <w:rPr>
                <w:sz w:val="22"/>
                <w:szCs w:val="22"/>
              </w:rPr>
              <w:t>a Comisión de Estudio 2 del </w:t>
            </w:r>
            <w:r w:rsidR="001350B9" w:rsidRPr="006B2C29">
              <w:rPr>
                <w:sz w:val="22"/>
                <w:szCs w:val="22"/>
              </w:rPr>
              <w:t>UIT</w:t>
            </w:r>
            <w:r w:rsidR="001350B9" w:rsidRPr="006B2C29">
              <w:rPr>
                <w:sz w:val="22"/>
                <w:szCs w:val="22"/>
              </w:rPr>
              <w:noBreakHyphen/>
              <w:t>T;</w:t>
            </w:r>
          </w:p>
          <w:p w14:paraId="1B4B2DF2" w14:textId="10E07BE1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 las Instituciones Académicas de</w:t>
            </w:r>
            <w:r w:rsidRPr="006B2C29">
              <w:rPr>
                <w:sz w:val="22"/>
                <w:szCs w:val="22"/>
              </w:rPr>
              <w:t xml:space="preserve"> </w:t>
            </w:r>
            <w:r w:rsidR="001350B9" w:rsidRPr="006B2C29">
              <w:rPr>
                <w:sz w:val="22"/>
                <w:szCs w:val="22"/>
              </w:rPr>
              <w:t>l</w:t>
            </w:r>
            <w:r w:rsidRPr="006B2C29">
              <w:rPr>
                <w:sz w:val="22"/>
                <w:szCs w:val="22"/>
              </w:rPr>
              <w:t>a</w:t>
            </w:r>
            <w:r w:rsidR="001350B9" w:rsidRPr="006B2C29">
              <w:rPr>
                <w:sz w:val="22"/>
                <w:szCs w:val="22"/>
              </w:rPr>
              <w:t xml:space="preserve"> UIT;</w:t>
            </w:r>
          </w:p>
          <w:p w14:paraId="7CE8B98C" w14:textId="0630184B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Al Presidente y a los Vicepresidentes de la</w:t>
            </w:r>
            <w:r w:rsidRPr="006B2C29">
              <w:rPr>
                <w:sz w:val="22"/>
                <w:szCs w:val="22"/>
              </w:rPr>
              <w:t xml:space="preserve"> </w:t>
            </w:r>
            <w:r w:rsidR="001350B9" w:rsidRPr="006B2C29">
              <w:rPr>
                <w:sz w:val="22"/>
                <w:szCs w:val="22"/>
              </w:rPr>
              <w:t xml:space="preserve">Comisión de Estudio </w:t>
            </w:r>
            <w:r w:rsidRPr="006B2C29">
              <w:rPr>
                <w:sz w:val="22"/>
                <w:szCs w:val="22"/>
              </w:rPr>
              <w:t>2 del UIT-T;</w:t>
            </w:r>
          </w:p>
          <w:p w14:paraId="1D3716E8" w14:textId="1EE71FD7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Al Director de la Oficina de Desarrollo de las Telecomunicaciones;</w:t>
            </w:r>
          </w:p>
          <w:p w14:paraId="599DDC49" w14:textId="52341E1C" w:rsidR="001350B9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Al Director de la Oficina de Radiocomunicaciones</w:t>
            </w:r>
          </w:p>
        </w:tc>
      </w:tr>
      <w:tr w:rsidR="001350B9" w:rsidRPr="006B2C29" w14:paraId="6BB38550" w14:textId="77777777" w:rsidTr="000E5327">
        <w:trPr>
          <w:cantSplit/>
        </w:trPr>
        <w:tc>
          <w:tcPr>
            <w:tcW w:w="1260" w:type="dxa"/>
          </w:tcPr>
          <w:p w14:paraId="07C81135" w14:textId="77777777" w:rsidR="001350B9" w:rsidRPr="006B2C2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Tel.:</w:t>
            </w:r>
          </w:p>
        </w:tc>
        <w:tc>
          <w:tcPr>
            <w:tcW w:w="3715" w:type="dxa"/>
          </w:tcPr>
          <w:p w14:paraId="2148E271" w14:textId="0735B0E6" w:rsidR="001350B9" w:rsidRPr="006B2C2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+41 22 730</w:t>
            </w:r>
            <w:r w:rsidR="00370ED1" w:rsidRPr="006B2C29">
              <w:rPr>
                <w:sz w:val="22"/>
                <w:szCs w:val="22"/>
              </w:rPr>
              <w:t xml:space="preserve"> 5901</w:t>
            </w:r>
          </w:p>
        </w:tc>
        <w:tc>
          <w:tcPr>
            <w:tcW w:w="4925" w:type="dxa"/>
            <w:vMerge/>
          </w:tcPr>
          <w:p w14:paraId="0423C7C5" w14:textId="77777777" w:rsidR="001350B9" w:rsidRPr="006B2C2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6B2C29" w14:paraId="35D83FFE" w14:textId="77777777" w:rsidTr="000E5327">
        <w:trPr>
          <w:cantSplit/>
        </w:trPr>
        <w:tc>
          <w:tcPr>
            <w:tcW w:w="1260" w:type="dxa"/>
          </w:tcPr>
          <w:p w14:paraId="610E4978" w14:textId="77777777" w:rsidR="001350B9" w:rsidRPr="006B2C2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Fax:</w:t>
            </w:r>
          </w:p>
        </w:tc>
        <w:tc>
          <w:tcPr>
            <w:tcW w:w="3715" w:type="dxa"/>
          </w:tcPr>
          <w:p w14:paraId="7C2560B9" w14:textId="77777777" w:rsidR="001350B9" w:rsidRPr="006B2C2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+41 22 730 5853</w:t>
            </w:r>
          </w:p>
        </w:tc>
        <w:tc>
          <w:tcPr>
            <w:tcW w:w="4925" w:type="dxa"/>
            <w:vMerge/>
          </w:tcPr>
          <w:p w14:paraId="40FC9B22" w14:textId="77777777" w:rsidR="001350B9" w:rsidRPr="006B2C2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6B2C29" w14:paraId="04AEC8CD" w14:textId="77777777" w:rsidTr="000E5327">
        <w:trPr>
          <w:cantSplit/>
          <w:trHeight w:val="2511"/>
        </w:trPr>
        <w:tc>
          <w:tcPr>
            <w:tcW w:w="1260" w:type="dxa"/>
          </w:tcPr>
          <w:p w14:paraId="441BC88B" w14:textId="77777777" w:rsidR="001350B9" w:rsidRPr="006B2C2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Correo-e:</w:t>
            </w:r>
          </w:p>
        </w:tc>
        <w:tc>
          <w:tcPr>
            <w:tcW w:w="3715" w:type="dxa"/>
          </w:tcPr>
          <w:p w14:paraId="78E94B18" w14:textId="04A17EFB" w:rsidR="001350B9" w:rsidRPr="006B2C29" w:rsidRDefault="007A634A" w:rsidP="00303D62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12" w:history="1">
              <w:r w:rsidR="00370ED1" w:rsidRPr="006B2C29">
                <w:rPr>
                  <w:rStyle w:val="Hyperlink"/>
                  <w:sz w:val="22"/>
                  <w:szCs w:val="22"/>
                </w:rPr>
                <w:t>tsbsg2@itu.int</w:t>
              </w:r>
            </w:hyperlink>
          </w:p>
        </w:tc>
        <w:tc>
          <w:tcPr>
            <w:tcW w:w="4925" w:type="dxa"/>
            <w:vMerge/>
          </w:tcPr>
          <w:p w14:paraId="28F2C651" w14:textId="77777777" w:rsidR="001350B9" w:rsidRPr="006B2C29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6B2C29" w14:paraId="0119FAD7" w14:textId="77777777" w:rsidTr="000E5327">
        <w:trPr>
          <w:cantSplit/>
        </w:trPr>
        <w:tc>
          <w:tcPr>
            <w:tcW w:w="1260" w:type="dxa"/>
          </w:tcPr>
          <w:p w14:paraId="5547BF79" w14:textId="77777777" w:rsidR="007B6316" w:rsidRPr="006B2C2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0E5327">
              <w:rPr>
                <w:b/>
                <w:bCs/>
                <w:sz w:val="22"/>
                <w:szCs w:val="22"/>
              </w:rPr>
              <w:t>Asunto</w:t>
            </w:r>
            <w:r w:rsidRPr="006B2C29">
              <w:rPr>
                <w:sz w:val="22"/>
                <w:szCs w:val="22"/>
              </w:rPr>
              <w:t>:</w:t>
            </w:r>
          </w:p>
        </w:tc>
        <w:tc>
          <w:tcPr>
            <w:tcW w:w="8640" w:type="dxa"/>
            <w:gridSpan w:val="2"/>
          </w:tcPr>
          <w:p w14:paraId="3C8979FF" w14:textId="06A75049" w:rsidR="007B6316" w:rsidRPr="006B2C29" w:rsidRDefault="00370ED1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Situación </w:t>
            </w:r>
            <w:r w:rsidR="004542B1">
              <w:rPr>
                <w:rFonts w:cstheme="minorHAnsi"/>
                <w:b/>
                <w:sz w:val="22"/>
                <w:szCs w:val="22"/>
                <w:lang w:val="es-ES"/>
              </w:rPr>
              <w:t>del proyecto de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 xml:space="preserve"> revisión de las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Recomendaci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>ones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</w:t>
            </w:r>
            <w:r w:rsidR="00373720">
              <w:rPr>
                <w:b/>
                <w:sz w:val="22"/>
                <w:szCs w:val="22"/>
              </w:rPr>
              <w:t>UIT</w:t>
            </w:r>
            <w:r w:rsidR="00373720" w:rsidRPr="006C41D8">
              <w:rPr>
                <w:b/>
                <w:sz w:val="22"/>
                <w:szCs w:val="22"/>
              </w:rPr>
              <w:t>-T E.</w:t>
            </w:r>
            <w:r w:rsidR="004542B1">
              <w:rPr>
                <w:b/>
                <w:sz w:val="22"/>
                <w:szCs w:val="22"/>
              </w:rPr>
              <w:t>164</w:t>
            </w:r>
            <w:r w:rsidR="00373720">
              <w:rPr>
                <w:b/>
                <w:sz w:val="22"/>
                <w:szCs w:val="22"/>
              </w:rPr>
              <w:t xml:space="preserve"> y UIT</w:t>
            </w:r>
            <w:r w:rsidR="0038362C">
              <w:rPr>
                <w:b/>
                <w:sz w:val="22"/>
                <w:szCs w:val="22"/>
              </w:rPr>
              <w:noBreakHyphen/>
            </w:r>
            <w:r w:rsidR="00373720" w:rsidRPr="006C41D8">
              <w:rPr>
                <w:b/>
                <w:sz w:val="22"/>
                <w:szCs w:val="22"/>
              </w:rPr>
              <w:t>T E.164</w:t>
            </w:r>
            <w:r w:rsidR="004542B1">
              <w:rPr>
                <w:b/>
                <w:sz w:val="22"/>
                <w:szCs w:val="22"/>
              </w:rPr>
              <w:t>.1</w:t>
            </w:r>
            <w:r w:rsidR="00373720" w:rsidRPr="006C41D8">
              <w:rPr>
                <w:b/>
                <w:sz w:val="22"/>
                <w:szCs w:val="22"/>
              </w:rPr>
              <w:t xml:space="preserve"> 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>determinada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>s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y </w:t>
            </w:r>
            <w:r w:rsidR="004542B1">
              <w:rPr>
                <w:rFonts w:cstheme="minorHAnsi"/>
                <w:b/>
                <w:sz w:val="22"/>
                <w:szCs w:val="22"/>
                <w:lang w:val="es-ES"/>
              </w:rPr>
              <w:t>de los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 xml:space="preserve"> proyecto</w:t>
            </w:r>
            <w:r w:rsidR="004542B1">
              <w:rPr>
                <w:rFonts w:cstheme="minorHAnsi"/>
                <w:b/>
                <w:sz w:val="22"/>
                <w:szCs w:val="22"/>
                <w:lang w:val="es-ES"/>
              </w:rPr>
              <w:t>s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 xml:space="preserve"> de 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>nueva</w:t>
            </w:r>
            <w:r w:rsidR="004542B1">
              <w:rPr>
                <w:rFonts w:cstheme="minorHAnsi"/>
                <w:b/>
                <w:sz w:val="22"/>
                <w:szCs w:val="22"/>
                <w:lang w:val="es-ES"/>
              </w:rPr>
              <w:t>s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</w:t>
            </w:r>
            <w:r w:rsidR="004542B1">
              <w:rPr>
                <w:rFonts w:cstheme="minorHAnsi"/>
                <w:b/>
                <w:sz w:val="22"/>
                <w:szCs w:val="22"/>
                <w:lang w:val="es-ES"/>
              </w:rPr>
              <w:t>Recomendaciones UIT-T E.192 (E.IoT-NNAI),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UIT</w:t>
            </w:r>
            <w:r w:rsidR="0038362C">
              <w:rPr>
                <w:b/>
                <w:sz w:val="22"/>
                <w:szCs w:val="22"/>
                <w:lang w:val="es-ES"/>
              </w:rPr>
              <w:noBreakHyphen/>
            </w:r>
            <w:r w:rsidRPr="006B2C29">
              <w:rPr>
                <w:b/>
                <w:sz w:val="22"/>
                <w:szCs w:val="22"/>
                <w:lang w:val="es-ES"/>
              </w:rPr>
              <w:t>T</w:t>
            </w:r>
            <w:r w:rsidR="0038362C">
              <w:rPr>
                <w:b/>
                <w:sz w:val="22"/>
                <w:szCs w:val="22"/>
                <w:lang w:val="es-ES"/>
              </w:rPr>
              <w:t> </w:t>
            </w:r>
            <w:r w:rsidR="00373720" w:rsidRPr="006C41D8">
              <w:rPr>
                <w:b/>
                <w:sz w:val="22"/>
                <w:szCs w:val="22"/>
              </w:rPr>
              <w:t>E.371 (E.dit)</w:t>
            </w:r>
            <w:r w:rsidRPr="006B2C29">
              <w:rPr>
                <w:b/>
                <w:sz w:val="22"/>
                <w:szCs w:val="22"/>
                <w:lang w:val="es-ES"/>
              </w:rPr>
              <w:t xml:space="preserve"> tras la reunión de la Comisión de Estudio</w:t>
            </w:r>
            <w:r w:rsidR="000A2148" w:rsidRPr="006B2C29">
              <w:rPr>
                <w:b/>
                <w:sz w:val="22"/>
                <w:szCs w:val="22"/>
                <w:lang w:val="es-ES"/>
              </w:rPr>
              <w:t> </w:t>
            </w:r>
            <w:r w:rsidRPr="006B2C29">
              <w:rPr>
                <w:b/>
                <w:sz w:val="22"/>
                <w:szCs w:val="22"/>
                <w:lang w:val="es-ES"/>
              </w:rPr>
              <w:t>2 del UIT</w:t>
            </w:r>
            <w:r w:rsidR="000A2148" w:rsidRPr="006B2C29">
              <w:rPr>
                <w:b/>
                <w:sz w:val="22"/>
                <w:szCs w:val="22"/>
                <w:lang w:val="es-ES"/>
              </w:rPr>
              <w:noBreakHyphen/>
            </w:r>
            <w:r w:rsidRPr="006B2C29">
              <w:rPr>
                <w:b/>
                <w:sz w:val="22"/>
                <w:szCs w:val="22"/>
                <w:lang w:val="es-ES"/>
              </w:rPr>
              <w:t>T (</w:t>
            </w:r>
            <w:r w:rsidR="004542B1">
              <w:rPr>
                <w:rFonts w:cstheme="minorHAnsi"/>
                <w:b/>
                <w:sz w:val="22"/>
                <w:szCs w:val="22"/>
                <w:lang w:val="es-ES"/>
              </w:rPr>
              <w:t>4-13 de febrero de</w:t>
            </w:r>
            <w:r w:rsidR="0038362C">
              <w:rPr>
                <w:rFonts w:cstheme="minorHAnsi"/>
                <w:b/>
                <w:sz w:val="22"/>
                <w:szCs w:val="22"/>
                <w:lang w:val="es-ES"/>
              </w:rPr>
              <w:t> </w:t>
            </w:r>
            <w:r w:rsidR="004542B1">
              <w:rPr>
                <w:rFonts w:cstheme="minorHAnsi"/>
                <w:b/>
                <w:sz w:val="22"/>
                <w:szCs w:val="22"/>
                <w:lang w:val="es-ES"/>
              </w:rPr>
              <w:t>2026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>)</w:t>
            </w:r>
          </w:p>
        </w:tc>
      </w:tr>
    </w:tbl>
    <w:p w14:paraId="5CB8BD5B" w14:textId="78CC29DC" w:rsidR="00C34772" w:rsidRPr="006B2C29" w:rsidRDefault="00C34772" w:rsidP="000E5327">
      <w:pPr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6B2C29">
        <w:rPr>
          <w:sz w:val="22"/>
          <w:szCs w:val="22"/>
        </w:rPr>
        <w:t>Muy Señora mía/Muy Señor mío</w:t>
      </w:r>
      <w:r w:rsidR="000E5327">
        <w:rPr>
          <w:sz w:val="22"/>
          <w:szCs w:val="22"/>
        </w:rPr>
        <w:t>,</w:t>
      </w:r>
    </w:p>
    <w:p w14:paraId="36452F31" w14:textId="7C8F140C" w:rsidR="007B6316" w:rsidRPr="006B2C29" w:rsidRDefault="00370ED1" w:rsidP="00373720">
      <w:pPr>
        <w:spacing w:after="240"/>
        <w:rPr>
          <w:sz w:val="22"/>
          <w:szCs w:val="22"/>
        </w:rPr>
      </w:pPr>
      <w:r w:rsidRPr="006B2C29">
        <w:rPr>
          <w:rFonts w:cstheme="minorHAnsi"/>
          <w:spacing w:val="-2"/>
          <w:sz w:val="22"/>
          <w:szCs w:val="22"/>
          <w:lang w:val="es-ES"/>
        </w:rPr>
        <w:t>1</w:t>
      </w:r>
      <w:r w:rsidRPr="006B2C29">
        <w:rPr>
          <w:rFonts w:cstheme="minorHAnsi"/>
          <w:spacing w:val="-2"/>
          <w:sz w:val="22"/>
          <w:szCs w:val="22"/>
          <w:lang w:val="es-ES"/>
        </w:rPr>
        <w:tab/>
        <w:t xml:space="preserve">A raíz de la </w:t>
      </w:r>
      <w:hyperlink r:id="rId13" w:history="1">
        <w:r w:rsidR="004542B1" w:rsidRPr="003A6085">
          <w:rPr>
            <w:rStyle w:val="Hyperlink"/>
            <w:sz w:val="22"/>
            <w:szCs w:val="22"/>
          </w:rPr>
          <w:t>Circular TSB 72</w:t>
        </w:r>
      </w:hyperlink>
      <w:r w:rsidR="004542B1">
        <w:rPr>
          <w:sz w:val="22"/>
          <w:szCs w:val="22"/>
        </w:rPr>
        <w:t xml:space="preserve"> </w:t>
      </w:r>
      <w:r w:rsidRPr="004542B1">
        <w:rPr>
          <w:sz w:val="22"/>
          <w:szCs w:val="22"/>
          <w:lang w:val="es-ES"/>
        </w:rPr>
        <w:t>de</w:t>
      </w:r>
      <w:r w:rsidRPr="006B2C29">
        <w:rPr>
          <w:rFonts w:cstheme="minorHAnsi"/>
          <w:spacing w:val="-2"/>
          <w:sz w:val="22"/>
          <w:szCs w:val="22"/>
          <w:lang w:val="es-ES"/>
        </w:rPr>
        <w:t xml:space="preserve"> </w:t>
      </w:r>
      <w:r w:rsidR="004542B1">
        <w:rPr>
          <w:sz w:val="22"/>
          <w:szCs w:val="22"/>
          <w:lang w:val="es-ES"/>
        </w:rPr>
        <w:t>16 de septiembre</w:t>
      </w:r>
      <w:r w:rsidRPr="006B2C29">
        <w:rPr>
          <w:sz w:val="22"/>
          <w:szCs w:val="22"/>
          <w:lang w:val="es-ES"/>
        </w:rPr>
        <w:t xml:space="preserve"> de 202</w:t>
      </w:r>
      <w:r w:rsidR="00373720">
        <w:rPr>
          <w:sz w:val="22"/>
          <w:szCs w:val="22"/>
          <w:lang w:val="es-ES"/>
        </w:rPr>
        <w:t>5</w:t>
      </w:r>
      <w:r w:rsidRPr="006B2C29">
        <w:rPr>
          <w:sz w:val="22"/>
          <w:szCs w:val="22"/>
          <w:lang w:val="es-ES"/>
        </w:rPr>
        <w:t xml:space="preserve"> y de conformidad con lo dispuesto en la cláusula</w:t>
      </w:r>
      <w:r w:rsidR="000A2148" w:rsidRPr="006B2C29">
        <w:rPr>
          <w:rFonts w:cstheme="minorHAnsi"/>
          <w:spacing w:val="-2"/>
          <w:sz w:val="22"/>
          <w:szCs w:val="22"/>
          <w:lang w:val="es-ES"/>
        </w:rPr>
        <w:t> </w:t>
      </w:r>
      <w:r w:rsidRPr="006B2C29">
        <w:rPr>
          <w:rFonts w:cstheme="minorHAnsi"/>
          <w:spacing w:val="-2"/>
          <w:sz w:val="22"/>
          <w:szCs w:val="22"/>
          <w:lang w:val="es-ES"/>
        </w:rPr>
        <w:t>9.5 de la Resolución 1 (Rev. Nueva Delhi, 2024), por la presente le informo de que la Comisión de Estudio</w:t>
      </w:r>
      <w:r w:rsidR="000A2148" w:rsidRPr="006B2C29">
        <w:rPr>
          <w:rFonts w:cstheme="minorHAnsi"/>
          <w:spacing w:val="-2"/>
          <w:sz w:val="22"/>
          <w:szCs w:val="22"/>
          <w:lang w:val="es-ES"/>
        </w:rPr>
        <w:t> </w:t>
      </w:r>
      <w:r w:rsidRPr="006B2C29">
        <w:rPr>
          <w:rFonts w:cstheme="minorHAnsi"/>
          <w:spacing w:val="-2"/>
          <w:sz w:val="22"/>
          <w:szCs w:val="22"/>
          <w:lang w:val="es-ES"/>
        </w:rPr>
        <w:t>2 del UIT</w:t>
      </w:r>
      <w:r w:rsidR="008E2510">
        <w:rPr>
          <w:rFonts w:cstheme="minorHAnsi"/>
          <w:spacing w:val="-2"/>
          <w:sz w:val="22"/>
          <w:szCs w:val="22"/>
          <w:lang w:val="es-ES"/>
        </w:rPr>
        <w:noBreakHyphen/>
      </w:r>
      <w:r w:rsidRPr="006B2C29">
        <w:rPr>
          <w:rFonts w:cstheme="minorHAnsi"/>
          <w:spacing w:val="-2"/>
          <w:sz w:val="22"/>
          <w:szCs w:val="22"/>
          <w:lang w:val="es-ES"/>
        </w:rPr>
        <w:t xml:space="preserve">T 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adoptó </w:t>
      </w:r>
      <w:r w:rsidR="00373720">
        <w:rPr>
          <w:rFonts w:cstheme="minorHAnsi"/>
          <w:spacing w:val="-2"/>
          <w:sz w:val="22"/>
          <w:szCs w:val="22"/>
          <w:lang w:val="es-ES"/>
        </w:rPr>
        <w:t>en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su sesión plenaria</w:t>
      </w:r>
      <w:r w:rsidR="00373720">
        <w:rPr>
          <w:rFonts w:cstheme="minorHAnsi"/>
          <w:spacing w:val="-2"/>
          <w:sz w:val="22"/>
          <w:szCs w:val="22"/>
          <w:lang w:val="es-ES"/>
        </w:rPr>
        <w:t>,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celebrada el </w:t>
      </w:r>
      <w:r w:rsidR="004542B1">
        <w:rPr>
          <w:rFonts w:cstheme="minorHAnsi"/>
          <w:spacing w:val="-2"/>
          <w:sz w:val="22"/>
          <w:szCs w:val="22"/>
          <w:lang w:val="es-ES"/>
        </w:rPr>
        <w:t>13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de </w:t>
      </w:r>
      <w:r w:rsidR="007A634A">
        <w:rPr>
          <w:rFonts w:cstheme="minorHAnsi"/>
          <w:spacing w:val="-2"/>
          <w:sz w:val="22"/>
          <w:szCs w:val="22"/>
          <w:lang w:val="es-ES"/>
        </w:rPr>
        <w:t>febrero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de </w:t>
      </w:r>
      <w:r w:rsidR="004542B1">
        <w:rPr>
          <w:rFonts w:cstheme="minorHAnsi"/>
          <w:spacing w:val="-2"/>
          <w:sz w:val="22"/>
          <w:szCs w:val="22"/>
          <w:lang w:val="es-ES"/>
        </w:rPr>
        <w:t>2026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en Ginebra, las siguientes decisiones </w:t>
      </w:r>
      <w:r w:rsidR="00373720">
        <w:rPr>
          <w:rFonts w:cstheme="minorHAnsi"/>
          <w:spacing w:val="-2"/>
          <w:sz w:val="22"/>
          <w:szCs w:val="22"/>
          <w:lang w:val="es-ES"/>
        </w:rPr>
        <w:t>en relación con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los siguientes proyectos de texto del UIT-T: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4614"/>
        <w:gridCol w:w="3474"/>
      </w:tblGrid>
      <w:tr w:rsidR="00370ED1" w:rsidRPr="000A2148" w14:paraId="3BE11C9A" w14:textId="77777777" w:rsidTr="00373720">
        <w:trPr>
          <w:cantSplit/>
          <w:tblHeader/>
          <w:jc w:val="center"/>
        </w:trPr>
        <w:tc>
          <w:tcPr>
            <w:tcW w:w="1541" w:type="dxa"/>
            <w:vAlign w:val="center"/>
          </w:tcPr>
          <w:p w14:paraId="4049DA97" w14:textId="77777777" w:rsidR="00370ED1" w:rsidRPr="000A2148" w:rsidRDefault="00370ED1" w:rsidP="000A2148">
            <w:pPr>
              <w:pStyle w:val="Tablehead0"/>
            </w:pPr>
            <w:r w:rsidRPr="000A2148">
              <w:t>Número</w:t>
            </w:r>
          </w:p>
        </w:tc>
        <w:tc>
          <w:tcPr>
            <w:tcW w:w="4614" w:type="dxa"/>
            <w:vAlign w:val="center"/>
          </w:tcPr>
          <w:p w14:paraId="6C53AB58" w14:textId="77777777" w:rsidR="00370ED1" w:rsidRPr="000A2148" w:rsidRDefault="00370ED1" w:rsidP="000A2148">
            <w:pPr>
              <w:pStyle w:val="Tablehead0"/>
            </w:pPr>
            <w:r w:rsidRPr="000A2148">
              <w:t>Título</w:t>
            </w:r>
          </w:p>
        </w:tc>
        <w:tc>
          <w:tcPr>
            <w:tcW w:w="3474" w:type="dxa"/>
            <w:vAlign w:val="center"/>
          </w:tcPr>
          <w:p w14:paraId="60E13CA9" w14:textId="77777777" w:rsidR="00370ED1" w:rsidRPr="000A2148" w:rsidRDefault="00370ED1" w:rsidP="000A2148">
            <w:pPr>
              <w:pStyle w:val="Tablehead0"/>
            </w:pPr>
            <w:r w:rsidRPr="000A2148">
              <w:t>Decisión</w:t>
            </w:r>
          </w:p>
        </w:tc>
      </w:tr>
      <w:tr w:rsidR="00370ED1" w:rsidRPr="00F87124" w14:paraId="255402DA" w14:textId="77777777" w:rsidTr="00373720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76D" w14:textId="54867DE9" w:rsidR="00370ED1" w:rsidRPr="00B004A5" w:rsidRDefault="00370ED1" w:rsidP="000A2148">
            <w:pPr>
              <w:pStyle w:val="Tabletext0"/>
              <w:jc w:val="center"/>
              <w:rPr>
                <w:bCs/>
                <w:lang w:val="fr-CH"/>
              </w:rPr>
            </w:pPr>
            <w:r>
              <w:t>UIT</w:t>
            </w:r>
            <w:r w:rsidRPr="00B004A5">
              <w:t>-T E.</w:t>
            </w:r>
            <w:r w:rsidR="004542B1">
              <w:rPr>
                <w:rFonts w:cstheme="minorHAnsi"/>
                <w:szCs w:val="22"/>
                <w:lang w:val="fr-CH"/>
              </w:rPr>
              <w:t>164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C560" w14:textId="46994516" w:rsidR="00370ED1" w:rsidRPr="005549C6" w:rsidRDefault="004542B1" w:rsidP="000A2148">
            <w:pPr>
              <w:pStyle w:val="Tabletext0"/>
              <w:rPr>
                <w:highlight w:val="yellow"/>
                <w:lang w:val="es-ES"/>
              </w:rPr>
            </w:pPr>
            <w:r>
              <w:rPr>
                <w:lang w:val="es-ES"/>
              </w:rPr>
              <w:t>Plan de numeración para las telecomunicaciones públicas internacionales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D97B" w14:textId="2536CB11" w:rsidR="00370ED1" w:rsidRPr="005549C6" w:rsidRDefault="004542B1" w:rsidP="000A2148">
            <w:pPr>
              <w:pStyle w:val="Tabletext0"/>
              <w:rPr>
                <w:lang w:val="es-ES"/>
              </w:rPr>
            </w:pPr>
            <w:r>
              <w:rPr>
                <w:rFonts w:cstheme="minorHAnsi"/>
                <w:szCs w:val="22"/>
              </w:rPr>
              <w:t xml:space="preserve">Aprobada, texto en </w:t>
            </w:r>
            <w:hyperlink r:id="rId14" w:history="1">
              <w:r w:rsidRPr="00086939">
                <w:rPr>
                  <w:rStyle w:val="Hyperlink"/>
                  <w:rFonts w:cstheme="minorHAnsi"/>
                  <w:szCs w:val="22"/>
                </w:rPr>
                <w:t>SG2</w:t>
              </w:r>
              <w:r w:rsidR="0038362C">
                <w:rPr>
                  <w:rStyle w:val="Hyperlink"/>
                  <w:rFonts w:cstheme="minorHAnsi"/>
                  <w:szCs w:val="22"/>
                </w:rPr>
                <w:noBreakHyphen/>
              </w:r>
              <w:r w:rsidRPr="00086939">
                <w:rPr>
                  <w:rStyle w:val="Hyperlink"/>
                  <w:rFonts w:cstheme="minorHAnsi"/>
                  <w:szCs w:val="22"/>
                </w:rPr>
                <w:t>TD366R6/PLEN</w:t>
              </w:r>
            </w:hyperlink>
          </w:p>
        </w:tc>
      </w:tr>
      <w:tr w:rsidR="00373720" w:rsidRPr="00F87124" w14:paraId="6EE246B3" w14:textId="77777777" w:rsidTr="00373720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09CD" w14:textId="30476CDF" w:rsidR="00373720" w:rsidRDefault="00373720" w:rsidP="000A2148">
            <w:pPr>
              <w:pStyle w:val="Tabletext0"/>
              <w:jc w:val="center"/>
            </w:pPr>
            <w:r>
              <w:rPr>
                <w:rFonts w:cstheme="minorHAnsi"/>
                <w:szCs w:val="22"/>
              </w:rPr>
              <w:t>UIT</w:t>
            </w:r>
            <w:r w:rsidRPr="00B004A5">
              <w:rPr>
                <w:rFonts w:cstheme="minorHAnsi"/>
                <w:szCs w:val="22"/>
              </w:rPr>
              <w:t>-T E.</w:t>
            </w:r>
            <w:r>
              <w:rPr>
                <w:rFonts w:cstheme="minorHAnsi"/>
                <w:szCs w:val="22"/>
              </w:rPr>
              <w:t>164</w:t>
            </w:r>
            <w:r w:rsidR="004542B1">
              <w:rPr>
                <w:rFonts w:cstheme="minorHAnsi"/>
                <w:szCs w:val="22"/>
              </w:rPr>
              <w:t>.1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BE3" w14:textId="5BBFA9A7" w:rsidR="00373720" w:rsidRPr="00373720" w:rsidRDefault="00C13EBA" w:rsidP="000A2148">
            <w:pPr>
              <w:pStyle w:val="Tabletext0"/>
              <w:rPr>
                <w:lang w:val="es-ES"/>
              </w:rPr>
            </w:pPr>
            <w:r>
              <w:t>C</w:t>
            </w:r>
            <w:r w:rsidR="004542B1" w:rsidRPr="004542B1">
              <w:t>riterios y procedimientos para la reserva, la asignación y la reclamación para indicativos de país E.164, y la asignación de los códigos de identificación asociados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D911" w14:textId="578BB4B2" w:rsidR="00373720" w:rsidRPr="00373720" w:rsidRDefault="004542B1" w:rsidP="006A1156">
            <w:pPr>
              <w:pStyle w:val="Tabletext0"/>
              <w:rPr>
                <w:lang w:val="es-ES"/>
              </w:rPr>
            </w:pPr>
            <w:r>
              <w:rPr>
                <w:rFonts w:cstheme="minorHAnsi"/>
                <w:szCs w:val="22"/>
                <w:lang w:val="es-ES"/>
              </w:rPr>
              <w:t>Aprobada, texto en</w:t>
            </w:r>
            <w:r w:rsidR="00C13EBA">
              <w:rPr>
                <w:rFonts w:cstheme="minorHAnsi"/>
                <w:szCs w:val="22"/>
                <w:lang w:val="es-ES"/>
              </w:rPr>
              <w:t xml:space="preserve"> </w:t>
            </w:r>
            <w:hyperlink r:id="rId15" w:history="1">
              <w:r w:rsidR="00E13253" w:rsidRPr="000517FA">
                <w:rPr>
                  <w:rStyle w:val="Hyperlink"/>
                  <w:rFonts w:cstheme="minorHAnsi"/>
                  <w:szCs w:val="22"/>
                </w:rPr>
                <w:t>SG2</w:t>
              </w:r>
              <w:r w:rsidR="0038362C">
                <w:rPr>
                  <w:rStyle w:val="Hyperlink"/>
                  <w:rFonts w:cstheme="minorHAnsi"/>
                  <w:szCs w:val="22"/>
                </w:rPr>
                <w:noBreakHyphen/>
              </w:r>
              <w:r w:rsidR="00E13253" w:rsidRPr="000517FA">
                <w:rPr>
                  <w:rStyle w:val="Hyperlink"/>
                  <w:rFonts w:cstheme="minorHAnsi"/>
                  <w:szCs w:val="22"/>
                </w:rPr>
                <w:t>TD367R5/PLEN</w:t>
              </w:r>
            </w:hyperlink>
            <w:r w:rsidR="00C13EBA" w:rsidRPr="00373720">
              <w:rPr>
                <w:lang w:val="es-ES"/>
              </w:rPr>
              <w:t xml:space="preserve"> </w:t>
            </w:r>
          </w:p>
        </w:tc>
      </w:tr>
      <w:tr w:rsidR="00C13EBA" w:rsidRPr="00F80ADC" w14:paraId="2BBBC853" w14:textId="77777777" w:rsidTr="00373720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0805" w14:textId="7D30A2CF" w:rsidR="00C13EBA" w:rsidRPr="00E13253" w:rsidRDefault="00E13253" w:rsidP="000A2148">
            <w:pPr>
              <w:pStyle w:val="Tabletext0"/>
              <w:jc w:val="center"/>
              <w:rPr>
                <w:rFonts w:cstheme="minorHAnsi"/>
                <w:szCs w:val="22"/>
                <w:lang w:val="fr-CH"/>
              </w:rPr>
            </w:pPr>
            <w:r w:rsidRPr="00E13253">
              <w:rPr>
                <w:rFonts w:cstheme="minorHAnsi"/>
                <w:szCs w:val="22"/>
                <w:lang w:val="fr-CH"/>
              </w:rPr>
              <w:t>UIT-T E.192</w:t>
            </w:r>
            <w:r w:rsidRPr="00E13253">
              <w:rPr>
                <w:rFonts w:cstheme="minorHAnsi"/>
                <w:szCs w:val="22"/>
                <w:lang w:val="fr-CH"/>
              </w:rPr>
              <w:br/>
              <w:t>(E.IoT-N</w:t>
            </w:r>
            <w:r>
              <w:rPr>
                <w:rFonts w:cstheme="minorHAnsi"/>
                <w:szCs w:val="22"/>
                <w:lang w:val="fr-CH"/>
              </w:rPr>
              <w:t>NAI)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6CC" w14:textId="62DC6127" w:rsidR="00C13EBA" w:rsidRPr="00F80ADC" w:rsidRDefault="00F80ADC" w:rsidP="000A2148">
            <w:pPr>
              <w:pStyle w:val="Tabletext0"/>
              <w:rPr>
                <w:lang w:val="es-ES"/>
              </w:rPr>
            </w:pPr>
            <w:r w:rsidRPr="00F80ADC">
              <w:t>Recursos de numeración, denominación, direccionamiento e identificación (NDDI) internacionales de telecomunicaciones para servicios/aplicaciones IoT/M2M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5AD" w14:textId="6D94BB99" w:rsidR="00C13EBA" w:rsidRPr="00F80ADC" w:rsidRDefault="00F80ADC" w:rsidP="006A1156">
            <w:pPr>
              <w:pStyle w:val="Tabletext0"/>
              <w:rPr>
                <w:rFonts w:cstheme="minorHAnsi"/>
                <w:szCs w:val="22"/>
                <w:lang w:val="es-ES"/>
              </w:rPr>
            </w:pPr>
            <w:r>
              <w:rPr>
                <w:rFonts w:cstheme="minorHAnsi"/>
                <w:szCs w:val="22"/>
                <w:lang w:val="es-ES"/>
              </w:rPr>
              <w:t xml:space="preserve">Aprobada, texto en </w:t>
            </w:r>
            <w:hyperlink r:id="rId16" w:history="1">
              <w:r w:rsidR="000942B6" w:rsidRPr="000517FA">
                <w:rPr>
                  <w:rStyle w:val="Hyperlink"/>
                  <w:rFonts w:cstheme="minorHAnsi"/>
                  <w:szCs w:val="22"/>
                </w:rPr>
                <w:t>SG2</w:t>
              </w:r>
              <w:r w:rsidR="0038362C">
                <w:rPr>
                  <w:rStyle w:val="Hyperlink"/>
                  <w:rFonts w:cstheme="minorHAnsi"/>
                  <w:szCs w:val="22"/>
                </w:rPr>
                <w:noBreakHyphen/>
              </w:r>
              <w:r w:rsidR="000942B6" w:rsidRPr="000517FA">
                <w:rPr>
                  <w:rStyle w:val="Hyperlink"/>
                  <w:rFonts w:cstheme="minorHAnsi"/>
                  <w:szCs w:val="22"/>
                </w:rPr>
                <w:t>TD368R2/PLEN</w:t>
              </w:r>
            </w:hyperlink>
          </w:p>
        </w:tc>
      </w:tr>
      <w:tr w:rsidR="00370ED1" w:rsidRPr="00F87124" w14:paraId="3DF5D3BC" w14:textId="77777777" w:rsidTr="00373720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D65" w14:textId="5F2E7FB8" w:rsidR="00370ED1" w:rsidRPr="008E2510" w:rsidRDefault="006A1156" w:rsidP="000A2148">
            <w:pPr>
              <w:pStyle w:val="Tabletext0"/>
              <w:jc w:val="center"/>
              <w:rPr>
                <w:lang w:val="fr-FR"/>
              </w:rPr>
            </w:pPr>
            <w:r w:rsidRPr="008E2510">
              <w:rPr>
                <w:lang w:val="fr-FR"/>
              </w:rPr>
              <w:t>UIT-T E.371 (E.dit)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6803" w14:textId="06B7E49C" w:rsidR="00370ED1" w:rsidRPr="006A1156" w:rsidRDefault="006A1156" w:rsidP="000A2148">
            <w:pPr>
              <w:pStyle w:val="Tabletext0"/>
              <w:rPr>
                <w:lang w:val="es-ES"/>
              </w:rPr>
            </w:pPr>
            <w:r w:rsidRPr="006A1156">
              <w:rPr>
                <w:lang w:val="es-ES"/>
              </w:rPr>
              <w:t>Tráfico considerado inadmisible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F708" w14:textId="78CA1B6B" w:rsidR="00370ED1" w:rsidRPr="006A1156" w:rsidRDefault="004542B1" w:rsidP="000A2148">
            <w:pPr>
              <w:pStyle w:val="Tabletext0"/>
              <w:rPr>
                <w:lang w:val="es-ES"/>
              </w:rPr>
            </w:pPr>
            <w:r>
              <w:rPr>
                <w:rFonts w:cstheme="minorHAnsi"/>
                <w:szCs w:val="22"/>
                <w:lang w:val="es-ES"/>
              </w:rPr>
              <w:t xml:space="preserve">Aprobada, texto en </w:t>
            </w:r>
            <w:hyperlink r:id="rId17" w:history="1">
              <w:r w:rsidR="00A262DC" w:rsidRPr="000517FA">
                <w:rPr>
                  <w:rStyle w:val="Hyperlink"/>
                  <w:rFonts w:cstheme="minorHAnsi"/>
                  <w:szCs w:val="22"/>
                </w:rPr>
                <w:t>SG2</w:t>
              </w:r>
              <w:r w:rsidR="0038362C">
                <w:rPr>
                  <w:rStyle w:val="Hyperlink"/>
                  <w:rFonts w:cstheme="minorHAnsi"/>
                  <w:szCs w:val="22"/>
                </w:rPr>
                <w:noBreakHyphen/>
              </w:r>
              <w:r w:rsidR="00A262DC" w:rsidRPr="000517FA">
                <w:rPr>
                  <w:rStyle w:val="Hyperlink"/>
                  <w:rFonts w:cstheme="minorHAnsi"/>
                  <w:szCs w:val="22"/>
                </w:rPr>
                <w:t>TD364R3/PLEN</w:t>
              </w:r>
            </w:hyperlink>
            <w:r>
              <w:rPr>
                <w:rFonts w:cstheme="minorHAnsi"/>
                <w:szCs w:val="22"/>
                <w:lang w:val="es-ES"/>
              </w:rPr>
              <w:br/>
            </w:r>
            <w:r>
              <w:rPr>
                <w:lang w:val="es-ES"/>
              </w:rPr>
              <w:t>Canadá y Estados Unidos formularon una reserva con arreglo al número</w:t>
            </w:r>
            <w:r w:rsidR="0038362C">
              <w:rPr>
                <w:lang w:val="es-ES"/>
              </w:rPr>
              <w:t> </w:t>
            </w:r>
            <w:r>
              <w:rPr>
                <w:lang w:val="es-ES"/>
              </w:rPr>
              <w:t>9.5.4 de la Resolución</w:t>
            </w:r>
            <w:r w:rsidR="0038362C">
              <w:rPr>
                <w:lang w:val="es-ES"/>
              </w:rPr>
              <w:t> </w:t>
            </w:r>
            <w:r>
              <w:rPr>
                <w:lang w:val="es-ES"/>
              </w:rPr>
              <w:t>1 de la AMNT.</w:t>
            </w:r>
          </w:p>
        </w:tc>
      </w:tr>
    </w:tbl>
    <w:p w14:paraId="1480E613" w14:textId="77777777" w:rsidR="008E2510" w:rsidRDefault="008E251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br w:type="page"/>
      </w:r>
    </w:p>
    <w:p w14:paraId="5C7F8CAA" w14:textId="1FBD4F1F" w:rsidR="00370ED1" w:rsidRPr="0038362C" w:rsidRDefault="00370ED1" w:rsidP="0038362C">
      <w:pPr>
        <w:spacing w:before="240"/>
        <w:rPr>
          <w:rFonts w:cstheme="minorHAnsi"/>
          <w:sz w:val="22"/>
          <w:szCs w:val="22"/>
          <w:lang w:val="es-ES"/>
        </w:rPr>
      </w:pPr>
      <w:r w:rsidRPr="0038362C">
        <w:rPr>
          <w:rFonts w:cstheme="minorHAnsi"/>
          <w:sz w:val="22"/>
          <w:szCs w:val="22"/>
          <w:lang w:val="es-ES"/>
        </w:rPr>
        <w:lastRenderedPageBreak/>
        <w:t>2</w:t>
      </w:r>
      <w:r w:rsidRPr="0038362C">
        <w:rPr>
          <w:rFonts w:cstheme="minorHAnsi"/>
          <w:sz w:val="22"/>
          <w:szCs w:val="22"/>
          <w:lang w:val="es-ES"/>
        </w:rPr>
        <w:tab/>
        <w:t xml:space="preserve">Puede acceder a la información sobre patentes disponible en línea a través del </w:t>
      </w:r>
      <w:hyperlink r:id="rId18" w:history="1">
        <w:r w:rsidRPr="0038362C">
          <w:rPr>
            <w:rStyle w:val="Hyperlink"/>
            <w:rFonts w:cstheme="minorHAnsi"/>
            <w:sz w:val="22"/>
            <w:szCs w:val="22"/>
            <w:lang w:val="es-ES"/>
          </w:rPr>
          <w:t>sitio web del UIT</w:t>
        </w:r>
        <w:r w:rsidR="008E2510" w:rsidRPr="0038362C">
          <w:rPr>
            <w:rStyle w:val="Hyperlink"/>
            <w:rFonts w:cstheme="minorHAnsi"/>
            <w:sz w:val="22"/>
            <w:szCs w:val="22"/>
            <w:lang w:val="es-ES"/>
          </w:rPr>
          <w:noBreakHyphen/>
        </w:r>
        <w:r w:rsidRPr="0038362C">
          <w:rPr>
            <w:rStyle w:val="Hyperlink"/>
            <w:rFonts w:cstheme="minorHAnsi"/>
            <w:sz w:val="22"/>
            <w:szCs w:val="22"/>
            <w:lang w:val="es-ES"/>
          </w:rPr>
          <w:t>T</w:t>
        </w:r>
      </w:hyperlink>
      <w:r w:rsidRPr="0038362C">
        <w:rPr>
          <w:rFonts w:cstheme="minorHAnsi"/>
          <w:sz w:val="22"/>
          <w:szCs w:val="22"/>
          <w:lang w:val="es-ES"/>
        </w:rPr>
        <w:t>.</w:t>
      </w:r>
    </w:p>
    <w:p w14:paraId="37360FB6" w14:textId="1715B26D" w:rsidR="00370ED1" w:rsidRPr="0038362C" w:rsidRDefault="00370ED1" w:rsidP="0038362C">
      <w:pPr>
        <w:widowControl w:val="0"/>
        <w:rPr>
          <w:rFonts w:cstheme="minorHAnsi"/>
          <w:sz w:val="22"/>
          <w:szCs w:val="22"/>
          <w:lang w:val="es-ES"/>
        </w:rPr>
      </w:pPr>
      <w:r w:rsidRPr="0038362C">
        <w:rPr>
          <w:rFonts w:cstheme="minorHAnsi"/>
          <w:sz w:val="22"/>
          <w:szCs w:val="22"/>
          <w:lang w:val="es-ES"/>
        </w:rPr>
        <w:t>3</w:t>
      </w:r>
      <w:r w:rsidRPr="0038362C">
        <w:rPr>
          <w:rFonts w:cstheme="minorHAnsi"/>
          <w:sz w:val="22"/>
          <w:szCs w:val="22"/>
          <w:lang w:val="es-ES"/>
        </w:rPr>
        <w:tab/>
        <w:t>El texto de las Recomendaciones prepublicadas pueden consultarse a través del sitio web del UIT</w:t>
      </w:r>
      <w:r w:rsidR="008E2510" w:rsidRPr="0038362C">
        <w:rPr>
          <w:rFonts w:cstheme="minorHAnsi"/>
          <w:sz w:val="22"/>
          <w:szCs w:val="22"/>
          <w:lang w:val="es-ES"/>
        </w:rPr>
        <w:noBreakHyphen/>
      </w:r>
      <w:r w:rsidRPr="0038362C">
        <w:rPr>
          <w:rFonts w:cstheme="minorHAnsi"/>
          <w:sz w:val="22"/>
          <w:szCs w:val="22"/>
          <w:lang w:val="es-ES"/>
        </w:rPr>
        <w:t xml:space="preserve">T en </w:t>
      </w:r>
      <w:hyperlink r:id="rId19" w:history="1">
        <w:r w:rsidRPr="0038362C">
          <w:rPr>
            <w:rStyle w:val="Hyperlink"/>
            <w:rFonts w:cstheme="minorHAnsi"/>
            <w:sz w:val="22"/>
            <w:szCs w:val="22"/>
            <w:lang w:val="es-ES"/>
          </w:rPr>
          <w:t>esta página</w:t>
        </w:r>
      </w:hyperlink>
      <w:r w:rsidRPr="0038362C">
        <w:rPr>
          <w:rFonts w:cstheme="minorHAnsi"/>
          <w:sz w:val="22"/>
          <w:szCs w:val="22"/>
          <w:lang w:val="es-ES"/>
        </w:rPr>
        <w:t>.</w:t>
      </w:r>
    </w:p>
    <w:p w14:paraId="32A1100A" w14:textId="30058BB1" w:rsidR="00370ED1" w:rsidRPr="0038362C" w:rsidRDefault="00370ED1" w:rsidP="0038362C">
      <w:pPr>
        <w:widowControl w:val="0"/>
        <w:rPr>
          <w:sz w:val="22"/>
          <w:szCs w:val="22"/>
        </w:rPr>
      </w:pPr>
      <w:r w:rsidRPr="0038362C">
        <w:rPr>
          <w:rFonts w:cstheme="minorHAnsi"/>
          <w:sz w:val="22"/>
          <w:szCs w:val="22"/>
          <w:lang w:val="es-ES"/>
        </w:rPr>
        <w:t>4</w:t>
      </w:r>
      <w:r w:rsidRPr="0038362C">
        <w:rPr>
          <w:rFonts w:cstheme="minorHAnsi"/>
          <w:sz w:val="22"/>
          <w:szCs w:val="22"/>
          <w:lang w:val="es-ES"/>
        </w:rPr>
        <w:tab/>
        <w:t>La UIT publicará el texto de las Recomendaciones aprobadas a la mayor brevedad.</w:t>
      </w:r>
    </w:p>
    <w:p w14:paraId="671C986C" w14:textId="77777777" w:rsidR="0038362C" w:rsidRDefault="007B6316" w:rsidP="0038362C">
      <w:pPr>
        <w:widowControl w:val="0"/>
        <w:rPr>
          <w:sz w:val="22"/>
          <w:szCs w:val="22"/>
        </w:rPr>
      </w:pPr>
      <w:r w:rsidRPr="0038362C">
        <w:rPr>
          <w:sz w:val="22"/>
          <w:szCs w:val="22"/>
        </w:rPr>
        <w:t>Atentamente,</w:t>
      </w:r>
    </w:p>
    <w:p w14:paraId="5EF4C8CA" w14:textId="6D86DDD8" w:rsidR="0038362C" w:rsidRDefault="0038362C" w:rsidP="0038362C">
      <w:pPr>
        <w:widowControl w:val="0"/>
        <w:spacing w:before="480" w:after="480"/>
        <w:rPr>
          <w:sz w:val="22"/>
          <w:szCs w:val="22"/>
        </w:rPr>
      </w:pPr>
      <w:r>
        <w:rPr>
          <w:sz w:val="22"/>
          <w:szCs w:val="22"/>
        </w:rPr>
        <w:t>(</w:t>
      </w:r>
      <w:r w:rsidRPr="0038362C">
        <w:rPr>
          <w:i/>
          <w:iCs/>
          <w:sz w:val="22"/>
          <w:szCs w:val="22"/>
        </w:rPr>
        <w:t>firmado</w:t>
      </w:r>
      <w:r>
        <w:rPr>
          <w:sz w:val="22"/>
          <w:szCs w:val="22"/>
        </w:rPr>
        <w:t>)</w:t>
      </w:r>
    </w:p>
    <w:p w14:paraId="2F4C0A40" w14:textId="41D33714" w:rsidR="007B6316" w:rsidRPr="006B2C29" w:rsidRDefault="007B6316" w:rsidP="0038362C">
      <w:pPr>
        <w:widowControl w:val="0"/>
        <w:rPr>
          <w:sz w:val="22"/>
          <w:szCs w:val="22"/>
        </w:rPr>
      </w:pPr>
      <w:r w:rsidRPr="006B2C29">
        <w:rPr>
          <w:sz w:val="22"/>
          <w:szCs w:val="22"/>
        </w:rPr>
        <w:t>Director de la Oficina de</w:t>
      </w:r>
      <w:r w:rsidRPr="006B2C29">
        <w:rPr>
          <w:sz w:val="22"/>
          <w:szCs w:val="22"/>
        </w:rPr>
        <w:br/>
        <w:t>Normalización de las Telecomunicaciones</w:t>
      </w:r>
    </w:p>
    <w:sectPr w:rsidR="007B6316" w:rsidRPr="006B2C29" w:rsidSect="006B2C29">
      <w:headerReference w:type="default" r:id="rId20"/>
      <w:footerReference w:type="first" r:id="rId21"/>
      <w:pgSz w:w="11907" w:h="16840" w:code="9"/>
      <w:pgMar w:top="720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482D" w14:textId="77777777" w:rsidR="00227073" w:rsidRDefault="00227073">
      <w:r>
        <w:separator/>
      </w:r>
    </w:p>
  </w:endnote>
  <w:endnote w:type="continuationSeparator" w:id="0">
    <w:p w14:paraId="30D6341C" w14:textId="77777777" w:rsidR="00227073" w:rsidRDefault="0022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B789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CD95" w14:textId="77777777" w:rsidR="00227073" w:rsidRDefault="00227073">
      <w:r>
        <w:t>____________________</w:t>
      </w:r>
    </w:p>
  </w:footnote>
  <w:footnote w:type="continuationSeparator" w:id="0">
    <w:p w14:paraId="3311438F" w14:textId="77777777" w:rsidR="00227073" w:rsidRDefault="0022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F585" w14:textId="3363001A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7807B2C5" w14:textId="14B10132" w:rsidR="000A2148" w:rsidRPr="00303D62" w:rsidRDefault="000A2148" w:rsidP="0038362C">
    <w:pPr>
      <w:pStyle w:val="Header"/>
      <w:spacing w:after="240"/>
      <w:rPr>
        <w:sz w:val="18"/>
        <w:szCs w:val="18"/>
      </w:rPr>
    </w:pPr>
    <w:r>
      <w:rPr>
        <w:rStyle w:val="PageNumber"/>
        <w:sz w:val="18"/>
        <w:szCs w:val="18"/>
      </w:rPr>
      <w:t xml:space="preserve">Circular TSB </w:t>
    </w:r>
    <w:r w:rsidR="009C0CD7">
      <w:rPr>
        <w:rStyle w:val="PageNumber"/>
        <w:sz w:val="18"/>
        <w:szCs w:val="18"/>
      </w:rPr>
      <w:t>118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D1"/>
    <w:rsid w:val="00002529"/>
    <w:rsid w:val="00014913"/>
    <w:rsid w:val="00031CA2"/>
    <w:rsid w:val="00085662"/>
    <w:rsid w:val="00086939"/>
    <w:rsid w:val="000942B6"/>
    <w:rsid w:val="000A2148"/>
    <w:rsid w:val="000C382F"/>
    <w:rsid w:val="000E1D6F"/>
    <w:rsid w:val="000E5327"/>
    <w:rsid w:val="001173CC"/>
    <w:rsid w:val="001350B9"/>
    <w:rsid w:val="0014464D"/>
    <w:rsid w:val="001A54CC"/>
    <w:rsid w:val="00227073"/>
    <w:rsid w:val="00244AE8"/>
    <w:rsid w:val="00257FB4"/>
    <w:rsid w:val="002E496E"/>
    <w:rsid w:val="00303D62"/>
    <w:rsid w:val="00335367"/>
    <w:rsid w:val="00370C2D"/>
    <w:rsid w:val="00370ED1"/>
    <w:rsid w:val="00373720"/>
    <w:rsid w:val="0038362C"/>
    <w:rsid w:val="003A6085"/>
    <w:rsid w:val="003D1E8D"/>
    <w:rsid w:val="003D673B"/>
    <w:rsid w:val="003F2855"/>
    <w:rsid w:val="00401C20"/>
    <w:rsid w:val="004542B1"/>
    <w:rsid w:val="004A7957"/>
    <w:rsid w:val="004C4144"/>
    <w:rsid w:val="0055719E"/>
    <w:rsid w:val="0058676C"/>
    <w:rsid w:val="006969B4"/>
    <w:rsid w:val="006A1156"/>
    <w:rsid w:val="006B2C29"/>
    <w:rsid w:val="006E4F7B"/>
    <w:rsid w:val="00730C0B"/>
    <w:rsid w:val="00781E2A"/>
    <w:rsid w:val="007933A2"/>
    <w:rsid w:val="007A634A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8E2510"/>
    <w:rsid w:val="0091370C"/>
    <w:rsid w:val="0095172A"/>
    <w:rsid w:val="009A0BA0"/>
    <w:rsid w:val="009C0CD7"/>
    <w:rsid w:val="00A262DC"/>
    <w:rsid w:val="00A54E47"/>
    <w:rsid w:val="00AB6E3A"/>
    <w:rsid w:val="00AE7093"/>
    <w:rsid w:val="00B352B7"/>
    <w:rsid w:val="00B422BC"/>
    <w:rsid w:val="00B43F77"/>
    <w:rsid w:val="00B55A3E"/>
    <w:rsid w:val="00B628FC"/>
    <w:rsid w:val="00B87E9E"/>
    <w:rsid w:val="00B95F0A"/>
    <w:rsid w:val="00B96180"/>
    <w:rsid w:val="00BB5447"/>
    <w:rsid w:val="00C116FE"/>
    <w:rsid w:val="00C13EBA"/>
    <w:rsid w:val="00C17AC0"/>
    <w:rsid w:val="00C311E6"/>
    <w:rsid w:val="00C34772"/>
    <w:rsid w:val="00C5465A"/>
    <w:rsid w:val="00D00B22"/>
    <w:rsid w:val="00D54642"/>
    <w:rsid w:val="00D834E7"/>
    <w:rsid w:val="00DD77C9"/>
    <w:rsid w:val="00DF3538"/>
    <w:rsid w:val="00DF6C56"/>
    <w:rsid w:val="00E13253"/>
    <w:rsid w:val="00E40B37"/>
    <w:rsid w:val="00E80DFB"/>
    <w:rsid w:val="00E839B0"/>
    <w:rsid w:val="00E92C09"/>
    <w:rsid w:val="00F14380"/>
    <w:rsid w:val="00F6461F"/>
    <w:rsid w:val="00F80ADC"/>
    <w:rsid w:val="00FC3686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FA423"/>
  <w15:docId w15:val="{7E35AD44-6561-4AE8-B293-FFE785F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E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720"/>
    <w:pPr>
      <w:ind w:left="720"/>
      <w:contextualSpacing/>
    </w:pPr>
  </w:style>
  <w:style w:type="paragraph" w:styleId="Revision">
    <w:name w:val="Revision"/>
    <w:hidden/>
    <w:uiPriority w:val="99"/>
    <w:semiHidden/>
    <w:rsid w:val="004542B1"/>
    <w:rPr>
      <w:rFonts w:asciiTheme="minorHAnsi" w:hAnsiTheme="minorHAns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72/es" TargetMode="External"/><Relationship Id="rId18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md/meetingdoc.asp?lang=en&amp;parent=T25-SG02-260204-TD-PLEN-03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02-260204-TD-PLEN-0368/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5-SG02-260204-TD-PLEN-036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260204-TD-PLEN-0366/e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2" ma:contentTypeDescription="Create a new document." ma:contentTypeScope="" ma:versionID="1114ebe56e58edcb078b046ab899b12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1dfd8f69f9d77d1077d6c671af6d0b7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3673-D37B-41AF-880E-CBB5EF42D72E}"/>
</file>

<file path=customXml/itemProps2.xml><?xml version="1.0" encoding="utf-8"?>
<ds:datastoreItem xmlns:ds="http://schemas.openxmlformats.org/officeDocument/2006/customXml" ds:itemID="{674D1331-A6D2-44FD-BEB9-3167A1163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F1132-20E2-485F-AB94-D9DDA969C301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bbce149-ba0e-4c7d-b138-75737535ebd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c530d05-483b-4fd2-bcc9-ba5292dbeb4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2</Pages>
  <Words>390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UNIÓN INTERNACIONAL DE TELECOMUNICACIONES</vt:lpstr>
      <vt:lpstr>UNIÓN INTERNACIONAL DE TELECOMUNICACIONES</vt:lpstr>
    </vt:vector>
  </TitlesOfParts>
  <Company>ITU</Company>
  <LinksUpToDate>false</LinksUpToDate>
  <CharactersWithSpaces>3129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2</cp:revision>
  <cp:lastPrinted>2025-02-25T09:49:00Z</cp:lastPrinted>
  <dcterms:created xsi:type="dcterms:W3CDTF">2026-02-23T08:52:00Z</dcterms:created>
  <dcterms:modified xsi:type="dcterms:W3CDTF">2026-02-23T08:52:00Z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MediaServiceImageTags">
    <vt:lpwstr/>
  </property>
</Properties>
</file>