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6A326BE3" w14:textId="77777777" w:rsidTr="00D517B2">
        <w:trPr>
          <w:cantSplit/>
          <w:trHeight w:val="1134"/>
        </w:trPr>
        <w:tc>
          <w:tcPr>
            <w:tcW w:w="798" w:type="pct"/>
          </w:tcPr>
          <w:p w14:paraId="5D0016DD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  <w:lang w:eastAsia="en-US"/>
              </w:rPr>
              <w:drawing>
                <wp:inline distT="0" distB="0" distL="0" distR="0" wp14:anchorId="26129836" wp14:editId="326626D6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677A1717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51D4C265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49005555" w14:textId="77777777" w:rsidTr="001E2788">
        <w:trPr>
          <w:cantSplit/>
          <w:jc w:val="center"/>
        </w:trPr>
        <w:tc>
          <w:tcPr>
            <w:tcW w:w="810" w:type="pct"/>
          </w:tcPr>
          <w:p w14:paraId="2B61E372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655F492E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13874F77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758A98A9" w14:textId="77777777" w:rsidTr="001E2788">
        <w:trPr>
          <w:cantSplit/>
          <w:jc w:val="center"/>
        </w:trPr>
        <w:tc>
          <w:tcPr>
            <w:tcW w:w="810" w:type="pct"/>
          </w:tcPr>
          <w:p w14:paraId="2CD67433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3A348598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0BF5F37C" w14:textId="77777777" w:rsidR="00D517B2" w:rsidRPr="00D517B2" w:rsidRDefault="00873469" w:rsidP="000200B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0200B6">
              <w:rPr>
                <w:position w:val="2"/>
              </w:rPr>
              <w:t>20</w:t>
            </w:r>
            <w:r w:rsidR="000200B6">
              <w:rPr>
                <w:rFonts w:hint="cs"/>
                <w:position w:val="2"/>
                <w:rtl/>
                <w:lang w:bidi="ar-EG"/>
              </w:rPr>
              <w:t xml:space="preserve"> فبراير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0200B6">
              <w:rPr>
                <w:position w:val="2"/>
              </w:rPr>
              <w:t>2026</w:t>
            </w:r>
          </w:p>
        </w:tc>
      </w:tr>
      <w:tr w:rsidR="00372F67" w:rsidRPr="00D517B2" w14:paraId="3FE48547" w14:textId="77777777" w:rsidTr="001E2788">
        <w:trPr>
          <w:cantSplit/>
          <w:jc w:val="center"/>
        </w:trPr>
        <w:tc>
          <w:tcPr>
            <w:tcW w:w="810" w:type="pct"/>
          </w:tcPr>
          <w:p w14:paraId="610F8992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2C1DA1BF" w14:textId="77777777" w:rsidR="00372F67" w:rsidRPr="00D517B2" w:rsidRDefault="00372F67" w:rsidP="000200B6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D517B2">
              <w:rPr>
                <w:b/>
                <w:position w:val="2"/>
              </w:rPr>
              <w:t>TSB </w:t>
            </w:r>
            <w:r>
              <w:rPr>
                <w:b/>
                <w:position w:val="2"/>
              </w:rPr>
              <w:t>Circular</w:t>
            </w:r>
            <w:r w:rsidRPr="00D517B2">
              <w:rPr>
                <w:b/>
                <w:position w:val="2"/>
              </w:rPr>
              <w:t xml:space="preserve"> </w:t>
            </w:r>
            <w:r w:rsidR="000200B6">
              <w:rPr>
                <w:b/>
                <w:position w:val="2"/>
              </w:rPr>
              <w:t>118</w:t>
            </w:r>
            <w:r>
              <w:rPr>
                <w:b/>
                <w:position w:val="2"/>
              </w:rPr>
              <w:br/>
            </w:r>
            <w:r w:rsidR="000200B6" w:rsidRPr="00B151C4">
              <w:t>SG2/MCB</w:t>
            </w:r>
          </w:p>
        </w:tc>
        <w:tc>
          <w:tcPr>
            <w:tcW w:w="2206" w:type="pct"/>
            <w:vMerge w:val="restart"/>
          </w:tcPr>
          <w:p w14:paraId="07D2F1F5" w14:textId="77777777" w:rsidR="00372F67" w:rsidRPr="00FD03F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FD03F2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4299081D" w14:textId="77777777" w:rsidR="00372F67" w:rsidRPr="00FD03F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</w:rPr>
            </w:pPr>
            <w:r w:rsidRPr="00FD03F2">
              <w:rPr>
                <w:rFonts w:hint="cs"/>
                <w:position w:val="2"/>
                <w:rtl/>
              </w:rPr>
              <w:t>-</w:t>
            </w:r>
            <w:r w:rsidRPr="00FD03F2">
              <w:rPr>
                <w:position w:val="2"/>
                <w:rtl/>
              </w:rPr>
              <w:tab/>
            </w:r>
            <w:r w:rsidRPr="00FD03F2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03D91EA6" w14:textId="77777777" w:rsidR="00FD03F2" w:rsidRPr="00FD03F2" w:rsidRDefault="00FD03F2" w:rsidP="00FD03F2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</w:rPr>
            </w:pPr>
            <w:r w:rsidRPr="00FD03F2">
              <w:rPr>
                <w:rFonts w:hint="cs"/>
                <w:position w:val="2"/>
                <w:rtl/>
              </w:rPr>
              <w:t>-</w:t>
            </w:r>
            <w:r w:rsidRPr="00FD03F2">
              <w:rPr>
                <w:position w:val="2"/>
                <w:rtl/>
              </w:rPr>
              <w:tab/>
            </w:r>
            <w:r w:rsidRPr="00FD03F2">
              <w:rPr>
                <w:color w:val="000000"/>
                <w:rtl/>
              </w:rPr>
              <w:t xml:space="preserve">دولة فلسطين </w:t>
            </w:r>
            <w:r w:rsidRPr="00FD03F2">
              <w:rPr>
                <w:rFonts w:hint="cs"/>
                <w:color w:val="000000"/>
                <w:rtl/>
              </w:rPr>
              <w:t>(</w:t>
            </w:r>
            <w:r w:rsidRPr="00FD03F2">
              <w:rPr>
                <w:color w:val="000000"/>
                <w:rtl/>
              </w:rPr>
              <w:t>القرار 99 (المراجَع في دبي، 2018))</w:t>
            </w:r>
          </w:p>
          <w:p w14:paraId="3B797F2D" w14:textId="77777777" w:rsidR="00FD03F2" w:rsidRPr="00FD03F2" w:rsidRDefault="00FD03F2" w:rsidP="00FD03F2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b/>
                <w:bCs/>
                <w:position w:val="2"/>
                <w:rtl/>
              </w:rPr>
            </w:pPr>
            <w:r w:rsidRPr="00FD03F2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3F10B604" w14:textId="77777777" w:rsidR="00372F67" w:rsidRPr="00FD03F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FD03F2">
              <w:rPr>
                <w:rFonts w:hint="cs"/>
                <w:position w:val="2"/>
                <w:rtl/>
              </w:rPr>
              <w:t>-</w:t>
            </w:r>
            <w:r w:rsidRPr="00FD03F2">
              <w:rPr>
                <w:position w:val="2"/>
                <w:rtl/>
              </w:rPr>
              <w:tab/>
            </w:r>
            <w:r w:rsidRPr="00FD03F2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7F239B07" w14:textId="600C8B84" w:rsidR="00372F67" w:rsidRPr="00FD03F2" w:rsidRDefault="00372F67" w:rsidP="0087512C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FD03F2">
              <w:rPr>
                <w:rFonts w:hint="cs"/>
                <w:position w:val="2"/>
                <w:rtl/>
              </w:rPr>
              <w:t>-</w:t>
            </w:r>
            <w:r w:rsidRPr="00FD03F2">
              <w:rPr>
                <w:position w:val="2"/>
                <w:rtl/>
              </w:rPr>
              <w:tab/>
            </w:r>
            <w:r w:rsidR="0087512C" w:rsidRPr="0087512C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="0087512C" w:rsidRPr="0087512C">
              <w:rPr>
                <w:position w:val="2"/>
                <w:rtl/>
              </w:rPr>
              <w:t>المنتسبين إلى قطاع تقييس الاتصالات المشاركين في أعمال لجنة الدراسات</w:t>
            </w:r>
            <w:r w:rsidR="0087512C" w:rsidRPr="0087512C">
              <w:rPr>
                <w:rFonts w:hint="cs"/>
                <w:position w:val="2"/>
                <w:rtl/>
              </w:rPr>
              <w:t xml:space="preserve"> </w:t>
            </w:r>
            <w:r w:rsidR="0087512C">
              <w:rPr>
                <w:rFonts w:hint="cs"/>
                <w:position w:val="2"/>
                <w:rtl/>
              </w:rPr>
              <w:t>2</w:t>
            </w:r>
            <w:r w:rsidRPr="00FD03F2">
              <w:rPr>
                <w:rFonts w:hint="cs"/>
                <w:position w:val="2"/>
                <w:rtl/>
              </w:rPr>
              <w:t>؛</w:t>
            </w:r>
          </w:p>
          <w:p w14:paraId="13FF6B1C" w14:textId="77777777" w:rsidR="00372F67" w:rsidRPr="00FD03F2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FD03F2">
              <w:rPr>
                <w:rFonts w:hint="cs"/>
                <w:position w:val="2"/>
                <w:rtl/>
              </w:rPr>
              <w:t>-</w:t>
            </w:r>
            <w:r w:rsidRPr="00FD03F2">
              <w:rPr>
                <w:position w:val="2"/>
                <w:rtl/>
              </w:rPr>
              <w:tab/>
            </w:r>
            <w:r w:rsidRPr="00FD03F2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FD03F2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  <w:r w:rsidR="000303BE">
              <w:rPr>
                <w:rFonts w:hint="cs"/>
                <w:position w:val="2"/>
                <w:rtl/>
                <w:lang w:bidi="ar-EG"/>
              </w:rPr>
              <w:t>؛</w:t>
            </w:r>
          </w:p>
          <w:p w14:paraId="48BCC58C" w14:textId="6A70937D" w:rsidR="00372F67" w:rsidRPr="00FD03F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FD03F2">
              <w:rPr>
                <w:rFonts w:hint="cs"/>
                <w:position w:val="2"/>
                <w:rtl/>
              </w:rPr>
              <w:t>-</w:t>
            </w:r>
            <w:r w:rsidRPr="00FD03F2">
              <w:rPr>
                <w:position w:val="2"/>
                <w:rtl/>
              </w:rPr>
              <w:tab/>
            </w:r>
            <w:r w:rsidR="0087512C">
              <w:rPr>
                <w:rFonts w:eastAsia="Times New Roman" w:hint="cs"/>
                <w:position w:val="2"/>
                <w:rtl/>
                <w:lang w:eastAsia="en-US"/>
              </w:rPr>
              <w:t xml:space="preserve">رئيس لجنة </w:t>
            </w:r>
            <w:r w:rsidRPr="00FD03F2">
              <w:rPr>
                <w:rFonts w:eastAsia="Times New Roman" w:hint="cs"/>
                <w:position w:val="2"/>
                <w:rtl/>
                <w:lang w:eastAsia="en-US"/>
              </w:rPr>
              <w:t>الدراسات</w:t>
            </w:r>
            <w:r w:rsidRPr="00FD03F2">
              <w:rPr>
                <w:rFonts w:eastAsia="Times New Roman" w:hint="cs"/>
                <w:position w:val="2"/>
                <w:rtl/>
                <w:lang w:eastAsia="en-US" w:bidi="ar-EG"/>
              </w:rPr>
              <w:t xml:space="preserve"> </w:t>
            </w:r>
            <w:r w:rsidR="0087512C">
              <w:rPr>
                <w:rFonts w:eastAsia="Times New Roman" w:hint="cs"/>
                <w:position w:val="2"/>
                <w:rtl/>
                <w:lang w:eastAsia="en-US" w:bidi="ar-EG"/>
              </w:rPr>
              <w:t xml:space="preserve">2 لقطاع تقييس الاتصالات </w:t>
            </w:r>
            <w:r w:rsidRPr="00FD03F2">
              <w:rPr>
                <w:rFonts w:eastAsia="Times New Roman" w:hint="cs"/>
                <w:position w:val="2"/>
                <w:rtl/>
                <w:lang w:eastAsia="en-US" w:bidi="ar-EG"/>
              </w:rPr>
              <w:t>ونوابه</w:t>
            </w:r>
            <w:r w:rsidRPr="00FD03F2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0CF3646E" w14:textId="77777777" w:rsidR="00372F67" w:rsidRPr="00FD03F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FD03F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FD03F2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FD03F2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706077E5" w14:textId="77777777" w:rsidR="00372F67" w:rsidRPr="00FD03F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  <w:r w:rsidRPr="00FD03F2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FD03F2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7FD7A419" w14:textId="77777777" w:rsidTr="001E2788">
        <w:trPr>
          <w:cantSplit/>
          <w:jc w:val="center"/>
        </w:trPr>
        <w:tc>
          <w:tcPr>
            <w:tcW w:w="810" w:type="pct"/>
          </w:tcPr>
          <w:p w14:paraId="3CD9BCA6" w14:textId="77777777" w:rsidR="00372F67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08270D91" w14:textId="77777777" w:rsidR="00372F67" w:rsidRPr="008A42B1" w:rsidRDefault="00B151C4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8A42B1">
              <w:t>+41 22 730 5901</w:t>
            </w:r>
          </w:p>
        </w:tc>
        <w:tc>
          <w:tcPr>
            <w:tcW w:w="2206" w:type="pct"/>
            <w:vMerge/>
          </w:tcPr>
          <w:p w14:paraId="5D401E4F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61266B0A" w14:textId="77777777" w:rsidTr="001E2788">
        <w:trPr>
          <w:cantSplit/>
          <w:jc w:val="center"/>
        </w:trPr>
        <w:tc>
          <w:tcPr>
            <w:tcW w:w="810" w:type="pct"/>
          </w:tcPr>
          <w:p w14:paraId="0EBF4666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5AFC7F82" w14:textId="77777777" w:rsidR="00372F67" w:rsidRPr="008A42B1" w:rsidRDefault="008A42B1" w:rsidP="00D517B2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8A42B1">
              <w:t>+41 22 730 5853</w:t>
            </w:r>
          </w:p>
        </w:tc>
        <w:tc>
          <w:tcPr>
            <w:tcW w:w="2206" w:type="pct"/>
            <w:vMerge/>
          </w:tcPr>
          <w:p w14:paraId="23B490DE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7C621AC5" w14:textId="77777777" w:rsidTr="001E2788">
        <w:trPr>
          <w:cantSplit/>
          <w:jc w:val="center"/>
        </w:trPr>
        <w:tc>
          <w:tcPr>
            <w:tcW w:w="810" w:type="pct"/>
          </w:tcPr>
          <w:p w14:paraId="19E54909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0C2F8F0D" w14:textId="77777777" w:rsidR="00372F67" w:rsidRPr="008A42B1" w:rsidRDefault="00ED6CC8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="008A42B1" w:rsidRPr="008A42B1">
                <w:rPr>
                  <w:rStyle w:val="Hyperlink"/>
                </w:rPr>
                <w:t>tsbsg2@itu.int</w:t>
              </w:r>
            </w:hyperlink>
          </w:p>
        </w:tc>
        <w:tc>
          <w:tcPr>
            <w:tcW w:w="2206" w:type="pct"/>
            <w:vMerge/>
          </w:tcPr>
          <w:p w14:paraId="178FA2B8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20336E57" w14:textId="77777777" w:rsidTr="001E2788">
        <w:trPr>
          <w:cantSplit/>
          <w:jc w:val="center"/>
        </w:trPr>
        <w:tc>
          <w:tcPr>
            <w:tcW w:w="810" w:type="pct"/>
          </w:tcPr>
          <w:p w14:paraId="5AAA0508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478FDB59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74DEBE32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CB48FB6" w14:textId="77777777" w:rsidTr="001E2788">
        <w:trPr>
          <w:cantSplit/>
          <w:jc w:val="center"/>
        </w:trPr>
        <w:tc>
          <w:tcPr>
            <w:tcW w:w="810" w:type="pct"/>
          </w:tcPr>
          <w:p w14:paraId="701CC1EA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1A4824B2" w14:textId="77777777" w:rsidR="00CE1C08" w:rsidRPr="00D517B2" w:rsidRDefault="00F15711" w:rsidP="00DB1E14">
            <w:pPr>
              <w:spacing w:before="80" w:after="60" w:line="300" w:lineRule="exact"/>
              <w:rPr>
                <w:position w:val="2"/>
                <w:rtl/>
              </w:rPr>
            </w:pPr>
            <w:r w:rsidRPr="002B220B">
              <w:rPr>
                <w:b/>
                <w:bCs/>
                <w:position w:val="2"/>
                <w:rtl/>
              </w:rPr>
              <w:t xml:space="preserve">حالة </w:t>
            </w:r>
            <w:r w:rsidRPr="002B220B">
              <w:rPr>
                <w:b/>
                <w:bCs/>
                <w:position w:val="2"/>
                <w:rtl/>
                <w:lang w:bidi="ar-EG"/>
              </w:rPr>
              <w:t>مشروع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ي</w:t>
            </w:r>
            <w:r w:rsidRPr="002B220B">
              <w:rPr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مراجعة </w:t>
            </w:r>
            <w:r w:rsidRPr="002B220B">
              <w:rPr>
                <w:b/>
                <w:bCs/>
                <w:position w:val="2"/>
                <w:rtl/>
              </w:rPr>
              <w:t xml:space="preserve">التوصيتين المحددتين </w:t>
            </w:r>
            <w:r w:rsidRPr="002B220B">
              <w:rPr>
                <w:b/>
                <w:bCs/>
                <w:position w:val="2"/>
              </w:rPr>
              <w:t>ITU-T E.164</w:t>
            </w:r>
            <w:r w:rsidRPr="002B220B">
              <w:rPr>
                <w:b/>
                <w:bCs/>
                <w:position w:val="2"/>
                <w:rtl/>
              </w:rPr>
              <w:t xml:space="preserve"> و</w:t>
            </w:r>
            <w:r w:rsidRPr="00275E6F">
              <w:rPr>
                <w:b/>
                <w:bCs/>
                <w:position w:val="2"/>
              </w:rPr>
              <w:t>ITU-T E.164.1</w:t>
            </w:r>
            <w:r w:rsidRPr="00275E6F">
              <w:rPr>
                <w:b/>
                <w:bCs/>
                <w:position w:val="2"/>
                <w:rtl/>
              </w:rPr>
              <w:t xml:space="preserve"> ومشروع</w:t>
            </w:r>
            <w:r>
              <w:rPr>
                <w:rFonts w:hint="cs"/>
                <w:b/>
                <w:bCs/>
                <w:position w:val="2"/>
                <w:rtl/>
              </w:rPr>
              <w:t>ي</w:t>
            </w:r>
            <w:r w:rsidRPr="00275E6F">
              <w:rPr>
                <w:b/>
                <w:bCs/>
                <w:position w:val="2"/>
                <w:rtl/>
              </w:rPr>
              <w:t xml:space="preserve"> التوصي</w:t>
            </w:r>
            <w:r w:rsidRPr="002B220B">
              <w:rPr>
                <w:b/>
                <w:bCs/>
                <w:position w:val="2"/>
                <w:rtl/>
              </w:rPr>
              <w:t>ت</w:t>
            </w:r>
            <w:r>
              <w:rPr>
                <w:rFonts w:hint="cs"/>
                <w:b/>
                <w:bCs/>
                <w:position w:val="2"/>
                <w:rtl/>
              </w:rPr>
              <w:t>ي</w:t>
            </w:r>
            <w:r w:rsidRPr="002B220B">
              <w:rPr>
                <w:b/>
                <w:bCs/>
                <w:position w:val="2"/>
                <w:rtl/>
              </w:rPr>
              <w:t xml:space="preserve">ن الجديدتين </w:t>
            </w:r>
            <w:r w:rsidRPr="006D2F66">
              <w:rPr>
                <w:b/>
                <w:bCs/>
                <w:position w:val="2"/>
              </w:rPr>
              <w:t>ITU-T E.192 (</w:t>
            </w:r>
            <w:proofErr w:type="spellStart"/>
            <w:r w:rsidRPr="006D2F66">
              <w:rPr>
                <w:b/>
                <w:bCs/>
                <w:position w:val="2"/>
              </w:rPr>
              <w:t>E.IoT</w:t>
            </w:r>
            <w:proofErr w:type="spellEnd"/>
            <w:r w:rsidRPr="006D2F66">
              <w:rPr>
                <w:b/>
                <w:bCs/>
                <w:position w:val="2"/>
              </w:rPr>
              <w:t>-NNAI)</w:t>
            </w:r>
            <w:r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="00DB1E14" w:rsidRPr="00B558D2">
              <w:rPr>
                <w:b/>
              </w:rPr>
              <w:t xml:space="preserve">ITU-T </w:t>
            </w:r>
            <w:r w:rsidR="00DB1E14">
              <w:rPr>
                <w:b/>
              </w:rPr>
              <w:t>E.371</w:t>
            </w:r>
            <w:r w:rsidR="00DB1E14" w:rsidRPr="00B558D2">
              <w:rPr>
                <w:b/>
              </w:rPr>
              <w:t xml:space="preserve"> (</w:t>
            </w:r>
            <w:proofErr w:type="spellStart"/>
            <w:r w:rsidR="00DB1E14">
              <w:rPr>
                <w:b/>
              </w:rPr>
              <w:t>E.dit</w:t>
            </w:r>
            <w:proofErr w:type="spellEnd"/>
            <w:r w:rsidR="00DB1E14" w:rsidRPr="00B558D2">
              <w:rPr>
                <w:b/>
              </w:rPr>
              <w:t>)</w:t>
            </w:r>
            <w:r w:rsidRPr="002B220B">
              <w:rPr>
                <w:b/>
                <w:bCs/>
                <w:position w:val="2"/>
                <w:rtl/>
              </w:rPr>
              <w:t>، بعد اجتماع لجنة الدراسات 2 بقطاع تقييس الاتصالات (</w:t>
            </w:r>
            <w:r>
              <w:rPr>
                <w:rFonts w:hint="cs"/>
                <w:b/>
                <w:bCs/>
                <w:position w:val="2"/>
                <w:rtl/>
              </w:rPr>
              <w:t>4-13 فبراير 2026</w:t>
            </w:r>
            <w:r w:rsidRPr="002B220B">
              <w:rPr>
                <w:b/>
                <w:bCs/>
                <w:position w:val="2"/>
                <w:rtl/>
              </w:rPr>
              <w:t>)</w:t>
            </w:r>
          </w:p>
        </w:tc>
      </w:tr>
    </w:tbl>
    <w:p w14:paraId="15FA2B29" w14:textId="77777777" w:rsidR="00D517B2" w:rsidRPr="00D517B2" w:rsidRDefault="00D517B2" w:rsidP="006635B2">
      <w:pPr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395688E7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47CEEAEC" w14:textId="64ACD88A" w:rsidR="00F15711" w:rsidRPr="005A6A66" w:rsidRDefault="00F15711" w:rsidP="0087512C">
      <w:pPr>
        <w:rPr>
          <w:rtl/>
          <w:lang w:val="ar-SA"/>
        </w:rPr>
      </w:pPr>
      <w:r w:rsidRPr="005A6A66">
        <w:t>1</w:t>
      </w:r>
      <w:r w:rsidRPr="005A6A66">
        <w:rPr>
          <w:rtl/>
        </w:rPr>
        <w:tab/>
        <w:t>إلحاقا</w:t>
      </w:r>
      <w:r>
        <w:rPr>
          <w:rFonts w:hint="cs"/>
          <w:rtl/>
        </w:rPr>
        <w:t>ً</w:t>
      </w:r>
      <w:r w:rsidRPr="005A6A66">
        <w:rPr>
          <w:rtl/>
        </w:rPr>
        <w:t xml:space="preserve"> </w:t>
      </w:r>
      <w:hyperlink r:id="rId10" w:history="1">
        <w:r w:rsidRPr="005A6A66">
          <w:rPr>
            <w:rStyle w:val="Hyperlink"/>
            <w:rtl/>
          </w:rPr>
          <w:t xml:space="preserve">بالرسالة المعممة </w:t>
        </w:r>
        <w:r>
          <w:rPr>
            <w:rStyle w:val="Hyperlink"/>
            <w:rFonts w:hint="cs"/>
            <w:rtl/>
          </w:rPr>
          <w:t>72</w:t>
        </w:r>
        <w:r w:rsidRPr="005A6A66">
          <w:rPr>
            <w:rStyle w:val="Hyperlink"/>
            <w:rtl/>
          </w:rPr>
          <w:t xml:space="preserve"> لمكتب تقييس الاتصالات</w:t>
        </w:r>
      </w:hyperlink>
      <w:r w:rsidRPr="005A6A66">
        <w:rPr>
          <w:rtl/>
        </w:rPr>
        <w:t xml:space="preserve"> المؤرخة </w:t>
      </w:r>
      <w:r>
        <w:rPr>
          <w:rFonts w:hint="cs"/>
          <w:rtl/>
        </w:rPr>
        <w:t>16 سبتمبر</w:t>
      </w:r>
      <w:r w:rsidRPr="005A6A66">
        <w:rPr>
          <w:rtl/>
        </w:rPr>
        <w:t xml:space="preserve"> </w:t>
      </w:r>
      <w:r>
        <w:rPr>
          <w:rFonts w:hint="cs"/>
          <w:rtl/>
        </w:rPr>
        <w:t>2025</w:t>
      </w:r>
      <w:r w:rsidRPr="005A6A66">
        <w:rPr>
          <w:rtl/>
        </w:rPr>
        <w:t>، وعملا</w:t>
      </w:r>
      <w:r>
        <w:rPr>
          <w:rFonts w:hint="cs"/>
          <w:rtl/>
        </w:rPr>
        <w:t>ً</w:t>
      </w:r>
      <w:r w:rsidRPr="005A6A66">
        <w:rPr>
          <w:rtl/>
        </w:rPr>
        <w:t xml:space="preserve"> بالفقرة </w:t>
      </w:r>
      <w:r>
        <w:t>5.9</w:t>
      </w:r>
      <w:r w:rsidRPr="005A6A66">
        <w:rPr>
          <w:rtl/>
        </w:rPr>
        <w:t xml:space="preserve"> من القرار</w:t>
      </w:r>
      <w:r>
        <w:rPr>
          <w:rFonts w:hint="cs"/>
          <w:rtl/>
        </w:rPr>
        <w:t> </w:t>
      </w:r>
      <w:r w:rsidRPr="005A6A66">
        <w:t>1</w:t>
      </w:r>
      <w:r>
        <w:rPr>
          <w:rFonts w:hint="cs"/>
          <w:rtl/>
        </w:rPr>
        <w:t> </w:t>
      </w:r>
      <w:r w:rsidRPr="005A6A66">
        <w:rPr>
          <w:rtl/>
        </w:rPr>
        <w:t>(المراج</w:t>
      </w:r>
      <w:r>
        <w:rPr>
          <w:rFonts w:hint="cs"/>
          <w:rtl/>
        </w:rPr>
        <w:t>َ</w:t>
      </w:r>
      <w:r w:rsidRPr="005A6A66">
        <w:rPr>
          <w:rtl/>
        </w:rPr>
        <w:t xml:space="preserve">ع في نيودلهي، </w:t>
      </w:r>
      <w:proofErr w:type="gramStart"/>
      <w:r w:rsidRPr="005A6A66">
        <w:t>2024</w:t>
      </w:r>
      <w:r w:rsidRPr="005A6A66">
        <w:rPr>
          <w:rtl/>
        </w:rPr>
        <w:t>)،</w:t>
      </w:r>
      <w:proofErr w:type="gramEnd"/>
      <w:r w:rsidRPr="005A6A66">
        <w:rPr>
          <w:rtl/>
        </w:rPr>
        <w:t xml:space="preserve"> أبلغكم بأن لجنة الدراسات </w:t>
      </w:r>
      <w:r w:rsidRPr="005A6A66">
        <w:t>2</w:t>
      </w:r>
      <w:r w:rsidRPr="005A6A66">
        <w:rPr>
          <w:rtl/>
        </w:rPr>
        <w:t xml:space="preserve"> بقطاع تقييس الاتصالات توصلت إلى القرارات التالية خلال جلستها العامة المعقودة </w:t>
      </w:r>
      <w:r w:rsidRPr="0087512C">
        <w:rPr>
          <w:rtl/>
        </w:rPr>
        <w:t xml:space="preserve">في </w:t>
      </w:r>
      <w:r w:rsidRPr="0087512C">
        <w:rPr>
          <w:rFonts w:hint="cs"/>
          <w:rtl/>
        </w:rPr>
        <w:t>13</w:t>
      </w:r>
      <w:r w:rsidRPr="0087512C">
        <w:rPr>
          <w:rtl/>
        </w:rPr>
        <w:t xml:space="preserve"> </w:t>
      </w:r>
      <w:r w:rsidR="0087512C" w:rsidRPr="0087512C">
        <w:rPr>
          <w:rFonts w:hint="cs"/>
          <w:rtl/>
        </w:rPr>
        <w:t>فبراير</w:t>
      </w:r>
      <w:r w:rsidRPr="0087512C">
        <w:rPr>
          <w:rtl/>
        </w:rPr>
        <w:t xml:space="preserve"> </w:t>
      </w:r>
      <w:r w:rsidRPr="0087512C">
        <w:rPr>
          <w:rFonts w:hint="cs"/>
          <w:rtl/>
        </w:rPr>
        <w:t>2026</w:t>
      </w:r>
      <w:r w:rsidR="0065124D" w:rsidRPr="0087512C">
        <w:rPr>
          <w:rFonts w:hint="cs"/>
          <w:rtl/>
        </w:rPr>
        <w:t xml:space="preserve"> </w:t>
      </w:r>
      <w:r w:rsidRPr="0087512C">
        <w:rPr>
          <w:rtl/>
        </w:rPr>
        <w:t>بشأن</w:t>
      </w:r>
      <w:r w:rsidRPr="005A6A66">
        <w:rPr>
          <w:rtl/>
        </w:rPr>
        <w:t xml:space="preserve"> مشاريع نصوص قطاع تقييس الاتصالات التالية: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4832"/>
        <w:gridCol w:w="3260"/>
      </w:tblGrid>
      <w:tr w:rsidR="00F15711" w:rsidRPr="002041C9" w14:paraId="611D640F" w14:textId="77777777" w:rsidTr="00ED6CC8">
        <w:trPr>
          <w:cantSplit/>
          <w:tblHeader/>
          <w:jc w:val="center"/>
        </w:trPr>
        <w:tc>
          <w:tcPr>
            <w:tcW w:w="798" w:type="pct"/>
            <w:vAlign w:val="center"/>
          </w:tcPr>
          <w:p w14:paraId="681733E0" w14:textId="77777777" w:rsidR="00F15711" w:rsidRPr="002041C9" w:rsidRDefault="00F15711" w:rsidP="00ED6CC8">
            <w:pPr>
              <w:pStyle w:val="TableHead"/>
              <w:spacing w:before="80" w:line="280" w:lineRule="exact"/>
              <w:rPr>
                <w:position w:val="2"/>
                <w:rtl/>
                <w:lang w:val="ar-SA"/>
              </w:rPr>
            </w:pPr>
            <w:r w:rsidRPr="002041C9">
              <w:rPr>
                <w:position w:val="2"/>
                <w:rtl/>
              </w:rPr>
              <w:t>الرقم</w:t>
            </w:r>
          </w:p>
        </w:tc>
        <w:tc>
          <w:tcPr>
            <w:tcW w:w="2509" w:type="pct"/>
            <w:vAlign w:val="center"/>
          </w:tcPr>
          <w:p w14:paraId="5D2E17E7" w14:textId="77777777" w:rsidR="00F15711" w:rsidRPr="002041C9" w:rsidRDefault="00F15711" w:rsidP="00ED6CC8">
            <w:pPr>
              <w:pStyle w:val="TableHead"/>
              <w:spacing w:before="80" w:line="280" w:lineRule="exact"/>
              <w:rPr>
                <w:position w:val="2"/>
                <w:rtl/>
                <w:lang w:val="ar-SA"/>
              </w:rPr>
            </w:pPr>
            <w:r w:rsidRPr="002041C9">
              <w:rPr>
                <w:position w:val="2"/>
                <w:rtl/>
              </w:rPr>
              <w:t>العنوان</w:t>
            </w:r>
          </w:p>
        </w:tc>
        <w:tc>
          <w:tcPr>
            <w:tcW w:w="1693" w:type="pct"/>
            <w:vAlign w:val="center"/>
          </w:tcPr>
          <w:p w14:paraId="4C57D89A" w14:textId="77777777" w:rsidR="00F15711" w:rsidRPr="002041C9" w:rsidRDefault="00F15711" w:rsidP="00ED6CC8">
            <w:pPr>
              <w:pStyle w:val="TableHead"/>
              <w:spacing w:before="80" w:line="280" w:lineRule="exact"/>
              <w:rPr>
                <w:position w:val="2"/>
                <w:rtl/>
                <w:lang w:val="ar-SA"/>
              </w:rPr>
            </w:pPr>
            <w:r w:rsidRPr="002041C9">
              <w:rPr>
                <w:position w:val="2"/>
                <w:rtl/>
              </w:rPr>
              <w:t>القرار</w:t>
            </w:r>
          </w:p>
        </w:tc>
      </w:tr>
      <w:tr w:rsidR="00F15711" w:rsidRPr="002041C9" w14:paraId="1A74ED50" w14:textId="77777777" w:rsidTr="00ED6CC8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84AB" w14:textId="77777777" w:rsidR="00F15711" w:rsidRPr="00F15942" w:rsidRDefault="00F15711" w:rsidP="00ED6CC8">
            <w:pPr>
              <w:pStyle w:val="Tabletexte"/>
              <w:spacing w:before="80" w:line="280" w:lineRule="exact"/>
              <w:jc w:val="left"/>
              <w:rPr>
                <w:position w:val="2"/>
              </w:rPr>
            </w:pPr>
            <w:r w:rsidRPr="00F15942">
              <w:rPr>
                <w:position w:val="2"/>
              </w:rPr>
              <w:t>ITU-T E.164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935" w14:textId="77777777" w:rsidR="00F15711" w:rsidRPr="00F15942" w:rsidRDefault="00F15711" w:rsidP="00ED6CC8">
            <w:pPr>
              <w:pStyle w:val="Tabletexte"/>
              <w:spacing w:before="80" w:line="280" w:lineRule="exact"/>
              <w:rPr>
                <w:position w:val="2"/>
                <w:rtl/>
              </w:rPr>
            </w:pPr>
            <w:r w:rsidRPr="00F15942">
              <w:rPr>
                <w:position w:val="2"/>
                <w:rtl/>
              </w:rPr>
              <w:t>خطة ترقيم الاتصالات العمومية الدولية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BDD" w14:textId="77777777" w:rsidR="00F15711" w:rsidRPr="00F15942" w:rsidRDefault="00F15711" w:rsidP="00ED6CC8">
            <w:pPr>
              <w:pStyle w:val="Tabletexte"/>
              <w:spacing w:before="80" w:line="280" w:lineRule="exact"/>
              <w:jc w:val="left"/>
              <w:rPr>
                <w:position w:val="2"/>
                <w:rtl/>
              </w:rPr>
            </w:pPr>
            <w:r w:rsidRPr="00F15942">
              <w:rPr>
                <w:position w:val="2"/>
                <w:rtl/>
              </w:rPr>
              <w:t>تمت الموافقة عليه</w:t>
            </w:r>
            <w:r w:rsidRPr="00F15942">
              <w:rPr>
                <w:rFonts w:hint="cs"/>
                <w:position w:val="2"/>
                <w:rtl/>
              </w:rPr>
              <w:t>ا</w:t>
            </w:r>
            <w:r w:rsidRPr="00F15942">
              <w:rPr>
                <w:position w:val="2"/>
                <w:rtl/>
              </w:rPr>
              <w:t>، ويرد النص في الوثيقة</w:t>
            </w:r>
            <w:r w:rsidRPr="00F15942">
              <w:rPr>
                <w:rFonts w:hint="cs"/>
                <w:position w:val="2"/>
                <w:rtl/>
              </w:rPr>
              <w:t xml:space="preserve"> </w:t>
            </w:r>
            <w:hyperlink r:id="rId11" w:history="1">
              <w:r w:rsidRPr="00F15942">
                <w:rPr>
                  <w:rStyle w:val="Hyperlink"/>
                </w:rPr>
                <w:t>SG2</w:t>
              </w:r>
              <w:r w:rsidR="00F15942">
                <w:rPr>
                  <w:rStyle w:val="Hyperlink"/>
                </w:rPr>
                <w:noBreakHyphen/>
              </w:r>
              <w:r w:rsidRPr="00F15942">
                <w:rPr>
                  <w:rStyle w:val="Hyperlink"/>
                </w:rPr>
                <w:t>TD366R6/PLEN</w:t>
              </w:r>
            </w:hyperlink>
            <w:r w:rsidRPr="00F15942">
              <w:rPr>
                <w:rFonts w:hint="cs"/>
                <w:position w:val="2"/>
                <w:rtl/>
              </w:rPr>
              <w:t>.</w:t>
            </w:r>
          </w:p>
        </w:tc>
      </w:tr>
      <w:tr w:rsidR="00F15711" w:rsidRPr="002041C9" w14:paraId="58F1BA7C" w14:textId="77777777" w:rsidTr="00ED6CC8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C93E" w14:textId="77777777" w:rsidR="00F15711" w:rsidRPr="00F15942" w:rsidRDefault="00F15711" w:rsidP="00ED6CC8">
            <w:pPr>
              <w:pStyle w:val="Tabletexte"/>
              <w:spacing w:before="80" w:line="280" w:lineRule="exact"/>
              <w:jc w:val="left"/>
              <w:rPr>
                <w:bCs/>
                <w:position w:val="2"/>
                <w:rtl/>
                <w:lang w:val="ar-SA" w:bidi="ar-SA"/>
              </w:rPr>
            </w:pPr>
            <w:r w:rsidRPr="00F15942">
              <w:rPr>
                <w:position w:val="2"/>
              </w:rPr>
              <w:t>ITU-T E.164.1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553" w14:textId="77777777" w:rsidR="00F15711" w:rsidRPr="00F15942" w:rsidRDefault="00F15711" w:rsidP="00ED6CC8">
            <w:pPr>
              <w:pStyle w:val="Tabletexte"/>
              <w:spacing w:before="80" w:line="280" w:lineRule="exact"/>
              <w:rPr>
                <w:position w:val="2"/>
                <w:rtl/>
                <w:lang w:val="ar-SA" w:bidi="ar-SA"/>
              </w:rPr>
            </w:pPr>
            <w:r w:rsidRPr="00F15942">
              <w:rPr>
                <w:position w:val="2"/>
                <w:rtl/>
              </w:rPr>
              <w:t xml:space="preserve">معايير وإجراءات حجز وتخصيص وسحب الرموز الدليلية للبلدان الموضوعة في التوصية </w:t>
            </w:r>
            <w:r w:rsidRPr="00F15942">
              <w:rPr>
                <w:position w:val="2"/>
              </w:rPr>
              <w:t>E.164</w:t>
            </w:r>
            <w:r w:rsidRPr="00F15942">
              <w:rPr>
                <w:position w:val="2"/>
                <w:rtl/>
              </w:rPr>
              <w:t xml:space="preserve"> مع الشفرة المصاحبة لهذه الرموز لتعرف الهوية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4AA" w14:textId="77777777" w:rsidR="00F15711" w:rsidRPr="00F15942" w:rsidRDefault="00F15711" w:rsidP="00ED6CC8">
            <w:pPr>
              <w:pStyle w:val="Tabletexte"/>
              <w:spacing w:before="80" w:line="280" w:lineRule="exact"/>
              <w:jc w:val="left"/>
              <w:rPr>
                <w:position w:val="2"/>
              </w:rPr>
            </w:pPr>
            <w:r w:rsidRPr="00F15942">
              <w:rPr>
                <w:position w:val="2"/>
                <w:rtl/>
              </w:rPr>
              <w:t>تمت الموافقة عليه</w:t>
            </w:r>
            <w:r w:rsidRPr="00F15942">
              <w:rPr>
                <w:rFonts w:hint="cs"/>
                <w:position w:val="2"/>
                <w:rtl/>
              </w:rPr>
              <w:t>ا</w:t>
            </w:r>
            <w:r w:rsidRPr="00F15942">
              <w:rPr>
                <w:position w:val="2"/>
                <w:rtl/>
              </w:rPr>
              <w:t>، ويرد النص في الوثيقة</w:t>
            </w:r>
            <w:r w:rsidRPr="00F15942">
              <w:rPr>
                <w:rFonts w:hint="cs"/>
                <w:position w:val="2"/>
                <w:rtl/>
              </w:rPr>
              <w:t xml:space="preserve"> </w:t>
            </w:r>
            <w:hyperlink r:id="rId12" w:history="1">
              <w:r w:rsidRPr="00F15942">
                <w:rPr>
                  <w:rStyle w:val="Hyperlink"/>
                </w:rPr>
                <w:t>SG2</w:t>
              </w:r>
              <w:r w:rsidR="00F15942">
                <w:rPr>
                  <w:rStyle w:val="Hyperlink"/>
                </w:rPr>
                <w:noBreakHyphen/>
              </w:r>
              <w:r w:rsidRPr="00F15942">
                <w:rPr>
                  <w:rStyle w:val="Hyperlink"/>
                </w:rPr>
                <w:t>TD367R5/PLEN</w:t>
              </w:r>
            </w:hyperlink>
          </w:p>
        </w:tc>
      </w:tr>
      <w:tr w:rsidR="00F15711" w:rsidRPr="002041C9" w14:paraId="14B39809" w14:textId="77777777" w:rsidTr="00ED6CC8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0E3" w14:textId="77777777" w:rsidR="00F15711" w:rsidRPr="00DC16AF" w:rsidRDefault="00F15711" w:rsidP="00ED6CC8">
            <w:pPr>
              <w:pStyle w:val="Tabletexte"/>
              <w:spacing w:before="80" w:line="280" w:lineRule="exact"/>
              <w:jc w:val="left"/>
              <w:rPr>
                <w:position w:val="2"/>
                <w:lang w:val="fr-CH"/>
              </w:rPr>
            </w:pPr>
            <w:r w:rsidRPr="00F15942">
              <w:rPr>
                <w:lang w:val="fr-CH"/>
              </w:rPr>
              <w:t>ITU-T E.192 (</w:t>
            </w:r>
            <w:proofErr w:type="spellStart"/>
            <w:proofErr w:type="gramStart"/>
            <w:r w:rsidRPr="00F15942">
              <w:rPr>
                <w:lang w:val="fr-CH"/>
              </w:rPr>
              <w:t>E.IoT</w:t>
            </w:r>
            <w:proofErr w:type="gramEnd"/>
            <w:r w:rsidRPr="00F15942">
              <w:rPr>
                <w:lang w:val="fr-CH"/>
              </w:rPr>
              <w:t>-NNAI</w:t>
            </w:r>
            <w:proofErr w:type="spellEnd"/>
            <w:r w:rsidRPr="00F15942">
              <w:rPr>
                <w:lang w:val="fr-CH"/>
              </w:rPr>
              <w:t>)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D623" w14:textId="77777777" w:rsidR="00F15711" w:rsidRPr="0046510D" w:rsidRDefault="00F15711" w:rsidP="00ED6CC8">
            <w:pPr>
              <w:pStyle w:val="Tabletexte"/>
              <w:spacing w:before="80" w:line="280" w:lineRule="exact"/>
              <w:rPr>
                <w:spacing w:val="-6"/>
                <w:position w:val="2"/>
                <w:rtl/>
                <w:lang w:bidi="ar-EG"/>
              </w:rPr>
            </w:pPr>
            <w:r w:rsidRPr="0046510D">
              <w:rPr>
                <w:spacing w:val="-6"/>
                <w:position w:val="2"/>
                <w:rtl/>
              </w:rPr>
              <w:t>موارد الترقيم والتسمية والعنونة وتعرّف الهوية (</w:t>
            </w:r>
            <w:r w:rsidRPr="0046510D">
              <w:rPr>
                <w:spacing w:val="-6"/>
                <w:position w:val="2"/>
              </w:rPr>
              <w:t>NNAI</w:t>
            </w:r>
            <w:r w:rsidRPr="0046510D">
              <w:rPr>
                <w:rFonts w:hint="cs"/>
                <w:spacing w:val="-6"/>
                <w:position w:val="2"/>
                <w:rtl/>
              </w:rPr>
              <w:t>)</w:t>
            </w:r>
            <w:r w:rsidR="0046510D" w:rsidRPr="0046510D">
              <w:rPr>
                <w:rFonts w:hint="cs"/>
                <w:spacing w:val="-6"/>
                <w:position w:val="2"/>
                <w:rtl/>
              </w:rPr>
              <w:t xml:space="preserve"> </w:t>
            </w:r>
            <w:r w:rsidRPr="0046510D">
              <w:rPr>
                <w:spacing w:val="-6"/>
                <w:position w:val="2"/>
                <w:rtl/>
              </w:rPr>
              <w:t>في مجال الاتصالات الدولية من أجل خدمات/تطبيقات إنترنت الأشياء/الاتصالات من آلة إلى آلة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61A" w14:textId="77777777" w:rsidR="00F15711" w:rsidRPr="00F15942" w:rsidRDefault="00F15711" w:rsidP="00ED6CC8">
            <w:pPr>
              <w:pStyle w:val="Tabletexte"/>
              <w:spacing w:before="80" w:line="280" w:lineRule="exact"/>
              <w:jc w:val="left"/>
              <w:rPr>
                <w:position w:val="2"/>
                <w:rtl/>
              </w:rPr>
            </w:pPr>
            <w:r w:rsidRPr="00F15942">
              <w:rPr>
                <w:position w:val="2"/>
                <w:rtl/>
              </w:rPr>
              <w:t>تمت الموافقة عليها، ويرد النص في الوثيقة</w:t>
            </w:r>
            <w:r w:rsidR="00F15942">
              <w:rPr>
                <w:rFonts w:hint="cs"/>
                <w:position w:val="2"/>
                <w:rtl/>
              </w:rPr>
              <w:t xml:space="preserve"> </w:t>
            </w:r>
            <w:hyperlink r:id="rId13" w:history="1">
              <w:r w:rsidRPr="00F15942">
                <w:rPr>
                  <w:rStyle w:val="Hyperlink"/>
                </w:rPr>
                <w:t>SG2</w:t>
              </w:r>
              <w:r w:rsidR="00F15942">
                <w:rPr>
                  <w:rStyle w:val="Hyperlink"/>
                </w:rPr>
                <w:noBreakHyphen/>
              </w:r>
              <w:r w:rsidRPr="00F15942">
                <w:rPr>
                  <w:rStyle w:val="Hyperlink"/>
                </w:rPr>
                <w:t>TD368R2/PLEN</w:t>
              </w:r>
            </w:hyperlink>
          </w:p>
        </w:tc>
      </w:tr>
      <w:tr w:rsidR="00F15711" w:rsidRPr="002041C9" w14:paraId="7EC1DB2F" w14:textId="77777777" w:rsidTr="00ED6CC8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5D06" w14:textId="77777777" w:rsidR="00F15711" w:rsidRPr="00E04852" w:rsidRDefault="00E04852" w:rsidP="00ED6CC8">
            <w:pPr>
              <w:pStyle w:val="Tabletexte"/>
              <w:spacing w:before="80" w:line="280" w:lineRule="exact"/>
              <w:jc w:val="left"/>
              <w:rPr>
                <w:position w:val="2"/>
                <w:rtl/>
                <w:lang w:val="ar-SA" w:bidi="ar-SA"/>
              </w:rPr>
            </w:pPr>
            <w:r w:rsidRPr="00E04852">
              <w:rPr>
                <w:lang w:val="fr-CH"/>
              </w:rPr>
              <w:lastRenderedPageBreak/>
              <w:t>ITU-T E.371 (</w:t>
            </w:r>
            <w:proofErr w:type="spellStart"/>
            <w:r w:rsidRPr="00E04852">
              <w:rPr>
                <w:lang w:val="fr-CH"/>
              </w:rPr>
              <w:t>E.dit</w:t>
            </w:r>
            <w:proofErr w:type="spellEnd"/>
            <w:r w:rsidRPr="00E04852">
              <w:rPr>
                <w:lang w:val="fr-CH"/>
              </w:rPr>
              <w:t>)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B28" w14:textId="77777777" w:rsidR="00F15711" w:rsidRPr="00F15942" w:rsidRDefault="00F15711" w:rsidP="00ED6CC8">
            <w:pPr>
              <w:pStyle w:val="Tabletexte"/>
              <w:spacing w:before="80" w:line="280" w:lineRule="exact"/>
              <w:rPr>
                <w:position w:val="2"/>
                <w:rtl/>
                <w:lang w:val="ar-SA" w:bidi="ar-SA"/>
              </w:rPr>
            </w:pPr>
            <w:r w:rsidRPr="00F15942">
              <w:rPr>
                <w:position w:val="2"/>
                <w:rtl/>
              </w:rPr>
              <w:t>الحركة التي تُعد غير مسموحة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E6A" w14:textId="77777777" w:rsidR="00F15711" w:rsidRPr="00F15942" w:rsidRDefault="00F15711" w:rsidP="00ED6CC8">
            <w:pPr>
              <w:pStyle w:val="Tabletexte"/>
              <w:spacing w:before="80" w:line="280" w:lineRule="exact"/>
              <w:jc w:val="left"/>
              <w:rPr>
                <w:position w:val="2"/>
                <w:rtl/>
              </w:rPr>
            </w:pPr>
            <w:r w:rsidRPr="00F15942">
              <w:rPr>
                <w:position w:val="2"/>
                <w:rtl/>
              </w:rPr>
              <w:t xml:space="preserve">تمت الموافقة عليها، ويرد النص في الوثيقة </w:t>
            </w:r>
            <w:hyperlink r:id="rId14" w:history="1">
              <w:r w:rsidRPr="00F15942">
                <w:rPr>
                  <w:rStyle w:val="Hyperlink"/>
                </w:rPr>
                <w:t>SG2</w:t>
              </w:r>
              <w:r w:rsidR="00462835">
                <w:rPr>
                  <w:rStyle w:val="Hyperlink"/>
                </w:rPr>
                <w:noBreakHyphen/>
              </w:r>
              <w:r w:rsidRPr="00F15942">
                <w:rPr>
                  <w:rStyle w:val="Hyperlink"/>
                </w:rPr>
                <w:t>TD364R3/PLEN</w:t>
              </w:r>
            </w:hyperlink>
          </w:p>
          <w:p w14:paraId="22324D07" w14:textId="77777777" w:rsidR="00F15711" w:rsidRPr="00F15942" w:rsidRDefault="00F15711" w:rsidP="00ED6CC8">
            <w:pPr>
              <w:pStyle w:val="Tabletexte"/>
              <w:spacing w:before="80" w:line="280" w:lineRule="exact"/>
              <w:rPr>
                <w:position w:val="2"/>
              </w:rPr>
            </w:pPr>
            <w:r w:rsidRPr="00F15942">
              <w:rPr>
                <w:position w:val="2"/>
                <w:rtl/>
              </w:rPr>
              <w:t>أبدت كندا والولايات المتحدة تحفظاً وفقاً للفقرة 4.5.9 من القرار 1 الصادر عن الجمعية العالمية لتقييس الاتصالات.</w:t>
            </w:r>
          </w:p>
        </w:tc>
      </w:tr>
    </w:tbl>
    <w:p w14:paraId="6E028B83" w14:textId="77777777" w:rsidR="00F15711" w:rsidRPr="005A6A66" w:rsidRDefault="00F15711" w:rsidP="00E04852">
      <w:pPr>
        <w:spacing w:before="240"/>
        <w:rPr>
          <w:rtl/>
          <w:lang w:val="ar-SA"/>
        </w:rPr>
      </w:pPr>
      <w:r w:rsidRPr="005A6A66">
        <w:t>2</w:t>
      </w:r>
      <w:r w:rsidRPr="005A6A66">
        <w:rPr>
          <w:rtl/>
        </w:rPr>
        <w:tab/>
        <w:t>ويمكن النفاذ إلى المعلومات المتاحة بشأن البراءات إلكترونيا</w:t>
      </w:r>
      <w:r>
        <w:rPr>
          <w:rFonts w:hint="cs"/>
          <w:rtl/>
        </w:rPr>
        <w:t>ً</w:t>
      </w:r>
      <w:r w:rsidRPr="005A6A66">
        <w:rPr>
          <w:rtl/>
        </w:rPr>
        <w:t xml:space="preserve"> من خلال </w:t>
      </w:r>
      <w:hyperlink r:id="rId15" w:history="1">
        <w:r w:rsidRPr="005A6A66">
          <w:rPr>
            <w:rStyle w:val="Hyperlink"/>
            <w:rtl/>
          </w:rPr>
          <w:t>الموقع الإلكتروني لقطاع تقييس الاتصالات</w:t>
        </w:r>
      </w:hyperlink>
      <w:r w:rsidRPr="005A6A66">
        <w:rPr>
          <w:rtl/>
        </w:rPr>
        <w:t>.</w:t>
      </w:r>
    </w:p>
    <w:p w14:paraId="72AF2117" w14:textId="77777777" w:rsidR="00F15711" w:rsidRPr="005A6A66" w:rsidRDefault="00F15711" w:rsidP="00F15711">
      <w:pPr>
        <w:keepNext/>
        <w:keepLines/>
        <w:rPr>
          <w:rtl/>
          <w:lang w:val="ar-SA"/>
        </w:rPr>
      </w:pPr>
      <w:r w:rsidRPr="005A6A66">
        <w:t>3</w:t>
      </w:r>
      <w:r w:rsidRPr="005A6A66">
        <w:rPr>
          <w:rtl/>
        </w:rPr>
        <w:tab/>
        <w:t>ويمكن الاطلاع على نص التوصيات المنشورة مسبقا</w:t>
      </w:r>
      <w:r>
        <w:rPr>
          <w:rFonts w:hint="cs"/>
          <w:rtl/>
        </w:rPr>
        <w:t>ً</w:t>
      </w:r>
      <w:r w:rsidRPr="005A6A66">
        <w:rPr>
          <w:rtl/>
        </w:rPr>
        <w:t xml:space="preserve"> في الموقع الإلكتروني لقطاع تقييس الاتصالات في </w:t>
      </w:r>
      <w:hyperlink r:id="rId16" w:history="1">
        <w:r w:rsidRPr="005A6A66">
          <w:rPr>
            <w:rStyle w:val="Hyperlink"/>
            <w:rtl/>
          </w:rPr>
          <w:t>هذه الصفحة</w:t>
        </w:r>
      </w:hyperlink>
      <w:r w:rsidRPr="005A6A66">
        <w:rPr>
          <w:rtl/>
        </w:rPr>
        <w:t>.</w:t>
      </w:r>
    </w:p>
    <w:p w14:paraId="43955CFA" w14:textId="77777777" w:rsidR="00F15711" w:rsidRPr="005A6A66" w:rsidRDefault="00F15711" w:rsidP="00F15711">
      <w:pPr>
        <w:keepNext/>
        <w:keepLines/>
        <w:rPr>
          <w:rtl/>
          <w:lang w:val="ar-SA"/>
        </w:rPr>
      </w:pPr>
      <w:r w:rsidRPr="005A6A66">
        <w:t>4</w:t>
      </w:r>
      <w:r w:rsidRPr="005A6A66">
        <w:rPr>
          <w:rtl/>
        </w:rPr>
        <w:tab/>
        <w:t>وسينشر الاتحاد نص التوصيات الموافَق عليها في أقرب وقت ممكن.</w:t>
      </w:r>
    </w:p>
    <w:p w14:paraId="541CB2C5" w14:textId="77777777" w:rsidR="00E84438" w:rsidRPr="00D517B2" w:rsidRDefault="00E84438" w:rsidP="00891703">
      <w:pPr>
        <w:spacing w:before="240"/>
        <w:jc w:val="left"/>
        <w:rPr>
          <w:rtl/>
          <w:lang w:bidi="ar-EG"/>
        </w:rPr>
      </w:pPr>
      <w:r w:rsidRPr="00D517B2">
        <w:rPr>
          <w:rFonts w:hint="cs"/>
          <w:rtl/>
          <w:lang w:bidi="ar-EG"/>
        </w:rPr>
        <w:t>وتفضلوا بقبول فائق التقدير والاحترام.</w:t>
      </w:r>
    </w:p>
    <w:p w14:paraId="6C030223" w14:textId="77777777" w:rsidR="00E84438" w:rsidRPr="00D517B2" w:rsidRDefault="00E84438" w:rsidP="00891703">
      <w:pPr>
        <w:spacing w:before="720" w:after="720"/>
        <w:jc w:val="left"/>
        <w:rPr>
          <w:i/>
          <w:iCs/>
          <w:rtl/>
          <w:lang w:bidi="ar-SY"/>
        </w:rPr>
      </w:pPr>
      <w:r w:rsidRPr="001E2788">
        <w:rPr>
          <w:rFonts w:hint="cs"/>
          <w:rtl/>
          <w:lang w:bidi="ar-SY"/>
        </w:rPr>
        <w:t>(</w:t>
      </w:r>
      <w:r w:rsidR="001E2788">
        <w:rPr>
          <w:rFonts w:hint="eastAsia"/>
          <w:rtl/>
          <w:lang w:bidi="ar-SY"/>
        </w:rPr>
        <w:t> </w:t>
      </w:r>
      <w:r w:rsidRPr="00D517B2">
        <w:rPr>
          <w:rFonts w:hint="cs"/>
          <w:i/>
          <w:iCs/>
          <w:rtl/>
          <w:lang w:bidi="ar-SY"/>
        </w:rPr>
        <w:t>توقيع</w:t>
      </w:r>
      <w:r w:rsidRPr="001E2788">
        <w:rPr>
          <w:rFonts w:hint="cs"/>
          <w:rtl/>
          <w:lang w:bidi="ar-SY"/>
        </w:rPr>
        <w:t>)</w:t>
      </w:r>
    </w:p>
    <w:p w14:paraId="4A75D8FF" w14:textId="77777777" w:rsidR="00E84438" w:rsidRDefault="00807031" w:rsidP="00E84438">
      <w:pPr>
        <w:jc w:val="left"/>
        <w:rPr>
          <w:lang w:bidi="ar-SY"/>
        </w:rPr>
      </w:pPr>
      <w:proofErr w:type="spellStart"/>
      <w:r>
        <w:rPr>
          <w:rFonts w:hint="cs"/>
          <w:rtl/>
          <w:lang w:bidi="ar-SY"/>
        </w:rPr>
        <w:t>سيزو</w:t>
      </w:r>
      <w:proofErr w:type="spellEnd"/>
      <w:r>
        <w:rPr>
          <w:rFonts w:hint="cs"/>
          <w:rtl/>
          <w:lang w:bidi="ar-SY"/>
        </w:rPr>
        <w:t xml:space="preserve"> </w:t>
      </w:r>
      <w:proofErr w:type="spellStart"/>
      <w:r>
        <w:rPr>
          <w:rFonts w:hint="cs"/>
          <w:rtl/>
          <w:lang w:bidi="ar-SY"/>
        </w:rPr>
        <w:t>أونوي</w:t>
      </w:r>
      <w:proofErr w:type="spellEnd"/>
      <w:r w:rsidR="00E84438" w:rsidRPr="00D517B2">
        <w:rPr>
          <w:rtl/>
          <w:lang w:bidi="ar-SY"/>
        </w:rPr>
        <w:br/>
      </w:r>
      <w:r w:rsidR="00E84438" w:rsidRPr="00D517B2">
        <w:rPr>
          <w:rFonts w:hint="cs"/>
          <w:rtl/>
          <w:lang w:bidi="ar-SY"/>
        </w:rPr>
        <w:t>مدير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مكتب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تقييس</w:t>
      </w:r>
      <w:r w:rsidR="00E84438" w:rsidRPr="00D517B2">
        <w:rPr>
          <w:rtl/>
          <w:lang w:bidi="ar-SY"/>
        </w:rPr>
        <w:t xml:space="preserve"> </w:t>
      </w:r>
      <w:r w:rsidR="00E84438" w:rsidRPr="00D517B2">
        <w:rPr>
          <w:rFonts w:hint="cs"/>
          <w:rtl/>
          <w:lang w:bidi="ar-SY"/>
        </w:rPr>
        <w:t>الاتصالات</w:t>
      </w:r>
    </w:p>
    <w:sectPr w:rsidR="00E84438" w:rsidSect="006C3242">
      <w:headerReference w:type="defaul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FC78" w14:textId="77777777" w:rsidR="00A27E7C" w:rsidRDefault="00A27E7C" w:rsidP="006C3242">
      <w:pPr>
        <w:spacing w:before="0" w:line="240" w:lineRule="auto"/>
      </w:pPr>
      <w:r>
        <w:separator/>
      </w:r>
    </w:p>
  </w:endnote>
  <w:endnote w:type="continuationSeparator" w:id="0">
    <w:p w14:paraId="3AC45AE6" w14:textId="77777777" w:rsidR="00A27E7C" w:rsidRDefault="00A27E7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9F7D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A3B5" w14:textId="77777777" w:rsidR="00A27E7C" w:rsidRDefault="00A27E7C" w:rsidP="006C3242">
      <w:pPr>
        <w:spacing w:before="0" w:line="240" w:lineRule="auto"/>
      </w:pPr>
      <w:r>
        <w:separator/>
      </w:r>
    </w:p>
  </w:footnote>
  <w:footnote w:type="continuationSeparator" w:id="0">
    <w:p w14:paraId="568F7BCA" w14:textId="77777777" w:rsidR="00A27E7C" w:rsidRDefault="00A27E7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18D0" w14:textId="77777777" w:rsidR="00447F32" w:rsidRPr="00596808" w:rsidRDefault="00596808" w:rsidP="00617B52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="005210C2">
      <w:rPr>
        <w:noProof/>
        <w:sz w:val="20"/>
        <w:szCs w:val="20"/>
        <w:rtl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F61EF3">
      <w:rPr>
        <w:sz w:val="20"/>
        <w:szCs w:val="20"/>
        <w:lang w:bidi="ar-EG"/>
      </w:rPr>
      <w:t>11</w:t>
    </w:r>
    <w:r w:rsidR="00617B52">
      <w:rPr>
        <w:sz w:val="20"/>
        <w:szCs w:val="20"/>
        <w:lang w:bidi="ar-EG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8774571">
    <w:abstractNumId w:val="9"/>
  </w:num>
  <w:num w:numId="2" w16cid:durableId="357774141">
    <w:abstractNumId w:val="7"/>
  </w:num>
  <w:num w:numId="3" w16cid:durableId="322584972">
    <w:abstractNumId w:val="6"/>
  </w:num>
  <w:num w:numId="4" w16cid:durableId="924611529">
    <w:abstractNumId w:val="5"/>
  </w:num>
  <w:num w:numId="5" w16cid:durableId="330256520">
    <w:abstractNumId w:val="4"/>
  </w:num>
  <w:num w:numId="6" w16cid:durableId="228272859">
    <w:abstractNumId w:val="8"/>
  </w:num>
  <w:num w:numId="7" w16cid:durableId="1095663215">
    <w:abstractNumId w:val="3"/>
  </w:num>
  <w:num w:numId="8" w16cid:durableId="873927650">
    <w:abstractNumId w:val="2"/>
  </w:num>
  <w:num w:numId="9" w16cid:durableId="594750385">
    <w:abstractNumId w:val="1"/>
  </w:num>
  <w:num w:numId="10" w16cid:durableId="1017123634">
    <w:abstractNumId w:val="0"/>
  </w:num>
  <w:num w:numId="11" w16cid:durableId="1661621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6C"/>
    <w:rsid w:val="00002A63"/>
    <w:rsid w:val="000200B6"/>
    <w:rsid w:val="00020818"/>
    <w:rsid w:val="000303BE"/>
    <w:rsid w:val="0006468A"/>
    <w:rsid w:val="00090574"/>
    <w:rsid w:val="000C1C0E"/>
    <w:rsid w:val="000C548A"/>
    <w:rsid w:val="000E327F"/>
    <w:rsid w:val="00146FE2"/>
    <w:rsid w:val="001C0169"/>
    <w:rsid w:val="001D1D50"/>
    <w:rsid w:val="001D6745"/>
    <w:rsid w:val="001E2788"/>
    <w:rsid w:val="001E446E"/>
    <w:rsid w:val="001E5340"/>
    <w:rsid w:val="001F4353"/>
    <w:rsid w:val="002154EE"/>
    <w:rsid w:val="002276D2"/>
    <w:rsid w:val="0023283D"/>
    <w:rsid w:val="0026373E"/>
    <w:rsid w:val="00271C43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940F0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62835"/>
    <w:rsid w:val="0046510D"/>
    <w:rsid w:val="004E11DC"/>
    <w:rsid w:val="00511B2F"/>
    <w:rsid w:val="005210C2"/>
    <w:rsid w:val="00525DDD"/>
    <w:rsid w:val="005409AC"/>
    <w:rsid w:val="0055516A"/>
    <w:rsid w:val="005731DD"/>
    <w:rsid w:val="0058491B"/>
    <w:rsid w:val="00592EA5"/>
    <w:rsid w:val="00595B52"/>
    <w:rsid w:val="00596808"/>
    <w:rsid w:val="005A3170"/>
    <w:rsid w:val="006019C6"/>
    <w:rsid w:val="00617B52"/>
    <w:rsid w:val="0065124D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512C"/>
    <w:rsid w:val="00877F4B"/>
    <w:rsid w:val="00891703"/>
    <w:rsid w:val="008A42B1"/>
    <w:rsid w:val="008A7F84"/>
    <w:rsid w:val="0091702E"/>
    <w:rsid w:val="00923B0C"/>
    <w:rsid w:val="00926F44"/>
    <w:rsid w:val="0094021C"/>
    <w:rsid w:val="0094432F"/>
    <w:rsid w:val="00952F86"/>
    <w:rsid w:val="00982B28"/>
    <w:rsid w:val="009D313F"/>
    <w:rsid w:val="009F17C2"/>
    <w:rsid w:val="00A27E7C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151C4"/>
    <w:rsid w:val="00B30B6C"/>
    <w:rsid w:val="00B64B47"/>
    <w:rsid w:val="00B916A7"/>
    <w:rsid w:val="00BB0F08"/>
    <w:rsid w:val="00C002DE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A3442"/>
    <w:rsid w:val="00DB1E14"/>
    <w:rsid w:val="00DC16AF"/>
    <w:rsid w:val="00DC1E02"/>
    <w:rsid w:val="00DC24B4"/>
    <w:rsid w:val="00DC5FB0"/>
    <w:rsid w:val="00DD1EBB"/>
    <w:rsid w:val="00DD6915"/>
    <w:rsid w:val="00DF16DC"/>
    <w:rsid w:val="00E04852"/>
    <w:rsid w:val="00E45211"/>
    <w:rsid w:val="00E473C5"/>
    <w:rsid w:val="00E84438"/>
    <w:rsid w:val="00E92863"/>
    <w:rsid w:val="00EB796D"/>
    <w:rsid w:val="00ED6CC8"/>
    <w:rsid w:val="00F058DC"/>
    <w:rsid w:val="00F15711"/>
    <w:rsid w:val="00F15942"/>
    <w:rsid w:val="00F24FC4"/>
    <w:rsid w:val="00F2676C"/>
    <w:rsid w:val="00F52941"/>
    <w:rsid w:val="00F61EF3"/>
    <w:rsid w:val="00F84366"/>
    <w:rsid w:val="00F85089"/>
    <w:rsid w:val="00F974C5"/>
    <w:rsid w:val="00FA6F46"/>
    <w:rsid w:val="00FD03F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7E5FAF"/>
  <w15:chartTrackingRefBased/>
  <w15:docId w15:val="{F073E4EA-BD25-4AF8-9639-08B6653F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15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711"/>
    <w:rPr>
      <w:rFonts w:ascii="Dubai" w:hAnsi="Dubai" w:cs="Duba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7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1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5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meetingdoc.asp?lang=en&amp;parent=T25-SG02-260204-TD-PLEN-036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itu.int/md/meetingdoc.asp?lang=en&amp;parent=T25-SG02-260204-TD-PLEN-036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itu-t/recommendation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meetingdoc.asp?lang=en&amp;parent=T25-SG02-260204-TD-PLEN-03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net4/ipr/search.aspx?sector=ITU&amp;class=PS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ww.itu.int/md/T25-TSB-CIR-0072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2@itu.int" TargetMode="External"/><Relationship Id="rId14" Type="http://schemas.openxmlformats.org/officeDocument/2006/relationships/hyperlink" Target="https://www.itu.int/md/meetingdoc.asp?lang=en&amp;parent=T25-SG02-260204-TD-PLEN-0364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ul\Desktop\Arabic%20Templates%202026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2" ma:contentTypeDescription="Create a new document." ma:contentTypeScope="" ma:versionID="1114ebe56e58edcb078b046ab899b12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1dfd8f69f9d77d1077d6c671af6d0b7a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8317E4FA-FD5B-4B7C-99C3-FBC14F2AD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07F8A-F246-43D5-9B5C-AD77EF14F042}"/>
</file>

<file path=customXml/itemProps3.xml><?xml version="1.0" encoding="utf-8"?>
<ds:datastoreItem xmlns:ds="http://schemas.openxmlformats.org/officeDocument/2006/customXml" ds:itemID="{3C914883-51A4-438D-81E3-4E609E28A973}"/>
</file>

<file path=customXml/itemProps4.xml><?xml version="1.0" encoding="utf-8"?>
<ds:datastoreItem xmlns:ds="http://schemas.openxmlformats.org/officeDocument/2006/customXml" ds:itemID="{51945710-F994-4383-8AEF-80F3E691D134}"/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19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 aly</dc:creator>
  <cp:keywords/>
  <dc:description/>
  <cp:lastModifiedBy>Arabic_I.R</cp:lastModifiedBy>
  <cp:revision>4</cp:revision>
  <dcterms:created xsi:type="dcterms:W3CDTF">2026-02-23T09:39:00Z</dcterms:created>
  <dcterms:modified xsi:type="dcterms:W3CDTF">2026-02-23T10:00:00Z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