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73" w:type="dxa"/>
        <w:tblInd w:w="8" w:type="dxa"/>
        <w:tblLayout w:type="fixed"/>
        <w:tblCellMar>
          <w:left w:w="0" w:type="dxa"/>
          <w:right w:w="0" w:type="dxa"/>
        </w:tblCellMar>
        <w:tblLook w:val="0000" w:firstRow="0" w:lastRow="0" w:firstColumn="0" w:lastColumn="0" w:noHBand="0" w:noVBand="0"/>
      </w:tblPr>
      <w:tblGrid>
        <w:gridCol w:w="1693"/>
        <w:gridCol w:w="2977"/>
        <w:gridCol w:w="5103"/>
      </w:tblGrid>
      <w:tr w:rsidR="007B6316" w14:paraId="7C135863" w14:textId="77777777" w:rsidTr="004649D5">
        <w:trPr>
          <w:cantSplit/>
          <w:trHeight w:val="340"/>
        </w:trPr>
        <w:tc>
          <w:tcPr>
            <w:tcW w:w="1693" w:type="dxa"/>
          </w:tcPr>
          <w:p w14:paraId="716D4F50" w14:textId="77777777" w:rsidR="007B6316" w:rsidRDefault="007B6316" w:rsidP="00303D62">
            <w:pPr>
              <w:tabs>
                <w:tab w:val="left" w:pos="4111"/>
              </w:tabs>
              <w:spacing w:before="10"/>
              <w:ind w:left="57"/>
              <w:rPr>
                <w:sz w:val="22"/>
              </w:rPr>
            </w:pPr>
            <w:r w:rsidRPr="00F1238A">
              <w:rPr>
                <w:noProof/>
                <w:lang w:val="en-US" w:eastAsia="zh-CN"/>
              </w:rPr>
              <w:drawing>
                <wp:inline distT="0" distB="0" distL="0" distR="0" wp14:anchorId="014BF96A" wp14:editId="5AAC17B8">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8080" w:type="dxa"/>
            <w:gridSpan w:val="2"/>
            <w:vAlign w:val="center"/>
          </w:tcPr>
          <w:p w14:paraId="098894C5" w14:textId="77777777" w:rsidR="007B6316" w:rsidRPr="00081FE5" w:rsidRDefault="007B6316" w:rsidP="007B6316">
            <w:pPr>
              <w:spacing w:before="0"/>
              <w:rPr>
                <w:rFonts w:cs="Times New Roman Bold"/>
                <w:b/>
                <w:bCs/>
                <w:smallCaps/>
                <w:sz w:val="26"/>
                <w:szCs w:val="26"/>
              </w:rPr>
            </w:pPr>
            <w:r w:rsidRPr="00081FE5">
              <w:rPr>
                <w:rFonts w:cs="Times New Roman Bold"/>
                <w:b/>
                <w:bCs/>
                <w:smallCaps/>
                <w:sz w:val="36"/>
                <w:szCs w:val="36"/>
              </w:rPr>
              <w:t>Unión Internacional de Telecomunicaciones</w:t>
            </w:r>
          </w:p>
          <w:p w14:paraId="57C001D6" w14:textId="77777777" w:rsidR="007B6316" w:rsidRDefault="007B6316" w:rsidP="007B6316">
            <w:pPr>
              <w:spacing w:before="0"/>
            </w:pPr>
            <w:r w:rsidRPr="007B6316">
              <w:rPr>
                <w:rFonts w:cs="Times New Roman Bold"/>
                <w:b/>
                <w:bCs/>
                <w:smallCaps/>
                <w:sz w:val="28"/>
                <w:szCs w:val="28"/>
              </w:rPr>
              <w:t>Oficina</w:t>
            </w:r>
            <w:r w:rsidRPr="007B6316">
              <w:rPr>
                <w:rFonts w:cs="Times New Roman Bold"/>
                <w:b/>
                <w:bCs/>
                <w:iCs/>
                <w:smallCaps/>
                <w:sz w:val="22"/>
                <w:szCs w:val="22"/>
              </w:rPr>
              <w:t xml:space="preserve"> </w:t>
            </w:r>
            <w:r w:rsidRPr="00081FE5">
              <w:rPr>
                <w:rFonts w:cs="Times New Roman Bold"/>
                <w:b/>
                <w:bCs/>
                <w:iCs/>
                <w:smallCaps/>
                <w:sz w:val="28"/>
                <w:szCs w:val="28"/>
              </w:rPr>
              <w:t>de Normalización de las Telecomunicaciones</w:t>
            </w:r>
          </w:p>
        </w:tc>
      </w:tr>
      <w:tr w:rsidR="007B6316" w14:paraId="683E7017" w14:textId="77777777" w:rsidTr="004649D5">
        <w:trPr>
          <w:cantSplit/>
          <w:trHeight w:val="340"/>
        </w:trPr>
        <w:tc>
          <w:tcPr>
            <w:tcW w:w="1693" w:type="dxa"/>
          </w:tcPr>
          <w:p w14:paraId="0D32D284" w14:textId="77777777" w:rsidR="007B6316" w:rsidRPr="007B6316" w:rsidRDefault="007B6316" w:rsidP="00303D62">
            <w:pPr>
              <w:tabs>
                <w:tab w:val="left" w:pos="4111"/>
              </w:tabs>
              <w:spacing w:before="10"/>
              <w:ind w:left="57"/>
              <w:rPr>
                <w:b/>
                <w:bCs/>
                <w:sz w:val="22"/>
              </w:rPr>
            </w:pPr>
          </w:p>
        </w:tc>
        <w:tc>
          <w:tcPr>
            <w:tcW w:w="2977" w:type="dxa"/>
          </w:tcPr>
          <w:p w14:paraId="71C2D1DD" w14:textId="77777777" w:rsidR="007B6316" w:rsidRDefault="007B6316" w:rsidP="00303D62">
            <w:pPr>
              <w:tabs>
                <w:tab w:val="left" w:pos="4111"/>
              </w:tabs>
              <w:spacing w:before="0"/>
              <w:ind w:left="57"/>
              <w:rPr>
                <w:b/>
              </w:rPr>
            </w:pPr>
          </w:p>
        </w:tc>
        <w:tc>
          <w:tcPr>
            <w:tcW w:w="5103" w:type="dxa"/>
          </w:tcPr>
          <w:p w14:paraId="59FA092A" w14:textId="1290A7D8" w:rsidR="007B6316" w:rsidRDefault="007B6316" w:rsidP="007B6316">
            <w:pPr>
              <w:tabs>
                <w:tab w:val="clear" w:pos="794"/>
                <w:tab w:val="clear" w:pos="1191"/>
                <w:tab w:val="clear" w:pos="1588"/>
                <w:tab w:val="clear" w:pos="1985"/>
                <w:tab w:val="left" w:pos="284"/>
              </w:tabs>
              <w:spacing w:after="120"/>
              <w:ind w:left="284" w:hanging="227"/>
            </w:pPr>
            <w:r w:rsidRPr="00081FE5">
              <w:rPr>
                <w:szCs w:val="24"/>
              </w:rPr>
              <w:t>Ginebra,</w:t>
            </w:r>
            <w:r w:rsidR="00283EE1">
              <w:rPr>
                <w:szCs w:val="24"/>
              </w:rPr>
              <w:t xml:space="preserve"> </w:t>
            </w:r>
            <w:r w:rsidR="00283EE1" w:rsidRPr="00712C54">
              <w:rPr>
                <w:color w:val="000000"/>
                <w:szCs w:val="22"/>
                <w:lang w:val="es-ES"/>
              </w:rPr>
              <w:t>16 de febrero de 2026</w:t>
            </w:r>
          </w:p>
        </w:tc>
      </w:tr>
      <w:tr w:rsidR="001350B9" w14:paraId="30F56459" w14:textId="77777777" w:rsidTr="004649D5">
        <w:trPr>
          <w:cantSplit/>
          <w:trHeight w:val="340"/>
        </w:trPr>
        <w:tc>
          <w:tcPr>
            <w:tcW w:w="1693" w:type="dxa"/>
          </w:tcPr>
          <w:p w14:paraId="5ED266C1" w14:textId="0894EA24" w:rsidR="001350B9" w:rsidRPr="00283EE1" w:rsidRDefault="001350B9" w:rsidP="007B6316">
            <w:pPr>
              <w:tabs>
                <w:tab w:val="left" w:pos="4111"/>
              </w:tabs>
              <w:spacing w:before="10"/>
              <w:ind w:left="57"/>
              <w:rPr>
                <w:szCs w:val="24"/>
              </w:rPr>
            </w:pPr>
            <w:r w:rsidRPr="00283EE1">
              <w:rPr>
                <w:szCs w:val="24"/>
              </w:rPr>
              <w:t>Ref.:</w:t>
            </w:r>
          </w:p>
        </w:tc>
        <w:tc>
          <w:tcPr>
            <w:tcW w:w="2977" w:type="dxa"/>
          </w:tcPr>
          <w:p w14:paraId="48BCE64F" w14:textId="7D3F4722" w:rsidR="001350B9" w:rsidRDefault="001350B9" w:rsidP="00303D62">
            <w:pPr>
              <w:tabs>
                <w:tab w:val="left" w:pos="4111"/>
              </w:tabs>
              <w:spacing w:before="0"/>
              <w:ind w:left="57"/>
              <w:rPr>
                <w:b/>
              </w:rPr>
            </w:pPr>
            <w:r>
              <w:rPr>
                <w:b/>
              </w:rPr>
              <w:t xml:space="preserve">Circular TSB </w:t>
            </w:r>
            <w:r w:rsidR="00283EE1" w:rsidRPr="00283EE1">
              <w:rPr>
                <w:b/>
              </w:rPr>
              <w:t>117</w:t>
            </w:r>
          </w:p>
          <w:p w14:paraId="4B0172AA" w14:textId="633B320A" w:rsidR="001350B9" w:rsidRPr="00283EE1" w:rsidRDefault="00283EE1" w:rsidP="007B6316">
            <w:pPr>
              <w:tabs>
                <w:tab w:val="left" w:pos="4111"/>
              </w:tabs>
              <w:spacing w:before="0"/>
              <w:ind w:left="57"/>
              <w:rPr>
                <w:b/>
              </w:rPr>
            </w:pPr>
            <w:r w:rsidRPr="00712C54">
              <w:rPr>
                <w:color w:val="000000"/>
                <w:szCs w:val="22"/>
                <w:lang w:val="es-ES"/>
              </w:rPr>
              <w:t>SG20/CB</w:t>
            </w:r>
          </w:p>
        </w:tc>
        <w:tc>
          <w:tcPr>
            <w:tcW w:w="5103" w:type="dxa"/>
            <w:vMerge w:val="restart"/>
          </w:tcPr>
          <w:p w14:paraId="5114BDF2" w14:textId="16A38A81" w:rsidR="00283EE1" w:rsidRPr="00283EE1" w:rsidRDefault="00283EE1" w:rsidP="00303D62">
            <w:pPr>
              <w:tabs>
                <w:tab w:val="clear" w:pos="794"/>
                <w:tab w:val="clear" w:pos="1191"/>
                <w:tab w:val="clear" w:pos="1588"/>
                <w:tab w:val="clear" w:pos="1985"/>
                <w:tab w:val="left" w:pos="284"/>
              </w:tabs>
              <w:spacing w:before="0"/>
              <w:ind w:left="284" w:hanging="227"/>
              <w:rPr>
                <w:b/>
                <w:bCs/>
              </w:rPr>
            </w:pPr>
            <w:bookmarkStart w:id="0" w:name="Addressee_S"/>
            <w:bookmarkEnd w:id="0"/>
            <w:r w:rsidRPr="00283EE1">
              <w:rPr>
                <w:b/>
                <w:bCs/>
              </w:rPr>
              <w:t>A</w:t>
            </w:r>
            <w:r>
              <w:rPr>
                <w:b/>
                <w:bCs/>
              </w:rPr>
              <w:t>:</w:t>
            </w:r>
          </w:p>
          <w:p w14:paraId="1198C10C" w14:textId="229D5364" w:rsidR="001350B9" w:rsidRDefault="001350B9" w:rsidP="00303D62">
            <w:pPr>
              <w:tabs>
                <w:tab w:val="clear" w:pos="794"/>
                <w:tab w:val="clear" w:pos="1191"/>
                <w:tab w:val="clear" w:pos="1588"/>
                <w:tab w:val="clear" w:pos="1985"/>
                <w:tab w:val="left" w:pos="284"/>
              </w:tabs>
              <w:spacing w:before="0"/>
              <w:ind w:left="284" w:hanging="227"/>
            </w:pPr>
            <w:r>
              <w:t>-</w:t>
            </w:r>
            <w:r>
              <w:tab/>
              <w:t>las Administraciones de los Estados Miembros de la Unión</w:t>
            </w:r>
            <w:r w:rsidR="00283EE1">
              <w:t>;</w:t>
            </w:r>
          </w:p>
          <w:p w14:paraId="5FBC6395" w14:textId="5C3488A1" w:rsidR="00283EE1" w:rsidRPr="00283EE1" w:rsidRDefault="00283EE1" w:rsidP="00283EE1">
            <w:pPr>
              <w:tabs>
                <w:tab w:val="clear" w:pos="794"/>
                <w:tab w:val="clear" w:pos="1191"/>
                <w:tab w:val="clear" w:pos="1588"/>
                <w:tab w:val="clear" w:pos="1985"/>
                <w:tab w:val="left" w:pos="284"/>
              </w:tabs>
              <w:spacing w:before="0"/>
              <w:ind w:left="284" w:hanging="227"/>
              <w:rPr>
                <w:szCs w:val="24"/>
              </w:rPr>
            </w:pPr>
            <w:r w:rsidRPr="00283EE1">
              <w:rPr>
                <w:szCs w:val="24"/>
              </w:rPr>
              <w:t>-</w:t>
            </w:r>
            <w:r w:rsidRPr="00283EE1">
              <w:rPr>
                <w:szCs w:val="24"/>
              </w:rPr>
              <w:tab/>
            </w:r>
            <w:r w:rsidRPr="00283EE1">
              <w:rPr>
                <w:color w:val="000000"/>
                <w:szCs w:val="24"/>
                <w:lang w:val="es-ES"/>
              </w:rPr>
              <w:t>el Estado de Palestina (Res. 99 (Rev. Dubái, 2018))</w:t>
            </w:r>
          </w:p>
          <w:p w14:paraId="2C32A24E" w14:textId="400EE63D" w:rsidR="001350B9" w:rsidRPr="00283EE1" w:rsidRDefault="00283EE1" w:rsidP="00283EE1">
            <w:pPr>
              <w:tabs>
                <w:tab w:val="clear" w:pos="794"/>
                <w:tab w:val="clear" w:pos="1191"/>
                <w:tab w:val="clear" w:pos="1588"/>
                <w:tab w:val="clear" w:pos="1985"/>
                <w:tab w:val="left" w:pos="284"/>
              </w:tabs>
              <w:spacing w:before="0"/>
              <w:ind w:left="284" w:hanging="227"/>
              <w:rPr>
                <w:b/>
                <w:bCs/>
              </w:rPr>
            </w:pPr>
            <w:r w:rsidRPr="00283EE1">
              <w:rPr>
                <w:b/>
                <w:bCs/>
              </w:rPr>
              <w:t>Copia a:</w:t>
            </w:r>
          </w:p>
          <w:p w14:paraId="2D8965FA" w14:textId="09143C9A" w:rsidR="001350B9" w:rsidRDefault="001350B9" w:rsidP="00283EE1">
            <w:pPr>
              <w:tabs>
                <w:tab w:val="clear" w:pos="794"/>
                <w:tab w:val="clear" w:pos="1191"/>
                <w:tab w:val="clear" w:pos="1588"/>
                <w:tab w:val="clear" w:pos="1985"/>
                <w:tab w:val="left" w:pos="284"/>
              </w:tabs>
              <w:spacing w:before="0"/>
              <w:ind w:left="284" w:hanging="227"/>
            </w:pPr>
            <w:r>
              <w:t>-</w:t>
            </w:r>
            <w:r>
              <w:tab/>
              <w:t>los Miembros del Sector UIT</w:t>
            </w:r>
            <w:r>
              <w:noBreakHyphen/>
              <w:t>T;</w:t>
            </w:r>
          </w:p>
          <w:p w14:paraId="0B19E0EB" w14:textId="34B2C26A" w:rsidR="001350B9" w:rsidRDefault="001350B9" w:rsidP="00283EE1">
            <w:pPr>
              <w:tabs>
                <w:tab w:val="clear" w:pos="794"/>
                <w:tab w:val="clear" w:pos="1191"/>
                <w:tab w:val="clear" w:pos="1588"/>
                <w:tab w:val="clear" w:pos="1985"/>
                <w:tab w:val="left" w:pos="284"/>
              </w:tabs>
              <w:spacing w:before="0"/>
              <w:ind w:left="284" w:hanging="227"/>
            </w:pPr>
            <w:r>
              <w:t>-</w:t>
            </w:r>
            <w:r>
              <w:tab/>
              <w:t xml:space="preserve">los Asociados </w:t>
            </w:r>
            <w:r w:rsidR="00283EE1" w:rsidRPr="00712C54">
              <w:rPr>
                <w:color w:val="000000"/>
                <w:szCs w:val="22"/>
                <w:lang w:val="es-ES"/>
              </w:rPr>
              <w:t xml:space="preserve">de la Comisión de Estudio 20 del </w:t>
            </w:r>
            <w:r w:rsidR="00283EE1">
              <w:rPr>
                <w:color w:val="000000"/>
                <w:szCs w:val="22"/>
                <w:lang w:val="es-ES"/>
              </w:rPr>
              <w:br/>
            </w:r>
            <w:r w:rsidR="00283EE1" w:rsidRPr="00712C54">
              <w:rPr>
                <w:color w:val="000000"/>
                <w:szCs w:val="22"/>
                <w:lang w:val="es-ES"/>
              </w:rPr>
              <w:t>UIT-T</w:t>
            </w:r>
            <w:r>
              <w:t>;</w:t>
            </w:r>
          </w:p>
          <w:p w14:paraId="7AD65A94" w14:textId="35D434B1" w:rsidR="001350B9" w:rsidRDefault="001350B9" w:rsidP="00283EE1">
            <w:pPr>
              <w:tabs>
                <w:tab w:val="clear" w:pos="794"/>
                <w:tab w:val="clear" w:pos="1191"/>
                <w:tab w:val="clear" w:pos="1588"/>
                <w:tab w:val="clear" w:pos="1985"/>
                <w:tab w:val="left" w:pos="284"/>
              </w:tabs>
              <w:spacing w:before="0"/>
              <w:ind w:left="284" w:hanging="227"/>
            </w:pPr>
            <w:r w:rsidRPr="00665FBD">
              <w:t>-</w:t>
            </w:r>
            <w:r>
              <w:tab/>
              <w:t xml:space="preserve">las Instituciones Académicas del </w:t>
            </w:r>
            <w:r w:rsidRPr="00665FBD">
              <w:t>UIT-T</w:t>
            </w:r>
            <w:r>
              <w:t>;</w:t>
            </w:r>
          </w:p>
          <w:p w14:paraId="0C5DDD59" w14:textId="1180903E" w:rsidR="001350B9" w:rsidRDefault="001350B9" w:rsidP="00283EE1">
            <w:pPr>
              <w:tabs>
                <w:tab w:val="clear" w:pos="794"/>
                <w:tab w:val="clear" w:pos="1191"/>
                <w:tab w:val="clear" w:pos="1588"/>
                <w:tab w:val="clear" w:pos="1985"/>
                <w:tab w:val="left" w:pos="284"/>
              </w:tabs>
              <w:spacing w:before="0"/>
              <w:ind w:left="284" w:hanging="227"/>
            </w:pPr>
            <w:r>
              <w:t>-</w:t>
            </w:r>
            <w:r>
              <w:tab/>
            </w:r>
            <w:r w:rsidR="00283EE1">
              <w:t>e</w:t>
            </w:r>
            <w:r>
              <w:t xml:space="preserve">l </w:t>
            </w:r>
            <w:proofErr w:type="gramStart"/>
            <w:r>
              <w:t>Presidente</w:t>
            </w:r>
            <w:proofErr w:type="gramEnd"/>
            <w:r>
              <w:t xml:space="preserve"> y a los </w:t>
            </w:r>
            <w:proofErr w:type="gramStart"/>
            <w:r>
              <w:t>Vicepresidentes</w:t>
            </w:r>
            <w:proofErr w:type="gramEnd"/>
            <w:r>
              <w:t xml:space="preserve"> de la</w:t>
            </w:r>
            <w:r>
              <w:br/>
              <w:t xml:space="preserve">Comisión de Estudio </w:t>
            </w:r>
            <w:r w:rsidR="00283EE1">
              <w:t>20 del UIT-T</w:t>
            </w:r>
            <w:r>
              <w:t>;</w:t>
            </w:r>
          </w:p>
          <w:p w14:paraId="0801634C" w14:textId="13A38AF3" w:rsidR="001350B9" w:rsidRDefault="001350B9" w:rsidP="00283EE1">
            <w:pPr>
              <w:tabs>
                <w:tab w:val="clear" w:pos="794"/>
                <w:tab w:val="clear" w:pos="1191"/>
                <w:tab w:val="clear" w:pos="1588"/>
                <w:tab w:val="clear" w:pos="1985"/>
                <w:tab w:val="left" w:pos="284"/>
              </w:tabs>
              <w:spacing w:before="0"/>
              <w:ind w:left="284" w:hanging="227"/>
            </w:pPr>
            <w:r>
              <w:t>-</w:t>
            </w:r>
            <w:r>
              <w:tab/>
            </w:r>
            <w:r w:rsidR="00283EE1">
              <w:t>el</w:t>
            </w:r>
            <w:r>
              <w:t xml:space="preserve"> </w:t>
            </w:r>
            <w:proofErr w:type="gramStart"/>
            <w:r>
              <w:t>Director</w:t>
            </w:r>
            <w:proofErr w:type="gramEnd"/>
            <w:r>
              <w:t xml:space="preserve"> de la Oficina de Desarrollo de las Telecomunicaciones;</w:t>
            </w:r>
          </w:p>
          <w:p w14:paraId="384B046C" w14:textId="6730A2E9" w:rsidR="001350B9" w:rsidRDefault="001350B9" w:rsidP="006C0AAC">
            <w:pPr>
              <w:tabs>
                <w:tab w:val="clear" w:pos="794"/>
                <w:tab w:val="clear" w:pos="1191"/>
                <w:tab w:val="clear" w:pos="1588"/>
                <w:tab w:val="clear" w:pos="1985"/>
                <w:tab w:val="left" w:pos="284"/>
              </w:tabs>
              <w:spacing w:before="0" w:after="120"/>
              <w:ind w:left="284" w:hanging="227"/>
            </w:pPr>
            <w:r>
              <w:t>-</w:t>
            </w:r>
            <w:r>
              <w:tab/>
            </w:r>
            <w:r w:rsidR="00283EE1">
              <w:t>e</w:t>
            </w:r>
            <w:r>
              <w:t xml:space="preserve">l </w:t>
            </w:r>
            <w:proofErr w:type="gramStart"/>
            <w:r>
              <w:t>Director</w:t>
            </w:r>
            <w:proofErr w:type="gramEnd"/>
            <w:r>
              <w:t xml:space="preserve"> de la Oficina de Radiocomunicaciones</w:t>
            </w:r>
          </w:p>
        </w:tc>
      </w:tr>
      <w:tr w:rsidR="001350B9" w14:paraId="469C7071" w14:textId="77777777" w:rsidTr="004649D5">
        <w:trPr>
          <w:cantSplit/>
        </w:trPr>
        <w:tc>
          <w:tcPr>
            <w:tcW w:w="1693" w:type="dxa"/>
          </w:tcPr>
          <w:p w14:paraId="51177E40" w14:textId="77777777" w:rsidR="001350B9" w:rsidRPr="00283EE1" w:rsidRDefault="001350B9" w:rsidP="00303D62">
            <w:pPr>
              <w:tabs>
                <w:tab w:val="left" w:pos="4111"/>
              </w:tabs>
              <w:spacing w:before="10"/>
              <w:ind w:left="57"/>
              <w:rPr>
                <w:szCs w:val="24"/>
              </w:rPr>
            </w:pPr>
            <w:r w:rsidRPr="00283EE1">
              <w:rPr>
                <w:szCs w:val="24"/>
              </w:rPr>
              <w:t>Tel.:</w:t>
            </w:r>
          </w:p>
        </w:tc>
        <w:tc>
          <w:tcPr>
            <w:tcW w:w="2977" w:type="dxa"/>
          </w:tcPr>
          <w:p w14:paraId="0D5347E0" w14:textId="3782CA3D" w:rsidR="001350B9" w:rsidRDefault="001350B9" w:rsidP="00303D62">
            <w:pPr>
              <w:tabs>
                <w:tab w:val="left" w:pos="4111"/>
              </w:tabs>
              <w:spacing w:before="0"/>
              <w:ind w:left="57"/>
              <w:rPr>
                <w:rStyle w:val="Hyperlink"/>
              </w:rPr>
            </w:pPr>
            <w:r>
              <w:t>+41 22 730</w:t>
            </w:r>
            <w:r w:rsidR="00283EE1">
              <w:t xml:space="preserve"> 6301</w:t>
            </w:r>
          </w:p>
        </w:tc>
        <w:tc>
          <w:tcPr>
            <w:tcW w:w="5103" w:type="dxa"/>
            <w:vMerge/>
          </w:tcPr>
          <w:p w14:paraId="4EF9220F" w14:textId="77777777" w:rsidR="001350B9" w:rsidRDefault="001350B9" w:rsidP="00303D62">
            <w:pPr>
              <w:tabs>
                <w:tab w:val="left" w:pos="226"/>
                <w:tab w:val="left" w:pos="510"/>
              </w:tabs>
              <w:spacing w:before="0"/>
              <w:ind w:left="226" w:hanging="169"/>
              <w:rPr>
                <w:b/>
              </w:rPr>
            </w:pPr>
          </w:p>
        </w:tc>
      </w:tr>
      <w:tr w:rsidR="001350B9" w14:paraId="3AD41BF6" w14:textId="77777777" w:rsidTr="004649D5">
        <w:trPr>
          <w:cantSplit/>
        </w:trPr>
        <w:tc>
          <w:tcPr>
            <w:tcW w:w="1693" w:type="dxa"/>
          </w:tcPr>
          <w:p w14:paraId="7A927477" w14:textId="77777777" w:rsidR="001350B9" w:rsidRPr="00283EE1" w:rsidRDefault="001350B9" w:rsidP="00303D62">
            <w:pPr>
              <w:tabs>
                <w:tab w:val="left" w:pos="4111"/>
              </w:tabs>
              <w:spacing w:before="10"/>
              <w:ind w:left="57"/>
              <w:rPr>
                <w:szCs w:val="24"/>
              </w:rPr>
            </w:pPr>
            <w:r w:rsidRPr="00283EE1">
              <w:rPr>
                <w:szCs w:val="24"/>
              </w:rPr>
              <w:t>Fax:</w:t>
            </w:r>
          </w:p>
        </w:tc>
        <w:tc>
          <w:tcPr>
            <w:tcW w:w="2977" w:type="dxa"/>
          </w:tcPr>
          <w:p w14:paraId="5F8AFC21" w14:textId="77777777" w:rsidR="001350B9" w:rsidRDefault="001350B9" w:rsidP="00303D62">
            <w:pPr>
              <w:tabs>
                <w:tab w:val="left" w:pos="4111"/>
              </w:tabs>
              <w:spacing w:before="0"/>
              <w:ind w:left="57"/>
              <w:rPr>
                <w:rStyle w:val="Hyperlink"/>
              </w:rPr>
            </w:pPr>
            <w:r>
              <w:t>+41 22 730 5853</w:t>
            </w:r>
          </w:p>
        </w:tc>
        <w:tc>
          <w:tcPr>
            <w:tcW w:w="5103" w:type="dxa"/>
            <w:vMerge/>
          </w:tcPr>
          <w:p w14:paraId="71F7646A" w14:textId="77777777" w:rsidR="001350B9" w:rsidRDefault="001350B9" w:rsidP="00303D62">
            <w:pPr>
              <w:tabs>
                <w:tab w:val="left" w:pos="226"/>
                <w:tab w:val="left" w:pos="510"/>
              </w:tabs>
              <w:spacing w:before="0"/>
              <w:ind w:left="226" w:hanging="169"/>
              <w:rPr>
                <w:b/>
              </w:rPr>
            </w:pPr>
          </w:p>
        </w:tc>
      </w:tr>
      <w:tr w:rsidR="001350B9" w14:paraId="13AA3CB4" w14:textId="77777777" w:rsidTr="004649D5">
        <w:trPr>
          <w:cantSplit/>
          <w:trHeight w:val="3230"/>
        </w:trPr>
        <w:tc>
          <w:tcPr>
            <w:tcW w:w="1693" w:type="dxa"/>
          </w:tcPr>
          <w:p w14:paraId="7641841B" w14:textId="77777777" w:rsidR="001350B9" w:rsidRPr="00283EE1" w:rsidRDefault="001350B9" w:rsidP="00303D62">
            <w:pPr>
              <w:tabs>
                <w:tab w:val="left" w:pos="4111"/>
              </w:tabs>
              <w:spacing w:before="10"/>
              <w:ind w:left="57"/>
              <w:rPr>
                <w:szCs w:val="24"/>
              </w:rPr>
            </w:pPr>
            <w:r w:rsidRPr="00283EE1">
              <w:rPr>
                <w:szCs w:val="24"/>
              </w:rPr>
              <w:t>Correo-e:</w:t>
            </w:r>
          </w:p>
        </w:tc>
        <w:tc>
          <w:tcPr>
            <w:tcW w:w="2977" w:type="dxa"/>
          </w:tcPr>
          <w:p w14:paraId="4A75F48C" w14:textId="1307284D" w:rsidR="001350B9" w:rsidRDefault="00283EE1" w:rsidP="00303D62">
            <w:pPr>
              <w:tabs>
                <w:tab w:val="left" w:pos="4111"/>
              </w:tabs>
              <w:spacing w:before="0"/>
              <w:ind w:left="57"/>
            </w:pPr>
            <w:hyperlink r:id="rId9" w:history="1">
              <w:r w:rsidRPr="00A70C86">
                <w:rPr>
                  <w:rStyle w:val="Hyperlink"/>
                </w:rPr>
                <w:t>tsbsg20@itu.int</w:t>
              </w:r>
            </w:hyperlink>
            <w:r w:rsidR="001350B9">
              <w:t xml:space="preserve"> </w:t>
            </w:r>
          </w:p>
        </w:tc>
        <w:tc>
          <w:tcPr>
            <w:tcW w:w="5103" w:type="dxa"/>
            <w:vMerge/>
          </w:tcPr>
          <w:p w14:paraId="2A3378B3" w14:textId="77777777" w:rsidR="001350B9" w:rsidRDefault="001350B9" w:rsidP="00303D62">
            <w:pPr>
              <w:tabs>
                <w:tab w:val="clear" w:pos="794"/>
                <w:tab w:val="clear" w:pos="1191"/>
                <w:tab w:val="clear" w:pos="1588"/>
                <w:tab w:val="clear" w:pos="1985"/>
                <w:tab w:val="left" w:pos="226"/>
                <w:tab w:val="left" w:pos="510"/>
              </w:tabs>
              <w:spacing w:before="0"/>
              <w:ind w:left="226" w:hanging="169"/>
            </w:pPr>
          </w:p>
        </w:tc>
      </w:tr>
      <w:tr w:rsidR="007B6316" w14:paraId="36E86818" w14:textId="77777777" w:rsidTr="004649D5">
        <w:trPr>
          <w:cantSplit/>
        </w:trPr>
        <w:tc>
          <w:tcPr>
            <w:tcW w:w="1693" w:type="dxa"/>
          </w:tcPr>
          <w:p w14:paraId="385026B8" w14:textId="77777777" w:rsidR="007B6316" w:rsidRPr="007A7329" w:rsidRDefault="007B6316" w:rsidP="00303D62">
            <w:pPr>
              <w:tabs>
                <w:tab w:val="left" w:pos="4111"/>
              </w:tabs>
              <w:spacing w:before="10"/>
              <w:ind w:left="57"/>
              <w:rPr>
                <w:szCs w:val="24"/>
              </w:rPr>
            </w:pPr>
            <w:r w:rsidRPr="007A7329">
              <w:rPr>
                <w:szCs w:val="24"/>
              </w:rPr>
              <w:t>Asunto:</w:t>
            </w:r>
          </w:p>
        </w:tc>
        <w:tc>
          <w:tcPr>
            <w:tcW w:w="8080" w:type="dxa"/>
            <w:gridSpan w:val="2"/>
          </w:tcPr>
          <w:p w14:paraId="75EA41BA" w14:textId="554338C8" w:rsidR="007B6316" w:rsidRDefault="00283EE1" w:rsidP="00FB1FD5">
            <w:pPr>
              <w:tabs>
                <w:tab w:val="left" w:pos="4111"/>
              </w:tabs>
              <w:spacing w:before="0"/>
              <w:ind w:left="57"/>
              <w:rPr>
                <w:b/>
              </w:rPr>
            </w:pPr>
            <w:r w:rsidRPr="00712C54">
              <w:rPr>
                <w:b/>
                <w:bCs/>
                <w:color w:val="000000"/>
                <w:szCs w:val="22"/>
                <w:lang w:val="es-ES"/>
              </w:rPr>
              <w:t>Mandato de la nueva Cuestión 11/20</w:t>
            </w:r>
          </w:p>
        </w:tc>
      </w:tr>
    </w:tbl>
    <w:p w14:paraId="0CEE2D60" w14:textId="555120EF" w:rsidR="00C34772" w:rsidRDefault="00FB1FD5" w:rsidP="00FB1FD5">
      <w:pPr>
        <w:spacing w:before="320" w:after="120"/>
      </w:pPr>
      <w:bookmarkStart w:id="1" w:name="StartTyping_S"/>
      <w:bookmarkStart w:id="2" w:name="suitetext"/>
      <w:bookmarkStart w:id="3" w:name="text"/>
      <w:bookmarkEnd w:id="1"/>
      <w:bookmarkEnd w:id="2"/>
      <w:bookmarkEnd w:id="3"/>
      <w:r w:rsidRPr="00FB1FD5">
        <w:t>Estimado señor/señora:</w:t>
      </w:r>
    </w:p>
    <w:p w14:paraId="4BABD354" w14:textId="77777777" w:rsidR="00FB1FD5" w:rsidRPr="00FB1FD5" w:rsidRDefault="00FB1FD5" w:rsidP="00FB1FD5">
      <w:pPr>
        <w:spacing w:before="0" w:after="120"/>
        <w:rPr>
          <w:szCs w:val="24"/>
          <w:lang w:val="es-ES"/>
        </w:rPr>
      </w:pPr>
      <w:r w:rsidRPr="00FB1FD5">
        <w:rPr>
          <w:szCs w:val="24"/>
          <w:lang w:val="es-ES"/>
        </w:rPr>
        <w:t>1</w:t>
      </w:r>
      <w:r w:rsidRPr="00FB1FD5">
        <w:rPr>
          <w:szCs w:val="24"/>
          <w:lang w:val="es-ES"/>
        </w:rPr>
        <w:tab/>
      </w:r>
      <w:proofErr w:type="gramStart"/>
      <w:r w:rsidRPr="00FB1FD5">
        <w:rPr>
          <w:szCs w:val="24"/>
          <w:lang w:val="es-ES"/>
        </w:rPr>
        <w:t>A</w:t>
      </w:r>
      <w:proofErr w:type="gramEnd"/>
      <w:r w:rsidRPr="00FB1FD5">
        <w:rPr>
          <w:szCs w:val="24"/>
          <w:lang w:val="es-ES"/>
        </w:rPr>
        <w:t xml:space="preserve"> petición del </w:t>
      </w:r>
      <w:proofErr w:type="gramStart"/>
      <w:r w:rsidRPr="00FB1FD5">
        <w:rPr>
          <w:szCs w:val="24"/>
          <w:lang w:val="es-ES"/>
        </w:rPr>
        <w:t>Presidente</w:t>
      </w:r>
      <w:proofErr w:type="gramEnd"/>
      <w:r w:rsidRPr="00FB1FD5">
        <w:rPr>
          <w:szCs w:val="24"/>
          <w:lang w:val="es-ES"/>
        </w:rPr>
        <w:t xml:space="preserve"> de la Comisión de Estudio 20 del UIT-T, "</w:t>
      </w:r>
      <w:r w:rsidRPr="00FB1FD5">
        <w:rPr>
          <w:i/>
          <w:iCs/>
          <w:szCs w:val="24"/>
          <w:lang w:val="es-ES"/>
        </w:rPr>
        <w:t>Internet de las cosas, gemelos digitales y ciudades y comunidades inteligentes y sostenibles</w:t>
      </w:r>
      <w:r w:rsidRPr="00FB1FD5">
        <w:rPr>
          <w:szCs w:val="24"/>
          <w:lang w:val="es-ES"/>
        </w:rPr>
        <w:t>", tengo el honor de informarle que, de conformidad con lo dispuesto en el § 7.2.2 de la Sección 7 de la Resolución 1 (Rev. Ginebra, 2022), se adopta la siguiente decisión por consenso entre los presentes:</w:t>
      </w:r>
    </w:p>
    <w:p w14:paraId="19D7152F" w14:textId="77777777" w:rsidR="00FB1FD5" w:rsidRPr="00FB1FD5" w:rsidRDefault="00FB1FD5" w:rsidP="00FB1FD5">
      <w:pPr>
        <w:pStyle w:val="enumlev1"/>
        <w:tabs>
          <w:tab w:val="clear" w:pos="794"/>
          <w:tab w:val="clear" w:pos="1191"/>
          <w:tab w:val="clear" w:pos="1588"/>
          <w:tab w:val="clear" w:pos="1985"/>
        </w:tabs>
        <w:spacing w:before="0" w:after="120"/>
        <w:ind w:left="812" w:hanging="812"/>
        <w:rPr>
          <w:szCs w:val="24"/>
          <w:lang w:val="es-ES"/>
        </w:rPr>
      </w:pPr>
      <w:r w:rsidRPr="00FB1FD5">
        <w:rPr>
          <w:szCs w:val="24"/>
          <w:lang w:val="es-ES"/>
        </w:rPr>
        <w:t>–</w:t>
      </w:r>
      <w:r w:rsidRPr="00FB1FD5">
        <w:rPr>
          <w:szCs w:val="24"/>
          <w:lang w:val="es-ES"/>
        </w:rPr>
        <w:tab/>
        <w:t>Esta Comisión de Estudio, en su reunión celebrada en Ginebra del 15 al 25 de septiembre de 2025, acordó crear una nueva Cuestión 11/20 sobre "</w:t>
      </w:r>
      <w:r w:rsidRPr="00FB1FD5">
        <w:rPr>
          <w:i/>
          <w:iCs/>
          <w:szCs w:val="24"/>
          <w:lang w:val="es-ES"/>
        </w:rPr>
        <w:t>Agricultura digital: de la granja inteligente y la producción a un consumo seguro y confiable</w:t>
      </w:r>
      <w:r w:rsidRPr="00FB1FD5">
        <w:rPr>
          <w:szCs w:val="24"/>
          <w:lang w:val="es-ES"/>
        </w:rPr>
        <w:t>".</w:t>
      </w:r>
    </w:p>
    <w:p w14:paraId="6B54737B" w14:textId="77777777" w:rsidR="00FB1FD5" w:rsidRPr="00FB1FD5" w:rsidRDefault="00FB1FD5" w:rsidP="00FB1FD5">
      <w:pPr>
        <w:spacing w:before="0" w:after="120"/>
        <w:rPr>
          <w:szCs w:val="24"/>
          <w:lang w:val="es-ES"/>
        </w:rPr>
      </w:pPr>
      <w:r w:rsidRPr="00FB1FD5">
        <w:rPr>
          <w:szCs w:val="24"/>
          <w:lang w:val="es-ES"/>
        </w:rPr>
        <w:t>2</w:t>
      </w:r>
      <w:r w:rsidRPr="00FB1FD5">
        <w:rPr>
          <w:szCs w:val="24"/>
          <w:lang w:val="es-ES"/>
        </w:rPr>
        <w:tab/>
      </w:r>
      <w:proofErr w:type="gramStart"/>
      <w:r w:rsidRPr="00FB1FD5">
        <w:rPr>
          <w:szCs w:val="24"/>
          <w:lang w:val="es-ES"/>
        </w:rPr>
        <w:t>El</w:t>
      </w:r>
      <w:proofErr w:type="gramEnd"/>
      <w:r w:rsidRPr="00FB1FD5">
        <w:rPr>
          <w:szCs w:val="24"/>
          <w:lang w:val="es-ES"/>
        </w:rPr>
        <w:t xml:space="preserve"> Grupo Asesor de Normalización de las Telecomunicaciones (GANT), en su reunión celebrada en Ginebra del 26 al 30 de enero de 2026, refrendó el mandato de la nueva Cuestión 11/20 propuesto por la CE 20 del UIT-T.</w:t>
      </w:r>
    </w:p>
    <w:p w14:paraId="21DF137F" w14:textId="77777777" w:rsidR="00FB1FD5" w:rsidRPr="00FB1FD5" w:rsidRDefault="00FB1FD5" w:rsidP="00C464D8">
      <w:pPr>
        <w:spacing w:before="0" w:after="360"/>
        <w:rPr>
          <w:szCs w:val="24"/>
          <w:lang w:val="es-ES"/>
        </w:rPr>
      </w:pPr>
      <w:r w:rsidRPr="00FB1FD5">
        <w:rPr>
          <w:szCs w:val="24"/>
          <w:lang w:val="es-ES"/>
        </w:rPr>
        <w:t>3</w:t>
      </w:r>
      <w:r w:rsidRPr="00FB1FD5">
        <w:rPr>
          <w:szCs w:val="24"/>
          <w:lang w:val="es-ES"/>
        </w:rPr>
        <w:tab/>
      </w:r>
      <w:proofErr w:type="gramStart"/>
      <w:r w:rsidRPr="00FB1FD5">
        <w:rPr>
          <w:szCs w:val="24"/>
          <w:lang w:val="es-ES"/>
        </w:rPr>
        <w:t>El</w:t>
      </w:r>
      <w:proofErr w:type="gramEnd"/>
      <w:r w:rsidRPr="00FB1FD5">
        <w:rPr>
          <w:szCs w:val="24"/>
          <w:lang w:val="es-ES"/>
        </w:rPr>
        <w:t xml:space="preserve"> </w:t>
      </w:r>
      <w:r w:rsidRPr="00FB1FD5">
        <w:rPr>
          <w:b/>
          <w:bCs/>
          <w:szCs w:val="24"/>
          <w:lang w:val="es-ES"/>
        </w:rPr>
        <w:t>Anexo 1</w:t>
      </w:r>
      <w:r w:rsidRPr="00FB1FD5">
        <w:rPr>
          <w:szCs w:val="24"/>
          <w:lang w:val="es-ES"/>
        </w:rPr>
        <w:t xml:space="preserve"> contiene el texto de la nueva Cuestión 11/20.</w:t>
      </w:r>
    </w:p>
    <w:p w14:paraId="05FBB280" w14:textId="77777777" w:rsidR="00FB1FD5" w:rsidRPr="00FB1FD5" w:rsidRDefault="00FB1FD5" w:rsidP="00FB1FD5">
      <w:pPr>
        <w:spacing w:before="0" w:after="120"/>
        <w:rPr>
          <w:szCs w:val="24"/>
          <w:lang w:val="es-ES"/>
        </w:rPr>
      </w:pPr>
      <w:r w:rsidRPr="00FB1FD5">
        <w:rPr>
          <w:noProof/>
          <w:szCs w:val="24"/>
          <w:lang w:val="es-ES"/>
        </w:rPr>
        <w:drawing>
          <wp:anchor distT="0" distB="0" distL="114300" distR="114300" simplePos="0" relativeHeight="251658240" behindDoc="1" locked="0" layoutInCell="1" allowOverlap="1" wp14:anchorId="0A725B96" wp14:editId="60303626">
            <wp:simplePos x="0" y="0"/>
            <wp:positionH relativeFrom="margin">
              <wp:align>left</wp:align>
            </wp:positionH>
            <wp:positionV relativeFrom="paragraph">
              <wp:posOffset>229235</wp:posOffset>
            </wp:positionV>
            <wp:extent cx="711237" cy="368319"/>
            <wp:effectExtent l="0" t="0" r="0" b="0"/>
            <wp:wrapNone/>
            <wp:docPr id="11996969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696903" name="Picture 1199696903"/>
                    <pic:cNvPicPr/>
                  </pic:nvPicPr>
                  <pic:blipFill>
                    <a:blip r:embed="rId10">
                      <a:extLst>
                        <a:ext uri="{28A0092B-C50C-407E-A947-70E740481C1C}">
                          <a14:useLocalDpi xmlns:a14="http://schemas.microsoft.com/office/drawing/2010/main" val="0"/>
                        </a:ext>
                      </a:extLst>
                    </a:blip>
                    <a:stretch>
                      <a:fillRect/>
                    </a:stretch>
                  </pic:blipFill>
                  <pic:spPr>
                    <a:xfrm>
                      <a:off x="0" y="0"/>
                      <a:ext cx="711237" cy="368319"/>
                    </a:xfrm>
                    <a:prstGeom prst="rect">
                      <a:avLst/>
                    </a:prstGeom>
                  </pic:spPr>
                </pic:pic>
              </a:graphicData>
            </a:graphic>
          </wp:anchor>
        </w:drawing>
      </w:r>
      <w:r w:rsidRPr="00FB1FD5">
        <w:rPr>
          <w:szCs w:val="24"/>
          <w:lang w:val="es-ES"/>
        </w:rPr>
        <w:t>Atentamente,</w:t>
      </w:r>
    </w:p>
    <w:p w14:paraId="23FB974B" w14:textId="77777777" w:rsidR="00FB1FD5" w:rsidRPr="00FB1FD5" w:rsidRDefault="00FB1FD5" w:rsidP="00FB1FD5">
      <w:pPr>
        <w:spacing w:before="820"/>
        <w:rPr>
          <w:szCs w:val="24"/>
          <w:lang w:val="es-ES"/>
        </w:rPr>
      </w:pPr>
      <w:r w:rsidRPr="00FB1FD5">
        <w:rPr>
          <w:szCs w:val="24"/>
          <w:lang w:val="es-ES"/>
        </w:rPr>
        <w:t>Seizo Onoe</w:t>
      </w:r>
      <w:r w:rsidRPr="00FB1FD5">
        <w:rPr>
          <w:szCs w:val="24"/>
          <w:lang w:val="es-ES"/>
        </w:rPr>
        <w:br/>
      </w:r>
      <w:proofErr w:type="gramStart"/>
      <w:r w:rsidRPr="00FB1FD5">
        <w:rPr>
          <w:szCs w:val="24"/>
          <w:lang w:val="es-ES"/>
        </w:rPr>
        <w:t>Director</w:t>
      </w:r>
      <w:proofErr w:type="gramEnd"/>
      <w:r w:rsidRPr="00FB1FD5">
        <w:rPr>
          <w:szCs w:val="24"/>
          <w:lang w:val="es-ES"/>
        </w:rPr>
        <w:t xml:space="preserve"> de la Oficina de Normalización</w:t>
      </w:r>
      <w:r w:rsidRPr="00FB1FD5">
        <w:rPr>
          <w:szCs w:val="24"/>
          <w:lang w:val="es-ES"/>
        </w:rPr>
        <w:br/>
        <w:t>de las Telecomunicaciones</w:t>
      </w:r>
    </w:p>
    <w:p w14:paraId="05E7D3F8" w14:textId="77777777" w:rsidR="00FB1FD5" w:rsidRPr="00311FA7" w:rsidRDefault="00FB1FD5" w:rsidP="00FB1FD5">
      <w:pPr>
        <w:spacing w:before="820"/>
        <w:rPr>
          <w:szCs w:val="24"/>
          <w:lang w:val="es-ES"/>
        </w:rPr>
      </w:pPr>
      <w:r w:rsidRPr="00311FA7">
        <w:rPr>
          <w:b/>
          <w:bCs/>
          <w:szCs w:val="24"/>
          <w:lang w:val="es-ES"/>
        </w:rPr>
        <w:t>Anexo:</w:t>
      </w:r>
      <w:r w:rsidRPr="00311FA7">
        <w:rPr>
          <w:szCs w:val="24"/>
          <w:lang w:val="es-ES"/>
        </w:rPr>
        <w:tab/>
        <w:t>1</w:t>
      </w:r>
    </w:p>
    <w:p w14:paraId="1883961A" w14:textId="7C221B6E" w:rsidR="00FB1FD5" w:rsidRPr="00261AA0" w:rsidRDefault="00FB1FD5" w:rsidP="00311FA7">
      <w:pPr>
        <w:pStyle w:val="AnnexTitle"/>
        <w:rPr>
          <w:rFonts w:cstheme="minorHAnsi"/>
          <w:sz w:val="28"/>
          <w:szCs w:val="28"/>
          <w:lang w:val="es-ES"/>
        </w:rPr>
      </w:pPr>
      <w:r w:rsidRPr="00261AA0">
        <w:rPr>
          <w:sz w:val="28"/>
          <w:szCs w:val="28"/>
          <w:lang w:val="es-ES"/>
        </w:rPr>
        <w:lastRenderedPageBreak/>
        <w:t>Anexo</w:t>
      </w:r>
      <w:r w:rsidRPr="00261AA0">
        <w:rPr>
          <w:sz w:val="28"/>
          <w:szCs w:val="28"/>
          <w:lang w:val="es-ES"/>
        </w:rPr>
        <w:br/>
        <w:t>Mandato de la nueva Cuestión sobre "Agricultura digital: de la granja inteligente</w:t>
      </w:r>
      <w:r w:rsidR="00111F78">
        <w:rPr>
          <w:sz w:val="28"/>
          <w:szCs w:val="28"/>
          <w:lang w:val="es-ES"/>
        </w:rPr>
        <w:br/>
      </w:r>
      <w:r w:rsidRPr="00261AA0">
        <w:rPr>
          <w:sz w:val="28"/>
          <w:szCs w:val="28"/>
          <w:lang w:val="es-ES"/>
        </w:rPr>
        <w:t>y la producción a un consumo seguro y confiable"</w:t>
      </w:r>
    </w:p>
    <w:p w14:paraId="0B223485" w14:textId="77777777" w:rsidR="00FB1FD5" w:rsidRPr="00261AA0" w:rsidRDefault="00FB1FD5" w:rsidP="00261AA0">
      <w:pPr>
        <w:pStyle w:val="Questiontitle"/>
        <w:jc w:val="left"/>
        <w:rPr>
          <w:rFonts w:cstheme="minorHAnsi"/>
          <w:color w:val="000000"/>
          <w:sz w:val="24"/>
          <w:szCs w:val="24"/>
          <w:lang w:val="es-ES"/>
        </w:rPr>
      </w:pPr>
      <w:r w:rsidRPr="00261AA0">
        <w:rPr>
          <w:sz w:val="24"/>
          <w:szCs w:val="24"/>
          <w:lang w:val="es-ES"/>
        </w:rPr>
        <w:t>C11/20 – Agricultura digital: de la granja inteligente y la producción a un consumo seguro y confiable</w:t>
      </w:r>
    </w:p>
    <w:p w14:paraId="3A459A53" w14:textId="77777777" w:rsidR="00FB1FD5" w:rsidRPr="00FB1FD5" w:rsidRDefault="00FB1FD5" w:rsidP="00311FA7">
      <w:pPr>
        <w:pStyle w:val="Heading1"/>
        <w:rPr>
          <w:rFonts w:cstheme="minorHAnsi"/>
          <w:lang w:val="es-ES"/>
        </w:rPr>
      </w:pPr>
      <w:r w:rsidRPr="00FB1FD5">
        <w:rPr>
          <w:lang w:val="es-ES"/>
        </w:rPr>
        <w:t>1</w:t>
      </w:r>
      <w:r w:rsidRPr="00FB1FD5">
        <w:rPr>
          <w:lang w:val="es-ES"/>
        </w:rPr>
        <w:tab/>
      </w:r>
      <w:proofErr w:type="gramStart"/>
      <w:r w:rsidRPr="00FB1FD5">
        <w:rPr>
          <w:lang w:val="es-ES"/>
        </w:rPr>
        <w:t>Motivación</w:t>
      </w:r>
      <w:proofErr w:type="gramEnd"/>
    </w:p>
    <w:p w14:paraId="1B3E2AFC" w14:textId="77777777" w:rsidR="00FB1FD5" w:rsidRPr="00FB1FD5" w:rsidRDefault="00FB1FD5" w:rsidP="00FB1FD5">
      <w:pPr>
        <w:tabs>
          <w:tab w:val="clear" w:pos="794"/>
          <w:tab w:val="clear" w:pos="1191"/>
          <w:tab w:val="clear" w:pos="1588"/>
          <w:tab w:val="clear" w:pos="1985"/>
        </w:tabs>
        <w:overflowPunct/>
        <w:autoSpaceDE/>
        <w:autoSpaceDN/>
        <w:adjustRightInd/>
        <w:textAlignment w:val="auto"/>
        <w:rPr>
          <w:rFonts w:eastAsiaTheme="minorEastAsia" w:cstheme="minorHAnsi"/>
          <w:szCs w:val="24"/>
          <w:lang w:val="es-ES"/>
        </w:rPr>
      </w:pPr>
      <w:r w:rsidRPr="00FB1FD5">
        <w:rPr>
          <w:szCs w:val="24"/>
          <w:lang w:val="es-ES"/>
        </w:rPr>
        <w:t>La agricultura digital, sus productos, la cadena de suministro, la seguridad y la protección (es decir, de la granja al consumo) están siendo reconfigurados por la convergencia de la Internet de las cosas (</w:t>
      </w:r>
      <w:proofErr w:type="spellStart"/>
      <w:r w:rsidRPr="00FB1FD5">
        <w:rPr>
          <w:szCs w:val="24"/>
          <w:lang w:val="es-ES"/>
        </w:rPr>
        <w:t>IoT</w:t>
      </w:r>
      <w:proofErr w:type="spellEnd"/>
      <w:r w:rsidRPr="00FB1FD5">
        <w:rPr>
          <w:szCs w:val="24"/>
          <w:lang w:val="es-ES"/>
        </w:rPr>
        <w:t>), la inteligencia artificial (IA), la robótica, los gemelos digitales, los entornos inmersivos y otras tecnologías digitales emergentes. Estas innovaciones están abriendo nuevas capacidades de agricultura inteligente y de precisión, compartición de información de riesgos para la producción agrícola, agricultura ecológica baja en carbono, trazabilidad alimentaria, automatización inteligente y analítica en tiempo real a lo largo de toda la cadena de valor, desde la producción a la distribución, pasando por el procesamiento, así como el desarrollo agrícola sostenible.</w:t>
      </w:r>
    </w:p>
    <w:p w14:paraId="3B03CE4E" w14:textId="77777777" w:rsidR="00FB1FD5" w:rsidRPr="00FB1FD5" w:rsidRDefault="00FB1FD5" w:rsidP="00FB1FD5">
      <w:pPr>
        <w:tabs>
          <w:tab w:val="clear" w:pos="794"/>
          <w:tab w:val="clear" w:pos="1191"/>
          <w:tab w:val="clear" w:pos="1588"/>
          <w:tab w:val="clear" w:pos="1985"/>
        </w:tabs>
        <w:overflowPunct/>
        <w:autoSpaceDE/>
        <w:autoSpaceDN/>
        <w:adjustRightInd/>
        <w:textAlignment w:val="auto"/>
        <w:rPr>
          <w:rFonts w:eastAsiaTheme="minorEastAsia" w:cstheme="minorHAnsi"/>
          <w:szCs w:val="24"/>
          <w:lang w:val="es-ES"/>
        </w:rPr>
      </w:pPr>
      <w:r w:rsidRPr="00FB1FD5">
        <w:rPr>
          <w:szCs w:val="24"/>
          <w:lang w:val="es-ES"/>
        </w:rPr>
        <w:t xml:space="preserve">En este contexto hay un interés creciente por la aplicación de las tecnologías digitales incipientes, incluida la </w:t>
      </w:r>
      <w:proofErr w:type="spellStart"/>
      <w:r w:rsidRPr="00FB1FD5">
        <w:rPr>
          <w:szCs w:val="24"/>
          <w:lang w:val="es-ES"/>
        </w:rPr>
        <w:t>IoT</w:t>
      </w:r>
      <w:proofErr w:type="spellEnd"/>
      <w:r w:rsidRPr="00FB1FD5">
        <w:rPr>
          <w:szCs w:val="24"/>
          <w:lang w:val="es-ES"/>
        </w:rPr>
        <w:t xml:space="preserve">, los gemelos digitales y los entornos virtuales inmersivos e inteligentes, en el dominio agrícola. Con la integración de la </w:t>
      </w:r>
      <w:proofErr w:type="spellStart"/>
      <w:r w:rsidRPr="00FB1FD5">
        <w:rPr>
          <w:szCs w:val="24"/>
          <w:lang w:val="es-ES"/>
        </w:rPr>
        <w:t>IoT</w:t>
      </w:r>
      <w:proofErr w:type="spellEnd"/>
      <w:r w:rsidRPr="00FB1FD5">
        <w:rPr>
          <w:szCs w:val="24"/>
          <w:lang w:val="es-ES"/>
        </w:rPr>
        <w:t xml:space="preserve">, la IA y otras tecnologías digitales incipientes en la agricultura digital y la dotación de esos sistemas con capacidades de gemelos digitales y experiencias inmersivas se pretende que dichos sistemas colmen las necesidades de los productores agrícolas en términos de compartición de informaciones y conocimientos pertinentes sobre los riesgos (incluidas las plagas y enfermedades de los cultivos, y las amenazas medioambientales y climáticas), de aumento de la seguridad, la protección y la resiliencia de la producción agrícola, de optimización de la productividad y de aumento de la producción y procesamiento cualitativos y sostenibles de los alimentos y productos agrícolas, respectivamente. La </w:t>
      </w:r>
      <w:proofErr w:type="spellStart"/>
      <w:r w:rsidRPr="00FB1FD5">
        <w:rPr>
          <w:szCs w:val="24"/>
          <w:lang w:val="es-ES"/>
        </w:rPr>
        <w:t>IoT</w:t>
      </w:r>
      <w:proofErr w:type="spellEnd"/>
      <w:r w:rsidRPr="00FB1FD5">
        <w:rPr>
          <w:szCs w:val="24"/>
          <w:lang w:val="es-ES"/>
        </w:rPr>
        <w:t>, la IA, los gemelos digitales, los mundos virtuales y las tecnologías inmersivas pueden emplearse como herramientas eficaces para la simulación, la toma de decisiones, la formación y la colaboración entre diversas partes interesadas. A medida que aumenta la complejidad de las cadenas de suministro mundiales y se intensifican los retos de sostenibilidad y seguridad, estas nuevas tecnologías pueden ofrecer nuevas vías para mejorar la producción, la seguridad, la protección, la resiliencia, la eficacia operativa y la innovación.</w:t>
      </w:r>
    </w:p>
    <w:p w14:paraId="1C0E4820" w14:textId="77777777" w:rsidR="00FB1FD5" w:rsidRPr="00FB1FD5" w:rsidRDefault="00FB1FD5" w:rsidP="00FB1FD5">
      <w:pPr>
        <w:tabs>
          <w:tab w:val="clear" w:pos="794"/>
          <w:tab w:val="clear" w:pos="1191"/>
          <w:tab w:val="clear" w:pos="1588"/>
          <w:tab w:val="clear" w:pos="1985"/>
        </w:tabs>
        <w:overflowPunct/>
        <w:autoSpaceDE/>
        <w:autoSpaceDN/>
        <w:adjustRightInd/>
        <w:textAlignment w:val="auto"/>
        <w:rPr>
          <w:rFonts w:eastAsiaTheme="minorEastAsia" w:cstheme="minorHAnsi"/>
          <w:szCs w:val="24"/>
          <w:lang w:val="es-ES"/>
        </w:rPr>
      </w:pPr>
      <w:r w:rsidRPr="00FB1FD5">
        <w:rPr>
          <w:szCs w:val="24"/>
          <w:lang w:val="es-ES"/>
        </w:rPr>
        <w:t>A pesar de los progresos experimentados por la digitalización, la agricultura digital actual adolece de limitaciones debidas a la falta de marcos compartidos, interoperabilidad técnica, protocolos de intercambio de datos seguros y modelos arquitectónicos adaptables para responder a las necesidades del ecosistema agrícola digital. Para colmar estas lagunas, es evidente la necesidad de realizar actividades de normalización internacionales que apoyen el despliegue de sistemas de agricultura digital seguros, interoperables y preparados para el futuro.</w:t>
      </w:r>
    </w:p>
    <w:p w14:paraId="6AF1B988" w14:textId="77777777" w:rsidR="00FB1FD5" w:rsidRPr="00FB1FD5" w:rsidRDefault="00FB1FD5" w:rsidP="00FB1FD5">
      <w:pPr>
        <w:tabs>
          <w:tab w:val="clear" w:pos="794"/>
          <w:tab w:val="clear" w:pos="1191"/>
          <w:tab w:val="clear" w:pos="1588"/>
          <w:tab w:val="clear" w:pos="1985"/>
        </w:tabs>
        <w:overflowPunct/>
        <w:autoSpaceDE/>
        <w:autoSpaceDN/>
        <w:adjustRightInd/>
        <w:textAlignment w:val="auto"/>
        <w:rPr>
          <w:rFonts w:eastAsiaTheme="minorEastAsia" w:cstheme="minorHAnsi"/>
          <w:szCs w:val="24"/>
          <w:lang w:val="es-ES"/>
        </w:rPr>
      </w:pPr>
      <w:r w:rsidRPr="00FB1FD5">
        <w:rPr>
          <w:szCs w:val="24"/>
          <w:lang w:val="es-ES"/>
        </w:rPr>
        <w:t>Las Recomendaciones y Suplementos bajo la responsabilidad de esta Cuestión son los siguientes:</w:t>
      </w:r>
    </w:p>
    <w:p w14:paraId="5667824D" w14:textId="77777777" w:rsidR="00FB1FD5" w:rsidRPr="00FB1FD5" w:rsidRDefault="00FB1FD5" w:rsidP="00FB1FD5">
      <w:pPr>
        <w:spacing w:before="80"/>
        <w:ind w:left="794" w:hanging="794"/>
        <w:rPr>
          <w:rFonts w:cstheme="minorHAnsi"/>
          <w:szCs w:val="24"/>
          <w:lang w:val="es-ES"/>
        </w:rPr>
      </w:pPr>
      <w:r w:rsidRPr="00FB1FD5">
        <w:rPr>
          <w:szCs w:val="24"/>
          <w:lang w:val="es-ES"/>
        </w:rPr>
        <w:t>‒</w:t>
      </w:r>
      <w:r w:rsidRPr="00FB1FD5">
        <w:rPr>
          <w:szCs w:val="24"/>
          <w:lang w:val="es-ES"/>
        </w:rPr>
        <w:tab/>
        <w:t>Recomendaciones UIT-T Y.4218, Y.4482</w:t>
      </w:r>
    </w:p>
    <w:p w14:paraId="5BFEB364" w14:textId="77777777" w:rsidR="00FB1FD5" w:rsidRPr="00FB1FD5" w:rsidRDefault="00FB1FD5" w:rsidP="00FB1FD5">
      <w:pPr>
        <w:spacing w:before="80"/>
        <w:ind w:left="794" w:hanging="794"/>
        <w:rPr>
          <w:rFonts w:cstheme="minorHAnsi"/>
          <w:szCs w:val="24"/>
          <w:lang w:val="es-ES"/>
        </w:rPr>
      </w:pPr>
      <w:r w:rsidRPr="00FB1FD5">
        <w:rPr>
          <w:szCs w:val="24"/>
          <w:lang w:val="es-ES"/>
        </w:rPr>
        <w:t>‒</w:t>
      </w:r>
      <w:r w:rsidRPr="00FB1FD5">
        <w:rPr>
          <w:szCs w:val="24"/>
          <w:lang w:val="es-ES"/>
        </w:rPr>
        <w:tab/>
        <w:t>Suplementos 76, 82, 83, 85 a la serie Y de Recomendaciones UIT-T.</w:t>
      </w:r>
    </w:p>
    <w:p w14:paraId="5534E0FD" w14:textId="77777777" w:rsidR="00FB1FD5" w:rsidRPr="00F6316F" w:rsidRDefault="00FB1FD5" w:rsidP="00FB1FD5">
      <w:pPr>
        <w:spacing w:before="80"/>
        <w:ind w:left="794" w:hanging="794"/>
        <w:rPr>
          <w:rFonts w:cstheme="minorHAnsi"/>
          <w:szCs w:val="24"/>
          <w:lang w:val="es-ES"/>
        </w:rPr>
      </w:pPr>
      <w:r w:rsidRPr="00F6316F">
        <w:rPr>
          <w:szCs w:val="24"/>
          <w:lang w:val="es-ES"/>
        </w:rPr>
        <w:t>‒</w:t>
      </w:r>
      <w:r w:rsidRPr="00F6316F">
        <w:rPr>
          <w:szCs w:val="24"/>
          <w:lang w:val="es-ES"/>
        </w:rPr>
        <w:tab/>
        <w:t xml:space="preserve">UIT-T </w:t>
      </w:r>
      <w:proofErr w:type="spellStart"/>
      <w:r w:rsidRPr="00F6316F">
        <w:rPr>
          <w:szCs w:val="24"/>
          <w:lang w:val="es-ES"/>
        </w:rPr>
        <w:t>YSTR.DataModelling</w:t>
      </w:r>
      <w:proofErr w:type="spellEnd"/>
      <w:r w:rsidRPr="00F6316F">
        <w:rPr>
          <w:szCs w:val="24"/>
          <w:lang w:val="es-ES"/>
        </w:rPr>
        <w:t>-Agri.</w:t>
      </w:r>
    </w:p>
    <w:p w14:paraId="68A825B2" w14:textId="77777777" w:rsidR="00FB1FD5" w:rsidRPr="00FB1FD5" w:rsidRDefault="00FB1FD5" w:rsidP="003D22D5">
      <w:pPr>
        <w:pStyle w:val="Heading1"/>
        <w:rPr>
          <w:rFonts w:cstheme="minorHAnsi"/>
          <w:b w:val="0"/>
          <w:szCs w:val="24"/>
          <w:lang w:val="es-ES"/>
        </w:rPr>
      </w:pPr>
      <w:r w:rsidRPr="00FB1FD5">
        <w:rPr>
          <w:bCs/>
          <w:szCs w:val="24"/>
          <w:lang w:val="es-ES"/>
        </w:rPr>
        <w:lastRenderedPageBreak/>
        <w:t>2</w:t>
      </w:r>
      <w:r w:rsidRPr="00FB1FD5">
        <w:rPr>
          <w:szCs w:val="24"/>
          <w:lang w:val="es-ES"/>
        </w:rPr>
        <w:tab/>
      </w:r>
      <w:proofErr w:type="gramStart"/>
      <w:r w:rsidRPr="00FB1FD5">
        <w:rPr>
          <w:bCs/>
          <w:szCs w:val="24"/>
          <w:lang w:val="es-ES"/>
        </w:rPr>
        <w:t>Cuestión</w:t>
      </w:r>
      <w:proofErr w:type="gramEnd"/>
    </w:p>
    <w:p w14:paraId="15BB0B10" w14:textId="77777777" w:rsidR="00FB1FD5" w:rsidRPr="00FB1FD5" w:rsidRDefault="00FB1FD5" w:rsidP="003D22D5">
      <w:pPr>
        <w:keepNext/>
        <w:keepLines/>
        <w:tabs>
          <w:tab w:val="clear" w:pos="794"/>
          <w:tab w:val="clear" w:pos="1191"/>
          <w:tab w:val="clear" w:pos="1588"/>
          <w:tab w:val="clear" w:pos="1985"/>
          <w:tab w:val="left" w:pos="709"/>
        </w:tabs>
        <w:overflowPunct/>
        <w:autoSpaceDE/>
        <w:autoSpaceDN/>
        <w:adjustRightInd/>
        <w:jc w:val="both"/>
        <w:textAlignment w:val="auto"/>
        <w:rPr>
          <w:rFonts w:eastAsiaTheme="minorEastAsia" w:cstheme="minorHAnsi"/>
          <w:szCs w:val="24"/>
          <w:lang w:val="es-ES"/>
        </w:rPr>
      </w:pPr>
      <w:r w:rsidRPr="00FB1FD5">
        <w:rPr>
          <w:szCs w:val="24"/>
          <w:lang w:val="es-ES"/>
        </w:rPr>
        <w:t>Los temas de estudio que han de considerarse son, entre otros:</w:t>
      </w:r>
    </w:p>
    <w:p w14:paraId="43A41FC8" w14:textId="77777777" w:rsidR="00FB1FD5" w:rsidRPr="00FB1FD5" w:rsidRDefault="00FB1FD5" w:rsidP="00311FA7">
      <w:pPr>
        <w:pStyle w:val="enumlev1"/>
        <w:rPr>
          <w:rFonts w:cstheme="minorHAnsi"/>
          <w:lang w:val="es-ES"/>
        </w:rPr>
      </w:pPr>
      <w:r w:rsidRPr="00FB1FD5">
        <w:rPr>
          <w:lang w:val="es-ES"/>
        </w:rPr>
        <w:t>–</w:t>
      </w:r>
      <w:r w:rsidRPr="00FB1FD5">
        <w:rPr>
          <w:lang w:val="es-ES"/>
        </w:rPr>
        <w:tab/>
        <w:t xml:space="preserve">¿Cuáles son los requisitos, capacidades, casos de utilización y modelos arquitectónicos para la agricultura digital (es decir, de la granja al consumo) aprovechando la </w:t>
      </w:r>
      <w:proofErr w:type="spellStart"/>
      <w:r w:rsidRPr="00FB1FD5">
        <w:rPr>
          <w:lang w:val="es-ES"/>
        </w:rPr>
        <w:t>IoT</w:t>
      </w:r>
      <w:proofErr w:type="spellEnd"/>
      <w:r w:rsidRPr="00FB1FD5">
        <w:rPr>
          <w:lang w:val="es-ES"/>
        </w:rPr>
        <w:t>, la IA, la robótica colaborativa, los gemelos digitales, los mundos virtuales y los entornos inmersivos y otras tecnologías digitales emergentes?</w:t>
      </w:r>
    </w:p>
    <w:p w14:paraId="0A6413A0" w14:textId="77777777" w:rsidR="00FB1FD5" w:rsidRPr="00FB1FD5" w:rsidRDefault="00FB1FD5" w:rsidP="00311FA7">
      <w:pPr>
        <w:pStyle w:val="enumlev1"/>
        <w:rPr>
          <w:rFonts w:cstheme="minorHAnsi"/>
          <w:szCs w:val="24"/>
          <w:lang w:val="es-ES"/>
        </w:rPr>
      </w:pPr>
      <w:r w:rsidRPr="00FB1FD5">
        <w:rPr>
          <w:szCs w:val="24"/>
          <w:lang w:val="es-ES"/>
        </w:rPr>
        <w:t>–</w:t>
      </w:r>
      <w:r w:rsidRPr="00FB1FD5">
        <w:rPr>
          <w:szCs w:val="24"/>
          <w:lang w:val="es-ES"/>
        </w:rPr>
        <w:tab/>
        <w:t>¿Cuáles son los requisitos funcionales, los modelos de datos y las especificaciones de interfaz para los dispositivos, plataformas y aplicaciones de agricultura digital en toda la cadena de valor a fin de mejorar sus productos, su cadena de suministro y su seguridad?</w:t>
      </w:r>
    </w:p>
    <w:p w14:paraId="3C519E0B" w14:textId="77777777" w:rsidR="00FB1FD5" w:rsidRPr="00FB1FD5" w:rsidRDefault="00FB1FD5" w:rsidP="00311FA7">
      <w:pPr>
        <w:pStyle w:val="enumlev1"/>
        <w:rPr>
          <w:rFonts w:cstheme="minorHAnsi"/>
          <w:szCs w:val="24"/>
          <w:lang w:val="es-ES"/>
        </w:rPr>
      </w:pPr>
      <w:r w:rsidRPr="00FB1FD5">
        <w:rPr>
          <w:szCs w:val="24"/>
          <w:lang w:val="es-ES"/>
        </w:rPr>
        <w:t>–</w:t>
      </w:r>
      <w:r w:rsidRPr="00FB1FD5">
        <w:rPr>
          <w:szCs w:val="24"/>
          <w:lang w:val="es-ES"/>
        </w:rPr>
        <w:tab/>
        <w:t xml:space="preserve">¿Cuáles son los requisitos, capacidades, casos de utilización y arquitectura de la interoperabilidad e </w:t>
      </w:r>
      <w:proofErr w:type="spellStart"/>
      <w:r w:rsidRPr="00FB1FD5">
        <w:rPr>
          <w:szCs w:val="24"/>
          <w:lang w:val="es-ES"/>
        </w:rPr>
        <w:t>interfuncionamiento</w:t>
      </w:r>
      <w:proofErr w:type="spellEnd"/>
      <w:r w:rsidRPr="00FB1FD5">
        <w:rPr>
          <w:szCs w:val="24"/>
          <w:lang w:val="es-ES"/>
        </w:rPr>
        <w:t xml:space="preserve"> de la agricultura digital?</w:t>
      </w:r>
    </w:p>
    <w:p w14:paraId="2228D953" w14:textId="77777777" w:rsidR="00FB1FD5" w:rsidRPr="00FB1FD5" w:rsidRDefault="00FB1FD5" w:rsidP="00311FA7">
      <w:pPr>
        <w:pStyle w:val="enumlev1"/>
        <w:rPr>
          <w:rFonts w:cstheme="minorHAnsi"/>
          <w:szCs w:val="24"/>
          <w:lang w:val="es-ES"/>
        </w:rPr>
      </w:pPr>
      <w:r w:rsidRPr="00FB1FD5">
        <w:rPr>
          <w:szCs w:val="24"/>
          <w:lang w:val="es-ES"/>
        </w:rPr>
        <w:t>–</w:t>
      </w:r>
      <w:r w:rsidRPr="00FB1FD5">
        <w:rPr>
          <w:szCs w:val="24"/>
          <w:lang w:val="es-ES"/>
        </w:rPr>
        <w:tab/>
        <w:t>¿Qué brechas de normalización existen en el despliegue de la agricultura digital preparada para el futuro y cómo pueden abordarse a través de Recomendaciones UIT-T?</w:t>
      </w:r>
    </w:p>
    <w:p w14:paraId="14260A04" w14:textId="77777777" w:rsidR="00FB1FD5" w:rsidRPr="00FB1FD5" w:rsidRDefault="00FB1FD5" w:rsidP="00311FA7">
      <w:pPr>
        <w:pStyle w:val="enumlev1"/>
        <w:rPr>
          <w:rFonts w:cstheme="minorHAnsi"/>
          <w:szCs w:val="24"/>
          <w:lang w:val="es-ES"/>
        </w:rPr>
      </w:pPr>
      <w:r w:rsidRPr="00FB1FD5">
        <w:rPr>
          <w:szCs w:val="24"/>
          <w:lang w:val="es-ES"/>
        </w:rPr>
        <w:t>–</w:t>
      </w:r>
      <w:r w:rsidRPr="00FB1FD5">
        <w:rPr>
          <w:szCs w:val="24"/>
          <w:lang w:val="es-ES"/>
        </w:rPr>
        <w:tab/>
        <w:t>¿Con qué otras organizaciones de normalización, organismos de las Naciones Unidas y foros industriales debe establecerse una colaboración para garantizar soluciones armonizadas e interoperables?</w:t>
      </w:r>
    </w:p>
    <w:p w14:paraId="125AEC29" w14:textId="77777777" w:rsidR="00FB1FD5" w:rsidRPr="00FB1FD5" w:rsidRDefault="00FB1FD5" w:rsidP="00F6316F">
      <w:pPr>
        <w:pStyle w:val="Heading1"/>
        <w:spacing w:before="360"/>
        <w:rPr>
          <w:rFonts w:cstheme="minorHAnsi"/>
          <w:b w:val="0"/>
          <w:szCs w:val="24"/>
          <w:lang w:val="es-ES"/>
        </w:rPr>
      </w:pPr>
      <w:r w:rsidRPr="00FB1FD5">
        <w:rPr>
          <w:bCs/>
          <w:szCs w:val="24"/>
          <w:lang w:val="es-ES"/>
        </w:rPr>
        <w:t>3</w:t>
      </w:r>
      <w:r w:rsidRPr="00FB1FD5">
        <w:rPr>
          <w:szCs w:val="24"/>
          <w:lang w:val="es-ES"/>
        </w:rPr>
        <w:tab/>
      </w:r>
      <w:proofErr w:type="gramStart"/>
      <w:r w:rsidRPr="00FB1FD5">
        <w:rPr>
          <w:bCs/>
          <w:szCs w:val="24"/>
          <w:lang w:val="es-ES"/>
        </w:rPr>
        <w:t>Tareas</w:t>
      </w:r>
      <w:proofErr w:type="gramEnd"/>
    </w:p>
    <w:p w14:paraId="452296EB" w14:textId="77777777" w:rsidR="00FB1FD5" w:rsidRPr="00FB1FD5" w:rsidRDefault="00FB1FD5" w:rsidP="00FB1FD5">
      <w:pPr>
        <w:keepNext/>
        <w:keepLines/>
        <w:tabs>
          <w:tab w:val="clear" w:pos="794"/>
          <w:tab w:val="clear" w:pos="1191"/>
          <w:tab w:val="clear" w:pos="1588"/>
          <w:tab w:val="clear" w:pos="1985"/>
        </w:tabs>
        <w:overflowPunct/>
        <w:autoSpaceDE/>
        <w:autoSpaceDN/>
        <w:adjustRightInd/>
        <w:textAlignment w:val="auto"/>
        <w:rPr>
          <w:rFonts w:eastAsiaTheme="minorEastAsia" w:cstheme="minorHAnsi"/>
          <w:szCs w:val="24"/>
          <w:lang w:val="es-ES"/>
        </w:rPr>
      </w:pPr>
      <w:r w:rsidRPr="00FB1FD5">
        <w:rPr>
          <w:szCs w:val="24"/>
          <w:lang w:val="es-ES"/>
        </w:rPr>
        <w:t>Las tareas incluyen, entre otras, las siguientes:</w:t>
      </w:r>
    </w:p>
    <w:p w14:paraId="5B048DC9" w14:textId="77777777" w:rsidR="00FB1FD5" w:rsidRPr="00FB1FD5" w:rsidRDefault="00FB1FD5" w:rsidP="00311FA7">
      <w:pPr>
        <w:pStyle w:val="enumlev1"/>
        <w:rPr>
          <w:rFonts w:cstheme="minorHAnsi"/>
          <w:szCs w:val="24"/>
          <w:lang w:val="es-ES"/>
        </w:rPr>
      </w:pPr>
      <w:r w:rsidRPr="00FB1FD5">
        <w:rPr>
          <w:szCs w:val="24"/>
          <w:lang w:val="es-ES"/>
        </w:rPr>
        <w:t>–</w:t>
      </w:r>
      <w:r w:rsidRPr="00FB1FD5">
        <w:rPr>
          <w:szCs w:val="24"/>
          <w:lang w:val="es-ES"/>
        </w:rPr>
        <w:tab/>
        <w:t>Elaborar, según proceda, Recomendaciones, informes, suplementos y directrices sobre agricultura digital, que abarquen:</w:t>
      </w:r>
    </w:p>
    <w:p w14:paraId="58C03EBF" w14:textId="77777777" w:rsidR="00FB1FD5" w:rsidRPr="00FB1FD5" w:rsidRDefault="00FB1FD5" w:rsidP="00311FA7">
      <w:pPr>
        <w:pStyle w:val="enumlev2"/>
        <w:rPr>
          <w:rFonts w:eastAsiaTheme="minorEastAsia" w:cstheme="minorHAnsi"/>
          <w:lang w:val="es-ES"/>
        </w:rPr>
      </w:pPr>
      <w:r w:rsidRPr="00FB1FD5">
        <w:rPr>
          <w:rFonts w:eastAsiaTheme="minorEastAsia" w:cstheme="minorHAnsi"/>
          <w:lang w:val="es-ES"/>
        </w:rPr>
        <w:t>•</w:t>
      </w:r>
      <w:r w:rsidRPr="00FB1FD5">
        <w:rPr>
          <w:lang w:val="es-ES"/>
        </w:rPr>
        <w:tab/>
        <w:t>los casos de utilización, prácticas idóneas y modelos de despliegue para la agricultura digital, las cadenas de valor inteligentes y los entornos agrícolas inmersivos;</w:t>
      </w:r>
    </w:p>
    <w:p w14:paraId="62340059" w14:textId="77777777" w:rsidR="00FB1FD5" w:rsidRPr="00FB1FD5" w:rsidRDefault="00FB1FD5" w:rsidP="00311FA7">
      <w:pPr>
        <w:pStyle w:val="enumlev2"/>
        <w:rPr>
          <w:rFonts w:eastAsiaTheme="minorEastAsia" w:cstheme="minorHAnsi"/>
          <w:szCs w:val="24"/>
          <w:lang w:val="es-ES"/>
        </w:rPr>
      </w:pPr>
      <w:r w:rsidRPr="00FB1FD5">
        <w:rPr>
          <w:rFonts w:eastAsiaTheme="minorEastAsia" w:cstheme="minorHAnsi"/>
          <w:szCs w:val="24"/>
          <w:lang w:val="es-ES"/>
        </w:rPr>
        <w:t>•</w:t>
      </w:r>
      <w:r w:rsidRPr="00FB1FD5">
        <w:rPr>
          <w:szCs w:val="24"/>
          <w:lang w:val="es-ES"/>
        </w:rPr>
        <w:tab/>
        <w:t xml:space="preserve">los marcos y modelos arquitectónicos para incorporar tecnologías digitales emergentes como la </w:t>
      </w:r>
      <w:proofErr w:type="spellStart"/>
      <w:r w:rsidRPr="00FB1FD5">
        <w:rPr>
          <w:szCs w:val="24"/>
          <w:lang w:val="es-ES"/>
        </w:rPr>
        <w:t>IoT</w:t>
      </w:r>
      <w:proofErr w:type="spellEnd"/>
      <w:r w:rsidRPr="00FB1FD5">
        <w:rPr>
          <w:szCs w:val="24"/>
          <w:lang w:val="es-ES"/>
        </w:rPr>
        <w:t>, la IA, la robótica y las tecnologías gemelas digitales en la agricultura y las cadenas de valor inteligentes;</w:t>
      </w:r>
    </w:p>
    <w:p w14:paraId="7FFE43CC" w14:textId="77777777" w:rsidR="00FB1FD5" w:rsidRPr="00FB1FD5" w:rsidRDefault="00FB1FD5" w:rsidP="00311FA7">
      <w:pPr>
        <w:pStyle w:val="enumlev2"/>
        <w:rPr>
          <w:rFonts w:eastAsiaTheme="minorEastAsia" w:cstheme="minorHAnsi"/>
          <w:szCs w:val="24"/>
          <w:lang w:val="es-ES"/>
        </w:rPr>
      </w:pPr>
      <w:r w:rsidRPr="00FB1FD5">
        <w:rPr>
          <w:rFonts w:eastAsiaTheme="minorEastAsia" w:cstheme="minorHAnsi"/>
          <w:szCs w:val="24"/>
          <w:lang w:val="es-ES"/>
        </w:rPr>
        <w:t>•</w:t>
      </w:r>
      <w:r w:rsidRPr="00FB1FD5">
        <w:rPr>
          <w:szCs w:val="24"/>
          <w:lang w:val="es-ES"/>
        </w:rPr>
        <w:tab/>
        <w:t>los requisitos funcionales, modelos de datos y especificaciones de interfaz para dispositivos, plataformas y aplicaciones de agricultura digital;</w:t>
      </w:r>
    </w:p>
    <w:p w14:paraId="587BF7C6" w14:textId="77777777" w:rsidR="00FB1FD5" w:rsidRPr="00FB1FD5" w:rsidRDefault="00FB1FD5" w:rsidP="00311FA7">
      <w:pPr>
        <w:pStyle w:val="enumlev2"/>
        <w:rPr>
          <w:rFonts w:eastAsiaTheme="minorEastAsia" w:cstheme="minorHAnsi"/>
          <w:szCs w:val="24"/>
          <w:lang w:val="es-ES"/>
        </w:rPr>
      </w:pPr>
      <w:r w:rsidRPr="00FB1FD5">
        <w:rPr>
          <w:rFonts w:eastAsiaTheme="minorEastAsia" w:cstheme="minorHAnsi"/>
          <w:szCs w:val="24"/>
          <w:lang w:val="es-ES"/>
        </w:rPr>
        <w:t>•</w:t>
      </w:r>
      <w:r w:rsidRPr="00FB1FD5">
        <w:rPr>
          <w:szCs w:val="24"/>
          <w:lang w:val="es-ES"/>
        </w:rPr>
        <w:tab/>
        <w:t>los mecanismos que permitan la trazabilidad de extremo a extremo, la supervisión en tiempo real y el intercambio seguro de datos en las cadenas de suministro agrícola y alimentario;</w:t>
      </w:r>
    </w:p>
    <w:p w14:paraId="26DD3AC7" w14:textId="77777777" w:rsidR="00FB1FD5" w:rsidRPr="00FB1FD5" w:rsidRDefault="00FB1FD5" w:rsidP="00311FA7">
      <w:pPr>
        <w:pStyle w:val="enumlev2"/>
        <w:rPr>
          <w:rFonts w:eastAsiaTheme="minorEastAsia" w:cstheme="minorHAnsi"/>
          <w:szCs w:val="24"/>
          <w:lang w:val="es-ES"/>
        </w:rPr>
      </w:pPr>
      <w:r w:rsidRPr="00FB1FD5">
        <w:rPr>
          <w:rFonts w:eastAsiaTheme="minorEastAsia" w:cstheme="minorHAnsi"/>
          <w:szCs w:val="24"/>
          <w:lang w:val="es-ES"/>
        </w:rPr>
        <w:t>•</w:t>
      </w:r>
      <w:r w:rsidRPr="00FB1FD5">
        <w:rPr>
          <w:szCs w:val="24"/>
          <w:lang w:val="es-ES"/>
        </w:rPr>
        <w:tab/>
        <w:t>la metodología de construcción de una representación del conocimiento para la agricultura digital, explorando el análisis, la minería y la aplicación integral de los macrodatos agrícolas;</w:t>
      </w:r>
    </w:p>
    <w:p w14:paraId="1024A196" w14:textId="77777777" w:rsidR="00FB1FD5" w:rsidRPr="00FB1FD5" w:rsidRDefault="00FB1FD5" w:rsidP="00311FA7">
      <w:pPr>
        <w:pStyle w:val="enumlev2"/>
        <w:rPr>
          <w:rFonts w:eastAsiaTheme="minorEastAsia" w:cstheme="minorHAnsi"/>
          <w:szCs w:val="24"/>
          <w:lang w:val="es-ES"/>
        </w:rPr>
      </w:pPr>
      <w:r w:rsidRPr="00FB1FD5">
        <w:rPr>
          <w:rFonts w:eastAsiaTheme="minorEastAsia" w:cstheme="minorHAnsi"/>
          <w:szCs w:val="24"/>
          <w:lang w:val="es-ES"/>
        </w:rPr>
        <w:t>•</w:t>
      </w:r>
      <w:r w:rsidRPr="00FB1FD5">
        <w:rPr>
          <w:szCs w:val="24"/>
          <w:lang w:val="es-ES"/>
        </w:rPr>
        <w:tab/>
        <w:t>los requisitos técnicos y protocolos para mundos virtuales y sistemas inmersivos, incluidos la formación a distancia, la colaboración virtual y los entornos de simulación;</w:t>
      </w:r>
    </w:p>
    <w:p w14:paraId="6857C14B" w14:textId="77777777" w:rsidR="00FB1FD5" w:rsidRPr="00FB1FD5" w:rsidRDefault="00FB1FD5" w:rsidP="00311FA7">
      <w:pPr>
        <w:pStyle w:val="enumlev2"/>
        <w:rPr>
          <w:rFonts w:eastAsiaTheme="minorEastAsia" w:cstheme="minorHAnsi"/>
          <w:szCs w:val="24"/>
          <w:lang w:val="es-ES"/>
        </w:rPr>
      </w:pPr>
      <w:r w:rsidRPr="00FB1FD5">
        <w:rPr>
          <w:rFonts w:eastAsiaTheme="minorEastAsia" w:cstheme="minorHAnsi"/>
          <w:szCs w:val="24"/>
          <w:lang w:val="es-ES"/>
        </w:rPr>
        <w:t>•</w:t>
      </w:r>
      <w:r w:rsidRPr="00FB1FD5">
        <w:rPr>
          <w:szCs w:val="24"/>
          <w:lang w:val="es-ES"/>
        </w:rPr>
        <w:tab/>
        <w:t>los requisitos de interoperabilidad a nivel de sistema;</w:t>
      </w:r>
    </w:p>
    <w:p w14:paraId="099F573B" w14:textId="77777777" w:rsidR="00FB1FD5" w:rsidRPr="00FB1FD5" w:rsidRDefault="00FB1FD5" w:rsidP="00311FA7">
      <w:pPr>
        <w:pStyle w:val="enumlev2"/>
        <w:rPr>
          <w:rFonts w:eastAsiaTheme="minorEastAsia" w:cstheme="minorHAnsi"/>
          <w:szCs w:val="24"/>
          <w:lang w:val="es-ES"/>
        </w:rPr>
      </w:pPr>
      <w:r w:rsidRPr="00FB1FD5">
        <w:rPr>
          <w:rFonts w:eastAsiaTheme="minorEastAsia" w:cstheme="minorHAnsi"/>
          <w:szCs w:val="24"/>
          <w:lang w:val="es-ES"/>
        </w:rPr>
        <w:t>•</w:t>
      </w:r>
      <w:r w:rsidRPr="00FB1FD5">
        <w:rPr>
          <w:szCs w:val="24"/>
          <w:lang w:val="es-ES"/>
        </w:rPr>
        <w:tab/>
        <w:t>la evaluación de los costes y beneficios de la agricultura digital;</w:t>
      </w:r>
    </w:p>
    <w:p w14:paraId="40E22503" w14:textId="77777777" w:rsidR="00FB1FD5" w:rsidRPr="00FB1FD5" w:rsidRDefault="00FB1FD5" w:rsidP="00311FA7">
      <w:pPr>
        <w:pStyle w:val="enumlev2"/>
        <w:rPr>
          <w:rFonts w:eastAsiaTheme="minorEastAsia" w:cstheme="minorHAnsi"/>
          <w:szCs w:val="24"/>
          <w:lang w:val="es-ES"/>
        </w:rPr>
      </w:pPr>
      <w:r w:rsidRPr="00FB1FD5">
        <w:rPr>
          <w:rFonts w:eastAsiaTheme="minorEastAsia" w:cstheme="minorHAnsi"/>
          <w:szCs w:val="24"/>
          <w:lang w:val="es-ES"/>
        </w:rPr>
        <w:t>•</w:t>
      </w:r>
      <w:r w:rsidRPr="00FB1FD5">
        <w:rPr>
          <w:szCs w:val="24"/>
          <w:lang w:val="es-ES"/>
        </w:rPr>
        <w:tab/>
        <w:t>la colaboración y armonización con otros organismos de normalización, organismos de las Naciones Unidas, foros y consorcios que contribuya a los esfuerzos globales en pro de la modernización de la infraestructura digital y el aumento de la resiliencia.</w:t>
      </w:r>
    </w:p>
    <w:p w14:paraId="3EB2AEDE" w14:textId="77777777" w:rsidR="00FB1FD5" w:rsidRPr="00FB1FD5" w:rsidRDefault="00FB1FD5" w:rsidP="003D22D5">
      <w:pPr>
        <w:pStyle w:val="enumlev1"/>
        <w:keepNext/>
        <w:keepLines/>
        <w:rPr>
          <w:rFonts w:eastAsiaTheme="minorEastAsia" w:cstheme="minorHAnsi"/>
          <w:szCs w:val="24"/>
          <w:lang w:val="es-ES"/>
        </w:rPr>
      </w:pPr>
      <w:r w:rsidRPr="00FB1FD5">
        <w:rPr>
          <w:szCs w:val="24"/>
          <w:lang w:val="es-ES"/>
        </w:rPr>
        <w:t>–</w:t>
      </w:r>
      <w:r w:rsidRPr="00FB1FD5">
        <w:rPr>
          <w:szCs w:val="24"/>
          <w:lang w:val="es-ES"/>
        </w:rPr>
        <w:tab/>
        <w:t>Mantener y mejorar las Recomendaciones y textos no normativos bajo la responsabilidad de la Cuestión, incluidos los siguientes:</w:t>
      </w:r>
    </w:p>
    <w:p w14:paraId="67EB5F20" w14:textId="79D947DB" w:rsidR="00FB1FD5" w:rsidRPr="00FB1FD5" w:rsidRDefault="00FB1FD5" w:rsidP="00311FA7">
      <w:pPr>
        <w:pStyle w:val="enumlev2"/>
        <w:rPr>
          <w:rFonts w:cstheme="minorHAnsi"/>
          <w:lang w:val="es-ES"/>
        </w:rPr>
      </w:pPr>
      <w:r w:rsidRPr="00FB1FD5">
        <w:rPr>
          <w:lang w:val="es-ES"/>
        </w:rPr>
        <w:t>‒</w:t>
      </w:r>
      <w:r w:rsidRPr="00FB1FD5">
        <w:rPr>
          <w:lang w:val="es-ES"/>
        </w:rPr>
        <w:tab/>
        <w:t>Recomendaciones UIT-T Y.4218, Y.4482</w:t>
      </w:r>
      <w:r w:rsidR="00173167">
        <w:rPr>
          <w:lang w:val="es-ES"/>
        </w:rPr>
        <w:t>.</w:t>
      </w:r>
    </w:p>
    <w:p w14:paraId="4BAD3EB8" w14:textId="77777777" w:rsidR="00FB1FD5" w:rsidRPr="00FB1FD5" w:rsidRDefault="00FB1FD5" w:rsidP="00311FA7">
      <w:pPr>
        <w:pStyle w:val="enumlev2"/>
        <w:rPr>
          <w:rFonts w:cstheme="minorHAnsi"/>
          <w:szCs w:val="24"/>
          <w:lang w:val="es-ES"/>
        </w:rPr>
      </w:pPr>
      <w:r w:rsidRPr="00FB1FD5">
        <w:rPr>
          <w:szCs w:val="24"/>
          <w:lang w:val="es-ES"/>
        </w:rPr>
        <w:lastRenderedPageBreak/>
        <w:t>‒</w:t>
      </w:r>
      <w:r w:rsidRPr="00FB1FD5">
        <w:rPr>
          <w:szCs w:val="24"/>
          <w:lang w:val="es-ES"/>
        </w:rPr>
        <w:tab/>
        <w:t>Suplementos 76, 82, 83, 85 a la serie Y de Recomendaciones UIT-T.</w:t>
      </w:r>
    </w:p>
    <w:p w14:paraId="504BE87E" w14:textId="77777777" w:rsidR="00FB1FD5" w:rsidRPr="00F6316F" w:rsidRDefault="00FB1FD5" w:rsidP="00311FA7">
      <w:pPr>
        <w:pStyle w:val="enumlev2"/>
        <w:rPr>
          <w:rFonts w:cstheme="minorHAnsi"/>
          <w:szCs w:val="24"/>
          <w:lang w:val="es-ES"/>
        </w:rPr>
      </w:pPr>
      <w:r w:rsidRPr="00F6316F">
        <w:rPr>
          <w:szCs w:val="24"/>
          <w:lang w:val="es-ES"/>
        </w:rPr>
        <w:t>‒</w:t>
      </w:r>
      <w:r w:rsidRPr="00F6316F">
        <w:rPr>
          <w:szCs w:val="24"/>
          <w:lang w:val="es-ES"/>
        </w:rPr>
        <w:tab/>
        <w:t xml:space="preserve">UIT-T </w:t>
      </w:r>
      <w:proofErr w:type="spellStart"/>
      <w:r w:rsidRPr="00F6316F">
        <w:rPr>
          <w:szCs w:val="24"/>
          <w:lang w:val="es-ES"/>
        </w:rPr>
        <w:t>YSTR.DataModelling</w:t>
      </w:r>
      <w:proofErr w:type="spellEnd"/>
      <w:r w:rsidRPr="00F6316F">
        <w:rPr>
          <w:szCs w:val="24"/>
          <w:lang w:val="es-ES"/>
        </w:rPr>
        <w:t>-Agri.</w:t>
      </w:r>
    </w:p>
    <w:p w14:paraId="0B2306D7" w14:textId="77777777" w:rsidR="00FB1FD5" w:rsidRPr="00FB1FD5" w:rsidRDefault="00FB1FD5" w:rsidP="00311FA7">
      <w:pPr>
        <w:pStyle w:val="enumlev1"/>
        <w:rPr>
          <w:rFonts w:eastAsiaTheme="minorEastAsia" w:cstheme="minorHAnsi"/>
          <w:szCs w:val="24"/>
          <w:lang w:val="es-ES"/>
        </w:rPr>
      </w:pPr>
      <w:r w:rsidRPr="00FB1FD5">
        <w:rPr>
          <w:szCs w:val="24"/>
          <w:lang w:val="es-ES"/>
        </w:rPr>
        <w:t>–</w:t>
      </w:r>
      <w:r w:rsidRPr="00FB1FD5">
        <w:rPr>
          <w:szCs w:val="24"/>
          <w:lang w:val="es-ES"/>
        </w:rPr>
        <w:tab/>
        <w:t>Ofrecer la colaboración necesaria para actividades conjuntas en este ámbito dentro de la UIT y entre el UIT-T y organismos de normalización, entidades de las Naciones Unidas, consorcios y foros.</w:t>
      </w:r>
    </w:p>
    <w:p w14:paraId="59CA0A25" w14:textId="77777777" w:rsidR="00FB1FD5" w:rsidRPr="00FB1FD5" w:rsidRDefault="00FB1FD5" w:rsidP="00311FA7">
      <w:pPr>
        <w:pStyle w:val="enumlev1"/>
        <w:rPr>
          <w:rFonts w:eastAsiaTheme="minorEastAsia" w:cstheme="minorHAnsi"/>
          <w:szCs w:val="24"/>
          <w:lang w:val="es-ES"/>
        </w:rPr>
      </w:pPr>
      <w:r w:rsidRPr="00FB1FD5">
        <w:rPr>
          <w:szCs w:val="24"/>
          <w:lang w:val="es-ES"/>
        </w:rPr>
        <w:t>–</w:t>
      </w:r>
      <w:r w:rsidRPr="00FB1FD5">
        <w:rPr>
          <w:szCs w:val="24"/>
          <w:lang w:val="es-ES"/>
        </w:rPr>
        <w:tab/>
        <w:t>Estudiar otros temas, según proceda, sobre la base de las contribuciones.</w:t>
      </w:r>
    </w:p>
    <w:p w14:paraId="36F41571" w14:textId="77777777" w:rsidR="00FB1FD5" w:rsidRPr="00FB1FD5" w:rsidRDefault="00FB1FD5" w:rsidP="00311FA7">
      <w:pPr>
        <w:pStyle w:val="enumlev1"/>
        <w:rPr>
          <w:rFonts w:eastAsiaTheme="minorEastAsia" w:cstheme="minorHAnsi"/>
          <w:szCs w:val="24"/>
          <w:lang w:val="es-ES"/>
        </w:rPr>
      </w:pPr>
      <w:r w:rsidRPr="00FB1FD5">
        <w:rPr>
          <w:szCs w:val="24"/>
          <w:lang w:val="es-ES"/>
        </w:rPr>
        <w:t>–</w:t>
      </w:r>
      <w:r w:rsidRPr="00FB1FD5">
        <w:rPr>
          <w:szCs w:val="24"/>
          <w:lang w:val="es-ES"/>
        </w:rPr>
        <w:tab/>
        <w:t>Los compromisos en el ámbito de la inteligencia artificial deberán ajustarse a las disposiciones establecidas, incluida la Resolución 214.</w:t>
      </w:r>
    </w:p>
    <w:p w14:paraId="4CE76E63" w14:textId="77777777" w:rsidR="00FB1FD5" w:rsidRPr="00FB1FD5" w:rsidRDefault="00FB1FD5" w:rsidP="00FB1FD5">
      <w:pPr>
        <w:tabs>
          <w:tab w:val="clear" w:pos="794"/>
          <w:tab w:val="clear" w:pos="1191"/>
          <w:tab w:val="clear" w:pos="1588"/>
          <w:tab w:val="clear" w:pos="1985"/>
        </w:tabs>
        <w:overflowPunct/>
        <w:autoSpaceDE/>
        <w:autoSpaceDN/>
        <w:adjustRightInd/>
        <w:textAlignment w:val="auto"/>
        <w:rPr>
          <w:szCs w:val="24"/>
          <w:lang w:val="es-ES"/>
        </w:rPr>
      </w:pPr>
      <w:r w:rsidRPr="00FB1FD5">
        <w:rPr>
          <w:szCs w:val="24"/>
          <w:lang w:val="es-ES"/>
        </w:rPr>
        <w:t>En el programa de trabajo de la CE 20 se indica el estado actual de los trabajos sobre esta Cuestión (</w:t>
      </w:r>
      <w:hyperlink r:id="rId11" w:history="1">
        <w:r w:rsidRPr="00FB1FD5">
          <w:rPr>
            <w:rStyle w:val="Hyperlink"/>
            <w:szCs w:val="24"/>
            <w:lang w:val="es-ES"/>
          </w:rPr>
          <w:t>https://www.itu.int/ITU-T/workprog/wp_search.aspx?sp=18&amp;q=11/20</w:t>
        </w:r>
      </w:hyperlink>
      <w:r w:rsidRPr="00FB1FD5">
        <w:rPr>
          <w:szCs w:val="24"/>
          <w:lang w:val="es-ES"/>
        </w:rPr>
        <w:t xml:space="preserve">) </w:t>
      </w:r>
      <w:hyperlink r:id="rId12" w:history="1"/>
    </w:p>
    <w:p w14:paraId="658299BD" w14:textId="77777777" w:rsidR="00FB1FD5" w:rsidRPr="00FB1FD5" w:rsidRDefault="00FB1FD5" w:rsidP="00F6316F">
      <w:pPr>
        <w:pStyle w:val="Heading1"/>
        <w:spacing w:before="360"/>
        <w:rPr>
          <w:rFonts w:cstheme="minorHAnsi"/>
          <w:lang w:val="es-ES"/>
        </w:rPr>
      </w:pPr>
      <w:r w:rsidRPr="00FB1FD5">
        <w:rPr>
          <w:lang w:val="es-ES"/>
        </w:rPr>
        <w:t>4</w:t>
      </w:r>
      <w:r w:rsidRPr="00FB1FD5">
        <w:rPr>
          <w:lang w:val="es-ES"/>
        </w:rPr>
        <w:tab/>
      </w:r>
      <w:proofErr w:type="gramStart"/>
      <w:r w:rsidRPr="00FB1FD5">
        <w:rPr>
          <w:lang w:val="es-ES"/>
        </w:rPr>
        <w:t>Relaciones</w:t>
      </w:r>
      <w:proofErr w:type="gramEnd"/>
    </w:p>
    <w:p w14:paraId="5E50D654" w14:textId="723AD239" w:rsidR="00FB1FD5" w:rsidRPr="00FB1FD5" w:rsidRDefault="00FB1FD5" w:rsidP="00FB1FD5">
      <w:pPr>
        <w:keepNext/>
        <w:rPr>
          <w:rFonts w:eastAsiaTheme="minorEastAsia" w:cstheme="minorHAnsi"/>
          <w:b/>
          <w:szCs w:val="24"/>
          <w:lang w:val="es-ES"/>
        </w:rPr>
      </w:pPr>
      <w:r w:rsidRPr="00FB1FD5">
        <w:rPr>
          <w:b/>
          <w:bCs/>
          <w:szCs w:val="24"/>
          <w:lang w:val="es-ES"/>
        </w:rPr>
        <w:t>Recomendaciones</w:t>
      </w:r>
      <w:r w:rsidR="00261AA0">
        <w:rPr>
          <w:b/>
          <w:bCs/>
          <w:szCs w:val="24"/>
          <w:lang w:val="es-ES"/>
        </w:rPr>
        <w:t>:</w:t>
      </w:r>
    </w:p>
    <w:p w14:paraId="5E3B3938" w14:textId="77777777" w:rsidR="00FB1FD5" w:rsidRPr="00FB1FD5" w:rsidRDefault="00FB1FD5" w:rsidP="00311FA7">
      <w:pPr>
        <w:pStyle w:val="enumlev1"/>
        <w:rPr>
          <w:rFonts w:cstheme="minorHAnsi"/>
          <w:szCs w:val="24"/>
          <w:lang w:val="es-ES"/>
        </w:rPr>
      </w:pPr>
      <w:r w:rsidRPr="00FB1FD5">
        <w:rPr>
          <w:szCs w:val="24"/>
          <w:lang w:val="es-ES"/>
        </w:rPr>
        <w:t>–</w:t>
      </w:r>
      <w:r w:rsidRPr="00FB1FD5">
        <w:rPr>
          <w:szCs w:val="24"/>
          <w:lang w:val="es-ES"/>
        </w:rPr>
        <w:tab/>
        <w:t>Serie Y.4000, incluidas Y.4218, Y.4482</w:t>
      </w:r>
    </w:p>
    <w:p w14:paraId="210EF7FB" w14:textId="77777777" w:rsidR="00FB1FD5" w:rsidRPr="00FB1FD5" w:rsidRDefault="00FB1FD5" w:rsidP="00FB1FD5">
      <w:pPr>
        <w:keepNext/>
        <w:rPr>
          <w:rFonts w:eastAsiaTheme="minorEastAsia" w:cstheme="minorHAnsi"/>
          <w:b/>
          <w:szCs w:val="24"/>
          <w:lang w:val="es-ES"/>
        </w:rPr>
      </w:pPr>
      <w:r w:rsidRPr="00FB1FD5">
        <w:rPr>
          <w:b/>
          <w:bCs/>
          <w:szCs w:val="24"/>
          <w:lang w:val="es-ES"/>
        </w:rPr>
        <w:t>Cuestiones:</w:t>
      </w:r>
    </w:p>
    <w:p w14:paraId="564C1B78" w14:textId="77777777" w:rsidR="00FB1FD5" w:rsidRPr="00FB1FD5" w:rsidRDefault="00FB1FD5" w:rsidP="00311FA7">
      <w:pPr>
        <w:pStyle w:val="enumlev1"/>
        <w:rPr>
          <w:rFonts w:eastAsiaTheme="minorEastAsia" w:cstheme="minorHAnsi"/>
          <w:szCs w:val="24"/>
          <w:lang w:val="es-ES"/>
        </w:rPr>
      </w:pPr>
      <w:r w:rsidRPr="00FB1FD5">
        <w:rPr>
          <w:szCs w:val="24"/>
          <w:lang w:val="es-ES"/>
        </w:rPr>
        <w:t>–</w:t>
      </w:r>
      <w:r w:rsidRPr="00FB1FD5">
        <w:rPr>
          <w:szCs w:val="24"/>
          <w:lang w:val="es-ES"/>
        </w:rPr>
        <w:tab/>
        <w:t>Todas las Cuestiones de la CE 20</w:t>
      </w:r>
    </w:p>
    <w:p w14:paraId="40C6A8C7" w14:textId="77777777" w:rsidR="00FB1FD5" w:rsidRPr="00F6316F" w:rsidRDefault="00FB1FD5" w:rsidP="00FB1FD5">
      <w:pPr>
        <w:keepNext/>
        <w:rPr>
          <w:rFonts w:eastAsiaTheme="minorEastAsia" w:cstheme="minorHAnsi"/>
          <w:b/>
          <w:szCs w:val="24"/>
          <w:lang w:val="fr-CH"/>
        </w:rPr>
      </w:pPr>
      <w:proofErr w:type="spellStart"/>
      <w:r w:rsidRPr="00F6316F">
        <w:rPr>
          <w:b/>
          <w:bCs/>
          <w:szCs w:val="24"/>
          <w:lang w:val="fr-CH"/>
        </w:rPr>
        <w:t>Comisiones</w:t>
      </w:r>
      <w:proofErr w:type="spellEnd"/>
      <w:r w:rsidRPr="00F6316F">
        <w:rPr>
          <w:b/>
          <w:bCs/>
          <w:szCs w:val="24"/>
          <w:lang w:val="fr-CH"/>
        </w:rPr>
        <w:t xml:space="preserve"> de </w:t>
      </w:r>
      <w:proofErr w:type="spellStart"/>
      <w:r w:rsidRPr="00F6316F">
        <w:rPr>
          <w:b/>
          <w:bCs/>
          <w:szCs w:val="24"/>
          <w:lang w:val="fr-CH"/>
        </w:rPr>
        <w:t>Estudio</w:t>
      </w:r>
      <w:proofErr w:type="spellEnd"/>
      <w:r w:rsidRPr="00F6316F">
        <w:rPr>
          <w:b/>
          <w:bCs/>
          <w:szCs w:val="24"/>
          <w:lang w:val="fr-CH"/>
        </w:rPr>
        <w:t>:</w:t>
      </w:r>
    </w:p>
    <w:p w14:paraId="2045C07F" w14:textId="77777777" w:rsidR="00FB1FD5" w:rsidRPr="00F6316F" w:rsidRDefault="00FB1FD5" w:rsidP="00311FA7">
      <w:pPr>
        <w:pStyle w:val="enumlev1"/>
        <w:rPr>
          <w:rFonts w:eastAsiaTheme="minorEastAsia" w:cstheme="minorHAnsi"/>
          <w:szCs w:val="24"/>
          <w:lang w:val="fr-CH"/>
        </w:rPr>
      </w:pPr>
      <w:r w:rsidRPr="00F6316F">
        <w:rPr>
          <w:szCs w:val="24"/>
          <w:lang w:val="fr-CH"/>
        </w:rPr>
        <w:t>–</w:t>
      </w:r>
      <w:r w:rsidRPr="00F6316F">
        <w:rPr>
          <w:szCs w:val="24"/>
          <w:lang w:val="fr-CH"/>
        </w:rPr>
        <w:tab/>
        <w:t xml:space="preserve">CE 5 </w:t>
      </w:r>
      <w:proofErr w:type="spellStart"/>
      <w:r w:rsidRPr="00F6316F">
        <w:rPr>
          <w:szCs w:val="24"/>
          <w:lang w:val="fr-CH"/>
        </w:rPr>
        <w:t>del</w:t>
      </w:r>
      <w:proofErr w:type="spellEnd"/>
      <w:r w:rsidRPr="00F6316F">
        <w:rPr>
          <w:szCs w:val="24"/>
          <w:lang w:val="fr-CH"/>
        </w:rPr>
        <w:t xml:space="preserve"> UIT-T</w:t>
      </w:r>
    </w:p>
    <w:p w14:paraId="2EF698B0" w14:textId="77777777" w:rsidR="00FB1FD5" w:rsidRPr="00F6316F" w:rsidRDefault="00FB1FD5" w:rsidP="00311FA7">
      <w:pPr>
        <w:pStyle w:val="enumlev1"/>
        <w:rPr>
          <w:rFonts w:eastAsiaTheme="minorEastAsia" w:cstheme="minorHAnsi"/>
          <w:szCs w:val="24"/>
          <w:lang w:val="fr-CH"/>
        </w:rPr>
      </w:pPr>
      <w:r w:rsidRPr="00F6316F">
        <w:rPr>
          <w:szCs w:val="24"/>
          <w:lang w:val="fr-CH"/>
        </w:rPr>
        <w:t>–</w:t>
      </w:r>
      <w:r w:rsidRPr="00F6316F">
        <w:rPr>
          <w:szCs w:val="24"/>
          <w:lang w:val="fr-CH"/>
        </w:rPr>
        <w:tab/>
        <w:t xml:space="preserve">CE 11 </w:t>
      </w:r>
      <w:proofErr w:type="spellStart"/>
      <w:r w:rsidRPr="00F6316F">
        <w:rPr>
          <w:szCs w:val="24"/>
          <w:lang w:val="fr-CH"/>
        </w:rPr>
        <w:t>del</w:t>
      </w:r>
      <w:proofErr w:type="spellEnd"/>
      <w:r w:rsidRPr="00F6316F">
        <w:rPr>
          <w:szCs w:val="24"/>
          <w:lang w:val="fr-CH"/>
        </w:rPr>
        <w:t xml:space="preserve"> UIT-T</w:t>
      </w:r>
    </w:p>
    <w:p w14:paraId="454C5587" w14:textId="77777777" w:rsidR="00FB1FD5" w:rsidRPr="00F6316F" w:rsidRDefault="00FB1FD5" w:rsidP="00311FA7">
      <w:pPr>
        <w:pStyle w:val="enumlev1"/>
        <w:rPr>
          <w:rFonts w:eastAsiaTheme="minorEastAsia" w:cstheme="minorHAnsi"/>
          <w:szCs w:val="24"/>
          <w:lang w:val="fr-CH"/>
        </w:rPr>
      </w:pPr>
      <w:r w:rsidRPr="00F6316F">
        <w:rPr>
          <w:szCs w:val="24"/>
          <w:lang w:val="fr-CH"/>
        </w:rPr>
        <w:t>–</w:t>
      </w:r>
      <w:r w:rsidRPr="00F6316F">
        <w:rPr>
          <w:szCs w:val="24"/>
          <w:lang w:val="fr-CH"/>
        </w:rPr>
        <w:tab/>
        <w:t xml:space="preserve">CE 13 </w:t>
      </w:r>
      <w:proofErr w:type="spellStart"/>
      <w:r w:rsidRPr="00F6316F">
        <w:rPr>
          <w:szCs w:val="24"/>
          <w:lang w:val="fr-CH"/>
        </w:rPr>
        <w:t>del</w:t>
      </w:r>
      <w:proofErr w:type="spellEnd"/>
      <w:r w:rsidRPr="00F6316F">
        <w:rPr>
          <w:szCs w:val="24"/>
          <w:lang w:val="fr-CH"/>
        </w:rPr>
        <w:t xml:space="preserve"> UIT-T</w:t>
      </w:r>
    </w:p>
    <w:p w14:paraId="1C7A01B9" w14:textId="77777777" w:rsidR="00FB1FD5" w:rsidRPr="00F6316F" w:rsidRDefault="00FB1FD5" w:rsidP="00311FA7">
      <w:pPr>
        <w:pStyle w:val="enumlev1"/>
        <w:rPr>
          <w:rFonts w:eastAsiaTheme="minorEastAsia" w:cstheme="minorHAnsi"/>
          <w:szCs w:val="24"/>
          <w:lang w:val="fr-CH"/>
        </w:rPr>
      </w:pPr>
      <w:r w:rsidRPr="00F6316F">
        <w:rPr>
          <w:szCs w:val="24"/>
          <w:lang w:val="fr-CH"/>
        </w:rPr>
        <w:t>–</w:t>
      </w:r>
      <w:r w:rsidRPr="00F6316F">
        <w:rPr>
          <w:szCs w:val="24"/>
          <w:lang w:val="fr-CH"/>
        </w:rPr>
        <w:tab/>
        <w:t xml:space="preserve">CE 17 </w:t>
      </w:r>
      <w:proofErr w:type="spellStart"/>
      <w:r w:rsidRPr="00F6316F">
        <w:rPr>
          <w:szCs w:val="24"/>
          <w:lang w:val="fr-CH"/>
        </w:rPr>
        <w:t>del</w:t>
      </w:r>
      <w:proofErr w:type="spellEnd"/>
      <w:r w:rsidRPr="00F6316F">
        <w:rPr>
          <w:szCs w:val="24"/>
          <w:lang w:val="fr-CH"/>
        </w:rPr>
        <w:t xml:space="preserve"> UIT-T</w:t>
      </w:r>
    </w:p>
    <w:p w14:paraId="0FA0DC58" w14:textId="77777777" w:rsidR="00FB1FD5" w:rsidRPr="00F6316F" w:rsidRDefault="00FB1FD5" w:rsidP="00311FA7">
      <w:pPr>
        <w:pStyle w:val="enumlev1"/>
        <w:rPr>
          <w:rFonts w:eastAsiaTheme="minorEastAsia" w:cstheme="minorHAnsi"/>
          <w:szCs w:val="24"/>
          <w:lang w:val="fr-CH"/>
        </w:rPr>
      </w:pPr>
      <w:r w:rsidRPr="00F6316F">
        <w:rPr>
          <w:szCs w:val="24"/>
          <w:lang w:val="fr-CH"/>
        </w:rPr>
        <w:t>–</w:t>
      </w:r>
      <w:r w:rsidRPr="00F6316F">
        <w:rPr>
          <w:szCs w:val="24"/>
          <w:lang w:val="fr-CH"/>
        </w:rPr>
        <w:tab/>
        <w:t xml:space="preserve">CE 21 </w:t>
      </w:r>
      <w:proofErr w:type="spellStart"/>
      <w:r w:rsidRPr="00F6316F">
        <w:rPr>
          <w:szCs w:val="24"/>
          <w:lang w:val="fr-CH"/>
        </w:rPr>
        <w:t>del</w:t>
      </w:r>
      <w:proofErr w:type="spellEnd"/>
      <w:r w:rsidRPr="00F6316F">
        <w:rPr>
          <w:szCs w:val="24"/>
          <w:lang w:val="fr-CH"/>
        </w:rPr>
        <w:t xml:space="preserve"> UIT-T</w:t>
      </w:r>
    </w:p>
    <w:p w14:paraId="2931D00C" w14:textId="559FDA3A" w:rsidR="00FB1FD5" w:rsidRPr="00F6316F" w:rsidRDefault="00FB1FD5" w:rsidP="00FB1FD5">
      <w:pPr>
        <w:keepNext/>
        <w:rPr>
          <w:rFonts w:eastAsiaTheme="minorEastAsia" w:cstheme="minorHAnsi"/>
          <w:b/>
          <w:szCs w:val="24"/>
          <w:lang w:val="fr-CH"/>
        </w:rPr>
      </w:pPr>
      <w:r w:rsidRPr="00F6316F">
        <w:rPr>
          <w:b/>
          <w:bCs/>
          <w:szCs w:val="24"/>
          <w:lang w:val="fr-CH"/>
        </w:rPr>
        <w:t xml:space="preserve">Otros </w:t>
      </w:r>
      <w:proofErr w:type="spellStart"/>
      <w:r w:rsidRPr="00F6316F">
        <w:rPr>
          <w:b/>
          <w:bCs/>
          <w:szCs w:val="24"/>
          <w:lang w:val="fr-CH"/>
        </w:rPr>
        <w:t>organismos</w:t>
      </w:r>
      <w:proofErr w:type="spellEnd"/>
      <w:r w:rsidR="00261AA0" w:rsidRPr="00F6316F">
        <w:rPr>
          <w:b/>
          <w:bCs/>
          <w:szCs w:val="24"/>
          <w:lang w:val="fr-CH"/>
        </w:rPr>
        <w:t>:</w:t>
      </w:r>
    </w:p>
    <w:p w14:paraId="7707190C" w14:textId="77777777" w:rsidR="00FB1FD5" w:rsidRPr="00F6316F" w:rsidRDefault="00FB1FD5" w:rsidP="00311FA7">
      <w:pPr>
        <w:pStyle w:val="enumlev1"/>
        <w:rPr>
          <w:rFonts w:eastAsiaTheme="minorEastAsia" w:cstheme="minorHAnsi"/>
          <w:szCs w:val="24"/>
          <w:lang w:val="fr-CH"/>
        </w:rPr>
      </w:pPr>
      <w:r w:rsidRPr="00F6316F">
        <w:rPr>
          <w:szCs w:val="24"/>
          <w:lang w:val="fr-CH"/>
        </w:rPr>
        <w:t>–</w:t>
      </w:r>
      <w:r w:rsidRPr="00F6316F">
        <w:rPr>
          <w:szCs w:val="24"/>
          <w:lang w:val="fr-CH"/>
        </w:rPr>
        <w:tab/>
        <w:t>ISO/TC 23</w:t>
      </w:r>
    </w:p>
    <w:p w14:paraId="6658E681" w14:textId="77777777" w:rsidR="00FB1FD5" w:rsidRPr="00F6316F" w:rsidRDefault="00FB1FD5" w:rsidP="00311FA7">
      <w:pPr>
        <w:pStyle w:val="enumlev1"/>
        <w:rPr>
          <w:rFonts w:eastAsiaTheme="minorEastAsia" w:cstheme="minorHAnsi"/>
          <w:szCs w:val="24"/>
          <w:lang w:val="fr-CH"/>
        </w:rPr>
      </w:pPr>
      <w:r w:rsidRPr="00F6316F">
        <w:rPr>
          <w:szCs w:val="24"/>
          <w:lang w:val="fr-CH"/>
        </w:rPr>
        <w:t>–</w:t>
      </w:r>
      <w:r w:rsidRPr="00F6316F">
        <w:rPr>
          <w:szCs w:val="24"/>
          <w:lang w:val="fr-CH"/>
        </w:rPr>
        <w:tab/>
        <w:t>ISO/TC 34</w:t>
      </w:r>
    </w:p>
    <w:p w14:paraId="7B8FDA85" w14:textId="58A98764" w:rsidR="00FB1FD5" w:rsidRPr="00F6316F" w:rsidRDefault="00FB1FD5" w:rsidP="00311FA7">
      <w:pPr>
        <w:pStyle w:val="enumlev1"/>
        <w:rPr>
          <w:rFonts w:eastAsiaTheme="minorEastAsia" w:cstheme="minorHAnsi"/>
          <w:szCs w:val="24"/>
          <w:lang w:val="fr-CH"/>
        </w:rPr>
      </w:pPr>
      <w:r w:rsidRPr="00F6316F">
        <w:rPr>
          <w:szCs w:val="24"/>
          <w:lang w:val="fr-CH"/>
        </w:rPr>
        <w:t>–</w:t>
      </w:r>
      <w:r w:rsidRPr="00F6316F">
        <w:rPr>
          <w:szCs w:val="24"/>
          <w:lang w:val="fr-CH"/>
        </w:rPr>
        <w:tab/>
        <w:t>ISO/TC</w:t>
      </w:r>
      <w:r w:rsidR="003D22D5" w:rsidRPr="00F6316F">
        <w:rPr>
          <w:szCs w:val="24"/>
          <w:lang w:val="fr-CH"/>
        </w:rPr>
        <w:t xml:space="preserve"> </w:t>
      </w:r>
      <w:r w:rsidRPr="00F6316F">
        <w:rPr>
          <w:szCs w:val="24"/>
          <w:lang w:val="fr-CH"/>
        </w:rPr>
        <w:t>347</w:t>
      </w:r>
    </w:p>
    <w:p w14:paraId="58BF2397" w14:textId="77777777" w:rsidR="00FB1FD5" w:rsidRPr="00F6316F" w:rsidRDefault="00FB1FD5" w:rsidP="00311FA7">
      <w:pPr>
        <w:pStyle w:val="enumlev1"/>
        <w:rPr>
          <w:rFonts w:eastAsiaTheme="minorEastAsia" w:cstheme="minorHAnsi"/>
          <w:szCs w:val="24"/>
          <w:lang w:val="fr-CH"/>
        </w:rPr>
      </w:pPr>
      <w:r w:rsidRPr="00F6316F">
        <w:rPr>
          <w:szCs w:val="24"/>
          <w:lang w:val="fr-CH"/>
        </w:rPr>
        <w:t>–</w:t>
      </w:r>
      <w:r w:rsidRPr="00F6316F">
        <w:rPr>
          <w:szCs w:val="24"/>
          <w:lang w:val="fr-CH"/>
        </w:rPr>
        <w:tab/>
        <w:t>ISO/IEC JTC1/SC42</w:t>
      </w:r>
    </w:p>
    <w:p w14:paraId="37C53AB0" w14:textId="77777777" w:rsidR="00FB1FD5" w:rsidRPr="00F6316F" w:rsidRDefault="00FB1FD5" w:rsidP="00311FA7">
      <w:pPr>
        <w:pStyle w:val="enumlev1"/>
        <w:rPr>
          <w:rFonts w:eastAsiaTheme="minorEastAsia" w:cstheme="minorHAnsi"/>
          <w:szCs w:val="24"/>
          <w:lang w:val="fr-CH"/>
        </w:rPr>
      </w:pPr>
      <w:r w:rsidRPr="00F6316F">
        <w:rPr>
          <w:szCs w:val="24"/>
          <w:lang w:val="fr-CH"/>
        </w:rPr>
        <w:t>–</w:t>
      </w:r>
      <w:r w:rsidRPr="00F6316F">
        <w:rPr>
          <w:szCs w:val="24"/>
          <w:lang w:val="fr-CH"/>
        </w:rPr>
        <w:tab/>
        <w:t>ISO/IEC JTC1/SC41</w:t>
      </w:r>
    </w:p>
    <w:p w14:paraId="24693BD2" w14:textId="77777777" w:rsidR="00FB1FD5" w:rsidRPr="00FB1FD5" w:rsidRDefault="00FB1FD5" w:rsidP="00311FA7">
      <w:pPr>
        <w:pStyle w:val="enumlev1"/>
        <w:rPr>
          <w:rFonts w:eastAsiaTheme="minorEastAsia" w:cstheme="minorHAnsi"/>
          <w:szCs w:val="24"/>
          <w:lang w:val="es-ES"/>
        </w:rPr>
      </w:pPr>
      <w:r w:rsidRPr="00FB1FD5">
        <w:rPr>
          <w:szCs w:val="24"/>
          <w:lang w:val="es-ES"/>
        </w:rPr>
        <w:t>–</w:t>
      </w:r>
      <w:r w:rsidRPr="00FB1FD5">
        <w:rPr>
          <w:szCs w:val="24"/>
          <w:lang w:val="es-ES"/>
        </w:rPr>
        <w:tab/>
        <w:t>JCA-</w:t>
      </w:r>
      <w:proofErr w:type="spellStart"/>
      <w:r w:rsidRPr="00FB1FD5">
        <w:rPr>
          <w:szCs w:val="24"/>
          <w:lang w:val="es-ES"/>
        </w:rPr>
        <w:t>IoT</w:t>
      </w:r>
      <w:proofErr w:type="spellEnd"/>
      <w:r w:rsidRPr="00FB1FD5">
        <w:rPr>
          <w:szCs w:val="24"/>
          <w:lang w:val="es-ES"/>
        </w:rPr>
        <w:t>, DT y SSC&amp;C</w:t>
      </w:r>
    </w:p>
    <w:p w14:paraId="74289E82" w14:textId="77777777" w:rsidR="00FB1FD5" w:rsidRPr="00FB1FD5" w:rsidRDefault="00FB1FD5" w:rsidP="00311FA7">
      <w:pPr>
        <w:pStyle w:val="enumlev1"/>
        <w:rPr>
          <w:rFonts w:eastAsiaTheme="minorEastAsia" w:cstheme="minorHAnsi"/>
          <w:szCs w:val="24"/>
          <w:lang w:val="es-ES"/>
        </w:rPr>
      </w:pPr>
      <w:r w:rsidRPr="00FB1FD5">
        <w:rPr>
          <w:szCs w:val="24"/>
          <w:lang w:val="es-ES"/>
        </w:rPr>
        <w:t>–</w:t>
      </w:r>
      <w:r w:rsidRPr="00FB1FD5">
        <w:rPr>
          <w:szCs w:val="24"/>
          <w:lang w:val="es-ES"/>
        </w:rPr>
        <w:tab/>
        <w:t>JCA-MV</w:t>
      </w:r>
    </w:p>
    <w:p w14:paraId="5555DC68" w14:textId="77777777" w:rsidR="00FB1FD5" w:rsidRPr="00FB1FD5" w:rsidRDefault="00FB1FD5" w:rsidP="00311FA7">
      <w:pPr>
        <w:pStyle w:val="enumlev1"/>
        <w:rPr>
          <w:rFonts w:eastAsiaTheme="minorEastAsia" w:cstheme="minorHAnsi"/>
          <w:szCs w:val="24"/>
          <w:lang w:val="es-ES"/>
        </w:rPr>
      </w:pPr>
      <w:r w:rsidRPr="00FB1FD5">
        <w:rPr>
          <w:szCs w:val="24"/>
          <w:lang w:val="es-ES"/>
        </w:rPr>
        <w:t>–</w:t>
      </w:r>
      <w:r w:rsidRPr="00FB1FD5">
        <w:rPr>
          <w:szCs w:val="24"/>
          <w:lang w:val="es-ES"/>
        </w:rPr>
        <w:tab/>
        <w:t>FAO</w:t>
      </w:r>
    </w:p>
    <w:p w14:paraId="59F5734C" w14:textId="77777777" w:rsidR="00FB1FD5" w:rsidRPr="00FB1FD5" w:rsidRDefault="00FB1FD5" w:rsidP="00311FA7">
      <w:pPr>
        <w:pStyle w:val="enumlev1"/>
        <w:rPr>
          <w:rFonts w:eastAsiaTheme="minorEastAsia" w:cstheme="minorHAnsi"/>
          <w:szCs w:val="24"/>
          <w:lang w:val="es-ES"/>
        </w:rPr>
      </w:pPr>
      <w:r w:rsidRPr="00FB1FD5">
        <w:rPr>
          <w:szCs w:val="24"/>
          <w:lang w:val="es-ES"/>
        </w:rPr>
        <w:t>–</w:t>
      </w:r>
      <w:r w:rsidRPr="00FB1FD5">
        <w:rPr>
          <w:szCs w:val="24"/>
          <w:lang w:val="es-ES"/>
        </w:rPr>
        <w:tab/>
        <w:t>PMA</w:t>
      </w:r>
    </w:p>
    <w:p w14:paraId="38550B91" w14:textId="77777777" w:rsidR="00FB1FD5" w:rsidRPr="00FB1FD5" w:rsidRDefault="00FB1FD5" w:rsidP="00311FA7">
      <w:pPr>
        <w:pStyle w:val="enumlev1"/>
        <w:rPr>
          <w:rFonts w:eastAsiaTheme="minorEastAsia" w:cstheme="minorHAnsi"/>
          <w:szCs w:val="24"/>
          <w:lang w:val="es-ES"/>
        </w:rPr>
      </w:pPr>
      <w:r w:rsidRPr="00FB1FD5">
        <w:rPr>
          <w:szCs w:val="24"/>
          <w:lang w:val="es-ES"/>
        </w:rPr>
        <w:t>–</w:t>
      </w:r>
      <w:r w:rsidRPr="00FB1FD5">
        <w:rPr>
          <w:szCs w:val="24"/>
          <w:lang w:val="es-ES"/>
        </w:rPr>
        <w:tab/>
        <w:t>FIDA</w:t>
      </w:r>
    </w:p>
    <w:p w14:paraId="31A9952A" w14:textId="418EBB8F" w:rsidR="00FB1FD5" w:rsidRPr="00FB1FD5" w:rsidRDefault="00FB1FD5" w:rsidP="00FB1FD5">
      <w:pPr>
        <w:keepNext/>
        <w:rPr>
          <w:rFonts w:eastAsiaTheme="minorEastAsia" w:cstheme="minorHAnsi"/>
          <w:b/>
          <w:szCs w:val="24"/>
          <w:lang w:val="es-ES"/>
        </w:rPr>
      </w:pPr>
      <w:r w:rsidRPr="00FB1FD5">
        <w:rPr>
          <w:b/>
          <w:bCs/>
          <w:szCs w:val="24"/>
          <w:lang w:val="es-ES"/>
        </w:rPr>
        <w:t>Líneas de acción de la CMSI</w:t>
      </w:r>
      <w:r w:rsidR="00261AA0">
        <w:rPr>
          <w:b/>
          <w:bCs/>
          <w:szCs w:val="24"/>
          <w:lang w:val="es-ES"/>
        </w:rPr>
        <w:t>:</w:t>
      </w:r>
    </w:p>
    <w:p w14:paraId="51CC3DC7" w14:textId="77777777" w:rsidR="00FB1FD5" w:rsidRPr="00FB1FD5" w:rsidRDefault="00FB1FD5" w:rsidP="00311FA7">
      <w:pPr>
        <w:pStyle w:val="enumlev1"/>
        <w:rPr>
          <w:rFonts w:eastAsiaTheme="minorEastAsia" w:cstheme="minorHAnsi"/>
          <w:szCs w:val="24"/>
          <w:lang w:val="es-ES"/>
        </w:rPr>
      </w:pPr>
      <w:r w:rsidRPr="00FB1FD5">
        <w:rPr>
          <w:szCs w:val="24"/>
          <w:lang w:val="es-ES"/>
        </w:rPr>
        <w:t>–</w:t>
      </w:r>
      <w:r w:rsidRPr="00FB1FD5">
        <w:rPr>
          <w:szCs w:val="24"/>
          <w:lang w:val="es-ES"/>
        </w:rPr>
        <w:tab/>
        <w:t>C2, C3, C6, C7, C11</w:t>
      </w:r>
    </w:p>
    <w:p w14:paraId="236AED1C" w14:textId="77777777" w:rsidR="00FB1FD5" w:rsidRPr="00FB1FD5" w:rsidRDefault="00FB1FD5" w:rsidP="00FB1FD5">
      <w:pPr>
        <w:keepNext/>
        <w:rPr>
          <w:rFonts w:eastAsiaTheme="minorEastAsia" w:cstheme="minorHAnsi"/>
          <w:b/>
          <w:szCs w:val="24"/>
          <w:lang w:val="es-ES"/>
        </w:rPr>
      </w:pPr>
      <w:r w:rsidRPr="00FB1FD5">
        <w:rPr>
          <w:b/>
          <w:bCs/>
          <w:szCs w:val="24"/>
          <w:lang w:val="es-ES"/>
        </w:rPr>
        <w:t>Objetivos de Desarrollo Sostenible:</w:t>
      </w:r>
    </w:p>
    <w:p w14:paraId="581721A3" w14:textId="77777777" w:rsidR="00FB1FD5" w:rsidRDefault="00FB1FD5" w:rsidP="00431E33">
      <w:pPr>
        <w:pStyle w:val="enumlev1"/>
        <w:rPr>
          <w:szCs w:val="24"/>
          <w:lang w:val="es-ES"/>
        </w:rPr>
      </w:pPr>
      <w:r w:rsidRPr="00FB1FD5">
        <w:rPr>
          <w:szCs w:val="24"/>
          <w:lang w:val="es-ES"/>
        </w:rPr>
        <w:t>–</w:t>
      </w:r>
      <w:r w:rsidRPr="00FB1FD5">
        <w:rPr>
          <w:szCs w:val="24"/>
          <w:lang w:val="es-ES"/>
        </w:rPr>
        <w:tab/>
        <w:t>2, 9, 11, 13, 14, 15</w:t>
      </w:r>
    </w:p>
    <w:p w14:paraId="07ACF6AE" w14:textId="14222A53" w:rsidR="00431E33" w:rsidRPr="00FB1FD5" w:rsidRDefault="00431E33" w:rsidP="00431E33">
      <w:pPr>
        <w:pStyle w:val="enumlev1"/>
        <w:spacing w:after="720"/>
        <w:jc w:val="center"/>
        <w:rPr>
          <w:rFonts w:eastAsiaTheme="minorEastAsia" w:cstheme="minorHAnsi"/>
          <w:szCs w:val="24"/>
          <w:lang w:val="es-ES"/>
        </w:rPr>
      </w:pPr>
      <w:r>
        <w:rPr>
          <w:szCs w:val="24"/>
          <w:lang w:val="es-ES"/>
        </w:rPr>
        <w:t>_____________________________</w:t>
      </w:r>
    </w:p>
    <w:sectPr w:rsidR="00431E33" w:rsidRPr="00FB1FD5" w:rsidSect="00B87E9E">
      <w:headerReference w:type="default" r:id="rId13"/>
      <w:footerReference w:type="first" r:id="rId14"/>
      <w:pgSz w:w="11907" w:h="16840" w:code="9"/>
      <w:pgMar w:top="1134" w:right="1134" w:bottom="1134" w:left="1134" w:header="567" w:footer="567"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7A9B1" w14:textId="77777777" w:rsidR="00283EE1" w:rsidRDefault="00283EE1">
      <w:r>
        <w:separator/>
      </w:r>
    </w:p>
  </w:endnote>
  <w:endnote w:type="continuationSeparator" w:id="0">
    <w:p w14:paraId="18CD73C8" w14:textId="77777777" w:rsidR="00283EE1" w:rsidRDefault="00283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28CD6" w14:textId="77777777" w:rsidR="0014464D" w:rsidRPr="00D834E7" w:rsidRDefault="0014464D" w:rsidP="00FC416A">
    <w:pPr>
      <w:pStyle w:val="FirstFooter"/>
      <w:ind w:left="-397" w:right="-397"/>
      <w:jc w:val="center"/>
      <w:rPr>
        <w:color w:val="0070C0"/>
        <w:szCs w:val="18"/>
        <w:lang w:val="es-ES"/>
      </w:rPr>
    </w:pPr>
    <w:r w:rsidRPr="00D834E7">
      <w:rPr>
        <w:color w:val="0070C0"/>
        <w:szCs w:val="18"/>
        <w:lang w:val="es-ES"/>
      </w:rPr>
      <w:t>Unión Internacional de Telecomunicaciones • Place des Nations, CH</w:t>
    </w:r>
    <w:r w:rsidRPr="00D834E7">
      <w:rPr>
        <w:color w:val="0070C0"/>
        <w:szCs w:val="18"/>
        <w:lang w:val="es-ES"/>
      </w:rPr>
      <w:noBreakHyphen/>
      <w:t xml:space="preserve">1211 Ginebra 20, Suiza </w:t>
    </w:r>
    <w:r w:rsidRPr="00D834E7">
      <w:rPr>
        <w:color w:val="0070C0"/>
        <w:szCs w:val="18"/>
        <w:lang w:val="es-ES"/>
      </w:rPr>
      <w:br/>
      <w:t xml:space="preserve">Tel: +41 22 730 5111 • Fax: +41 22 733 7256 • Correo-e: </w:t>
    </w:r>
    <w:hyperlink r:id="rId1" w:history="1">
      <w:r w:rsidRPr="00D834E7">
        <w:rPr>
          <w:rStyle w:val="Hyperlink"/>
          <w:color w:val="0070C0"/>
          <w:lang w:val="es-ES"/>
        </w:rPr>
        <w:t>itumail@itu.int</w:t>
      </w:r>
    </w:hyperlink>
    <w:r w:rsidRPr="00D834E7">
      <w:rPr>
        <w:color w:val="0070C0"/>
        <w:szCs w:val="18"/>
        <w:lang w:val="es-ES"/>
      </w:rPr>
      <w:t xml:space="preserve"> • </w:t>
    </w:r>
    <w:hyperlink r:id="rId2" w:history="1">
      <w:r w:rsidRPr="00D834E7">
        <w:rPr>
          <w:rStyle w:val="Hyperlink"/>
          <w:color w:val="0070C0"/>
          <w:lang w:val="es-ES"/>
        </w:rPr>
        <w:t>www.itu.int</w:t>
      </w:r>
    </w:hyperlink>
    <w:r w:rsidRPr="00D834E7">
      <w:rPr>
        <w:color w:val="0070C0"/>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76135" w14:textId="77777777" w:rsidR="00283EE1" w:rsidRDefault="00283EE1">
      <w:r>
        <w:t>____________________</w:t>
      </w:r>
    </w:p>
  </w:footnote>
  <w:footnote w:type="continuationSeparator" w:id="0">
    <w:p w14:paraId="267F8D6C" w14:textId="77777777" w:rsidR="00283EE1" w:rsidRDefault="00283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B9908" w14:textId="1BD2E8A3" w:rsidR="006969B4" w:rsidRPr="00303D62" w:rsidRDefault="006969B4">
    <w:pPr>
      <w:pStyle w:val="Header"/>
      <w:rPr>
        <w:sz w:val="18"/>
        <w:szCs w:val="18"/>
      </w:rPr>
    </w:pPr>
    <w:r w:rsidRPr="00303D62">
      <w:rPr>
        <w:sz w:val="18"/>
        <w:szCs w:val="18"/>
      </w:rPr>
      <w:t xml:space="preserve">- </w:t>
    </w:r>
    <w:r w:rsidR="00B87E9E" w:rsidRPr="00303D62">
      <w:rPr>
        <w:rStyle w:val="PageNumber"/>
        <w:sz w:val="18"/>
        <w:szCs w:val="18"/>
      </w:rPr>
      <w:fldChar w:fldCharType="begin"/>
    </w:r>
    <w:r w:rsidRPr="00303D62">
      <w:rPr>
        <w:rStyle w:val="PageNumber"/>
        <w:sz w:val="18"/>
        <w:szCs w:val="18"/>
      </w:rPr>
      <w:instrText xml:space="preserve"> PAGE </w:instrText>
    </w:r>
    <w:r w:rsidR="00B87E9E" w:rsidRPr="00303D62">
      <w:rPr>
        <w:rStyle w:val="PageNumber"/>
        <w:sz w:val="18"/>
        <w:szCs w:val="18"/>
      </w:rPr>
      <w:fldChar w:fldCharType="separate"/>
    </w:r>
    <w:r w:rsidR="007B6316">
      <w:rPr>
        <w:rStyle w:val="PageNumber"/>
        <w:noProof/>
        <w:sz w:val="18"/>
        <w:szCs w:val="18"/>
      </w:rPr>
      <w:t>2</w:t>
    </w:r>
    <w:r w:rsidR="00B87E9E" w:rsidRPr="00303D62">
      <w:rPr>
        <w:rStyle w:val="PageNumber"/>
        <w:sz w:val="18"/>
        <w:szCs w:val="18"/>
      </w:rPr>
      <w:fldChar w:fldCharType="end"/>
    </w:r>
    <w:r w:rsidRPr="00303D62">
      <w:rPr>
        <w:rStyle w:val="PageNumber"/>
        <w:sz w:val="18"/>
        <w:szCs w:val="18"/>
      </w:rPr>
      <w:t xml:space="preserve"> -</w:t>
    </w:r>
    <w:r w:rsidR="00311FA7">
      <w:rPr>
        <w:rStyle w:val="PageNumber"/>
        <w:sz w:val="18"/>
        <w:szCs w:val="18"/>
      </w:rPr>
      <w:br/>
    </w:r>
    <w:r w:rsidR="00311FA7">
      <w:rPr>
        <w:sz w:val="18"/>
        <w:szCs w:val="18"/>
      </w:rPr>
      <w:t>TSB Circular 117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80C16"/>
    <w:multiLevelType w:val="hybridMultilevel"/>
    <w:tmpl w:val="8E747B2A"/>
    <w:lvl w:ilvl="0" w:tplc="F560203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5B64233"/>
    <w:multiLevelType w:val="hybridMultilevel"/>
    <w:tmpl w:val="DC8ECFBA"/>
    <w:lvl w:ilvl="0" w:tplc="F560203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4"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297730853">
    <w:abstractNumId w:val="2"/>
  </w:num>
  <w:num w:numId="2" w16cid:durableId="1345282128">
    <w:abstractNumId w:val="5"/>
  </w:num>
  <w:num w:numId="3" w16cid:durableId="1069613404">
    <w:abstractNumId w:val="4"/>
  </w:num>
  <w:num w:numId="4" w16cid:durableId="374936234">
    <w:abstractNumId w:val="3"/>
  </w:num>
  <w:num w:numId="5" w16cid:durableId="1642346092">
    <w:abstractNumId w:val="0"/>
  </w:num>
  <w:num w:numId="6" w16cid:durableId="644896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EE1"/>
    <w:rsid w:val="00002529"/>
    <w:rsid w:val="00085662"/>
    <w:rsid w:val="000C382F"/>
    <w:rsid w:val="00111F78"/>
    <w:rsid w:val="001173CC"/>
    <w:rsid w:val="001350B9"/>
    <w:rsid w:val="0014464D"/>
    <w:rsid w:val="00173167"/>
    <w:rsid w:val="001A54CC"/>
    <w:rsid w:val="00257FB4"/>
    <w:rsid w:val="00261AA0"/>
    <w:rsid w:val="00283EE1"/>
    <w:rsid w:val="002E496E"/>
    <w:rsid w:val="00303D62"/>
    <w:rsid w:val="00311FA7"/>
    <w:rsid w:val="00335367"/>
    <w:rsid w:val="00370C2D"/>
    <w:rsid w:val="003D1E8D"/>
    <w:rsid w:val="003D22D5"/>
    <w:rsid w:val="003D673B"/>
    <w:rsid w:val="003F2855"/>
    <w:rsid w:val="00401C20"/>
    <w:rsid w:val="00431E33"/>
    <w:rsid w:val="004649D5"/>
    <w:rsid w:val="004A7957"/>
    <w:rsid w:val="004C4144"/>
    <w:rsid w:val="0055719E"/>
    <w:rsid w:val="00583C51"/>
    <w:rsid w:val="005D7DB2"/>
    <w:rsid w:val="006969B4"/>
    <w:rsid w:val="006C0AAC"/>
    <w:rsid w:val="006E4F7B"/>
    <w:rsid w:val="00781E2A"/>
    <w:rsid w:val="007933A2"/>
    <w:rsid w:val="007A7329"/>
    <w:rsid w:val="007B6316"/>
    <w:rsid w:val="00814503"/>
    <w:rsid w:val="008258C2"/>
    <w:rsid w:val="0083552A"/>
    <w:rsid w:val="008505BD"/>
    <w:rsid w:val="00850C78"/>
    <w:rsid w:val="00876165"/>
    <w:rsid w:val="00884D12"/>
    <w:rsid w:val="008C17AD"/>
    <w:rsid w:val="008D02CD"/>
    <w:rsid w:val="0091370C"/>
    <w:rsid w:val="0095172A"/>
    <w:rsid w:val="00955E08"/>
    <w:rsid w:val="009A0BA0"/>
    <w:rsid w:val="00A54E47"/>
    <w:rsid w:val="00AB6E3A"/>
    <w:rsid w:val="00AE7093"/>
    <w:rsid w:val="00B422BC"/>
    <w:rsid w:val="00B43F77"/>
    <w:rsid w:val="00B55A3E"/>
    <w:rsid w:val="00B87E9E"/>
    <w:rsid w:val="00B95F0A"/>
    <w:rsid w:val="00B96180"/>
    <w:rsid w:val="00C116FE"/>
    <w:rsid w:val="00C17AC0"/>
    <w:rsid w:val="00C34772"/>
    <w:rsid w:val="00C464D8"/>
    <w:rsid w:val="00C5465A"/>
    <w:rsid w:val="00D54642"/>
    <w:rsid w:val="00D834E7"/>
    <w:rsid w:val="00DD77C9"/>
    <w:rsid w:val="00DF3538"/>
    <w:rsid w:val="00E839B0"/>
    <w:rsid w:val="00E92C09"/>
    <w:rsid w:val="00F14380"/>
    <w:rsid w:val="00F6316F"/>
    <w:rsid w:val="00F6461F"/>
    <w:rsid w:val="00FA6EB9"/>
    <w:rsid w:val="00FB1FD5"/>
    <w:rsid w:val="00FC416A"/>
    <w:rsid w:val="00FD2B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4B571D"/>
  <w15:docId w15:val="{22344624-9EFF-484F-9C10-70CDB40C3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96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
    <w:basedOn w:val="DefaultParagraphFon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character" w:styleId="UnresolvedMention">
    <w:name w:val="Unresolved Mention"/>
    <w:basedOn w:val="DefaultParagraphFont"/>
    <w:uiPriority w:val="99"/>
    <w:semiHidden/>
    <w:unhideWhenUsed/>
    <w:rsid w:val="00283EE1"/>
    <w:rPr>
      <w:color w:val="605E5C"/>
      <w:shd w:val="clear" w:color="auto" w:fill="E1DFDD"/>
    </w:rPr>
  </w:style>
  <w:style w:type="paragraph" w:styleId="ListParagraph">
    <w:name w:val="List Paragraph"/>
    <w:basedOn w:val="Normal"/>
    <w:qFormat/>
    <w:rsid w:val="00283EE1"/>
    <w:pPr>
      <w:ind w:left="720"/>
      <w:contextualSpacing/>
    </w:pPr>
    <w:rPr>
      <w:rFonts w:ascii="Calibri" w:hAnsi="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ITU-T/workprog/wp_search.aspx?sp=18&amp;q=11/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ITU-T/workprog/wp_search.aspx?sp=18&amp;q=11/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tsbsg20@itu.in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eda\AppData\Roaming\Microsoft\Templates\POOL%20S%20-%20ITU\TSB\PS_TSB_Circular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327D5-7057-4C1D-9DB1-7B326968D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PS_TSB_Circular_Letter.dotx</Template>
  <TotalTime>0</TotalTime>
  <Pages>4</Pages>
  <Words>1408</Words>
  <Characters>8027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9417</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Spanish</dc:creator>
  <cp:lastModifiedBy>Maguire, Mairéad</cp:lastModifiedBy>
  <cp:revision>2</cp:revision>
  <cp:lastPrinted>2011-04-15T08:24:00Z</cp:lastPrinted>
  <dcterms:created xsi:type="dcterms:W3CDTF">2026-04-08T14:20:00Z</dcterms:created>
  <dcterms:modified xsi:type="dcterms:W3CDTF">2026-04-08T14:20:00Z</dcterms:modified>
</cp:coreProperties>
</file>