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418"/>
        <w:gridCol w:w="3260"/>
        <w:gridCol w:w="3149"/>
        <w:gridCol w:w="1984"/>
        <w:gridCol w:w="6"/>
      </w:tblGrid>
      <w:tr w:rsidR="00FA46A0" w:rsidRPr="009B0600" w14:paraId="493727AE" w14:textId="77777777" w:rsidTr="00ED2F1E">
        <w:trPr>
          <w:gridAfter w:val="1"/>
          <w:wAfter w:w="6" w:type="dxa"/>
          <w:trHeight w:val="1282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414B3C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414B3C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414B3C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414B3C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414B3C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414B3C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552D62E1" w14:textId="77777777" w:rsidR="00FA46A0" w:rsidRPr="00414B3C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414B3C" w14:paraId="0DC86AF3" w14:textId="77777777" w:rsidTr="00414B3C">
        <w:trPr>
          <w:gridAfter w:val="1"/>
          <w:wAfter w:w="6" w:type="dxa"/>
          <w:cantSplit/>
          <w:trHeight w:val="73"/>
        </w:trPr>
        <w:tc>
          <w:tcPr>
            <w:tcW w:w="4678" w:type="dxa"/>
            <w:gridSpan w:val="2"/>
            <w:vAlign w:val="center"/>
          </w:tcPr>
          <w:p w14:paraId="63FA2529" w14:textId="77777777" w:rsidR="00FA46A0" w:rsidRPr="00414B3C" w:rsidRDefault="00FA46A0" w:rsidP="00414B3C">
            <w:pPr>
              <w:pStyle w:val="Tabletext"/>
              <w:spacing w:before="240" w:after="240"/>
              <w:jc w:val="right"/>
              <w:rPr>
                <w:szCs w:val="22"/>
                <w:lang w:val="ru-RU"/>
              </w:rPr>
            </w:pPr>
          </w:p>
        </w:tc>
        <w:tc>
          <w:tcPr>
            <w:tcW w:w="5133" w:type="dxa"/>
            <w:gridSpan w:val="2"/>
            <w:vAlign w:val="center"/>
          </w:tcPr>
          <w:p w14:paraId="0E7085C4" w14:textId="4FBB8E0B" w:rsidR="00FA46A0" w:rsidRPr="00414B3C" w:rsidRDefault="00DF3447" w:rsidP="00414B3C">
            <w:pPr>
              <w:pStyle w:val="Tabletext"/>
              <w:spacing w:before="240" w:after="240"/>
              <w:rPr>
                <w:szCs w:val="22"/>
                <w:lang w:val="ru-RU"/>
              </w:rPr>
            </w:pPr>
            <w:r>
              <w:rPr>
                <w:lang w:val="ru-RU"/>
              </w:rPr>
              <w:t xml:space="preserve">Женева, </w:t>
            </w:r>
            <w:r w:rsidR="009B0600">
              <w:rPr>
                <w:rFonts w:asciiTheme="minorHAnsi" w:hAnsiTheme="minorHAnsi" w:cstheme="minorHAnsi"/>
                <w:szCs w:val="24"/>
                <w:lang w:val="en-US"/>
              </w:rPr>
              <w:t xml:space="preserve">16 </w:t>
            </w:r>
            <w:r w:rsidR="009B0600">
              <w:rPr>
                <w:rFonts w:asciiTheme="minorHAnsi" w:hAnsiTheme="minorHAnsi" w:cstheme="minorHAnsi"/>
                <w:szCs w:val="24"/>
                <w:lang w:val="ru-RU"/>
              </w:rPr>
              <w:t>февраля</w:t>
            </w:r>
            <w:r w:rsidR="002A71F5" w:rsidRPr="002B0575">
              <w:rPr>
                <w:rFonts w:asciiTheme="minorHAnsi" w:hAnsiTheme="minorHAnsi" w:cstheme="minorHAnsi"/>
                <w:szCs w:val="24"/>
                <w:lang w:val="ru-RU"/>
              </w:rPr>
              <w:t xml:space="preserve"> </w:t>
            </w:r>
            <w:r>
              <w:rPr>
                <w:lang w:val="ru-RU"/>
              </w:rPr>
              <w:t>202</w:t>
            </w:r>
            <w:r w:rsidR="009B0600">
              <w:rPr>
                <w:lang w:val="ru-RU"/>
              </w:rPr>
              <w:t>6</w:t>
            </w:r>
            <w:r>
              <w:rPr>
                <w:lang w:val="ru-RU"/>
              </w:rPr>
              <w:t xml:space="preserve"> года</w:t>
            </w:r>
          </w:p>
        </w:tc>
      </w:tr>
      <w:tr w:rsidR="002A71F5" w:rsidRPr="009B0600" w14:paraId="21DD573F" w14:textId="77777777" w:rsidTr="002A71F5">
        <w:trPr>
          <w:cantSplit/>
          <w:trHeight w:val="589"/>
        </w:trPr>
        <w:tc>
          <w:tcPr>
            <w:tcW w:w="1418" w:type="dxa"/>
          </w:tcPr>
          <w:p w14:paraId="5CBBAF56" w14:textId="77777777" w:rsidR="002A71F5" w:rsidRPr="00414B3C" w:rsidRDefault="002A71F5" w:rsidP="00414B3C">
            <w:pPr>
              <w:pStyle w:val="Tabletext"/>
              <w:rPr>
                <w:szCs w:val="22"/>
                <w:lang w:val="ru-RU"/>
              </w:rPr>
            </w:pPr>
            <w:r w:rsidRPr="00414B3C">
              <w:rPr>
                <w:b/>
                <w:bCs/>
                <w:szCs w:val="22"/>
                <w:lang w:val="ru-RU"/>
              </w:rPr>
              <w:t>Осн</w:t>
            </w:r>
            <w:r w:rsidRPr="00414B3C">
              <w:rPr>
                <w:szCs w:val="22"/>
                <w:lang w:val="ru-RU"/>
              </w:rPr>
              <w:t>.:</w:t>
            </w:r>
          </w:p>
        </w:tc>
        <w:tc>
          <w:tcPr>
            <w:tcW w:w="3260" w:type="dxa"/>
          </w:tcPr>
          <w:p w14:paraId="50EB3B57" w14:textId="01090F2B" w:rsidR="002A71F5" w:rsidRPr="009B0600" w:rsidRDefault="002A71F5" w:rsidP="00B84746">
            <w:pPr>
              <w:pStyle w:val="Tabletext"/>
              <w:jc w:val="left"/>
              <w:rPr>
                <w:b/>
                <w:bCs/>
                <w:szCs w:val="22"/>
                <w:lang w:val="ru-RU"/>
              </w:rPr>
            </w:pPr>
            <w:r w:rsidRPr="009B0600">
              <w:rPr>
                <w:b/>
                <w:bCs/>
                <w:szCs w:val="22"/>
                <w:lang w:val="ru-RU"/>
              </w:rPr>
              <w:t xml:space="preserve">Циркуляр </w:t>
            </w:r>
            <w:r w:rsidR="009B0600" w:rsidRPr="009B0600">
              <w:rPr>
                <w:b/>
                <w:bCs/>
                <w:szCs w:val="22"/>
                <w:lang w:val="en-US"/>
              </w:rPr>
              <w:t>11</w:t>
            </w:r>
            <w:r w:rsidRPr="009B0600">
              <w:rPr>
                <w:b/>
                <w:bCs/>
                <w:szCs w:val="22"/>
                <w:lang w:val="ru-RU"/>
              </w:rPr>
              <w:t>7 БСЭ</w:t>
            </w:r>
          </w:p>
          <w:p w14:paraId="274265E3" w14:textId="575E71C8" w:rsidR="002A71F5" w:rsidRPr="009B0600" w:rsidRDefault="009B0600" w:rsidP="00B84746">
            <w:pPr>
              <w:pStyle w:val="Tabletext"/>
              <w:jc w:val="left"/>
              <w:rPr>
                <w:b/>
                <w:bCs/>
                <w:szCs w:val="22"/>
                <w:lang w:val="ru-RU"/>
              </w:rPr>
            </w:pPr>
            <w:r w:rsidRPr="009B0600">
              <w:rPr>
                <w:color w:val="000000"/>
                <w:szCs w:val="22"/>
                <w:lang w:val="ru-RU"/>
              </w:rPr>
              <w:t>SG20/CB</w:t>
            </w:r>
          </w:p>
        </w:tc>
        <w:tc>
          <w:tcPr>
            <w:tcW w:w="5139" w:type="dxa"/>
            <w:gridSpan w:val="3"/>
            <w:vMerge w:val="restart"/>
          </w:tcPr>
          <w:p w14:paraId="04E7EB04" w14:textId="73F39979" w:rsidR="002A71F5" w:rsidRPr="00414B3C" w:rsidRDefault="002A71F5" w:rsidP="00414B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jc w:val="left"/>
              <w:textAlignment w:val="auto"/>
              <w:rPr>
                <w:szCs w:val="22"/>
                <w:lang w:val="ru-RU"/>
              </w:rPr>
            </w:pPr>
            <w:r w:rsidRPr="00414B3C">
              <w:rPr>
                <w:b/>
                <w:bCs/>
                <w:szCs w:val="22"/>
                <w:lang w:val="ru-RU"/>
              </w:rPr>
              <w:t>Кому</w:t>
            </w:r>
            <w:r w:rsidRPr="00414B3C">
              <w:rPr>
                <w:szCs w:val="22"/>
                <w:lang w:val="ru-RU"/>
              </w:rPr>
              <w:t>:</w:t>
            </w:r>
          </w:p>
          <w:p w14:paraId="57673A55" w14:textId="0E6C2E03" w:rsidR="002A71F5" w:rsidRPr="002B0575" w:rsidRDefault="002A71F5" w:rsidP="002A71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414B3C">
              <w:rPr>
                <w:szCs w:val="22"/>
                <w:lang w:val="ru-RU"/>
              </w:rPr>
              <w:t>–</w:t>
            </w:r>
            <w:r w:rsidRPr="00414B3C">
              <w:rPr>
                <w:szCs w:val="22"/>
                <w:lang w:val="ru-RU"/>
              </w:rPr>
              <w:tab/>
            </w:r>
            <w:r w:rsidRPr="002B0575">
              <w:rPr>
                <w:rFonts w:asciiTheme="minorHAnsi" w:hAnsiTheme="minorHAnsi" w:cstheme="minorHAnsi"/>
                <w:szCs w:val="24"/>
                <w:lang w:val="ru-RU"/>
              </w:rPr>
              <w:t>Администрациям Государств – Членов Союза;</w:t>
            </w:r>
          </w:p>
          <w:p w14:paraId="56C13C07" w14:textId="77777777" w:rsidR="009B0600" w:rsidRDefault="002A71F5" w:rsidP="002A71F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color w:val="000000"/>
                <w:szCs w:val="22"/>
                <w:lang w:val="ru-RU"/>
              </w:rPr>
            </w:pPr>
            <w:r w:rsidRPr="00414B3C">
              <w:rPr>
                <w:szCs w:val="22"/>
                <w:lang w:val="ru-RU"/>
              </w:rPr>
              <w:t>–</w:t>
            </w:r>
            <w:r w:rsidRPr="00414B3C">
              <w:rPr>
                <w:szCs w:val="22"/>
                <w:lang w:val="ru-RU"/>
              </w:rPr>
              <w:tab/>
            </w:r>
            <w:r w:rsidR="009B0600" w:rsidRPr="00737096">
              <w:rPr>
                <w:color w:val="000000"/>
                <w:szCs w:val="22"/>
                <w:lang w:val="ru-RU"/>
              </w:rPr>
              <w:t>Государству Палестина (Рез. 99 (Пересм. Дубай, 2018 г.))</w:t>
            </w:r>
          </w:p>
          <w:p w14:paraId="6DCDF521" w14:textId="77777777" w:rsidR="002A71F5" w:rsidRDefault="002A71F5" w:rsidP="00E22125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DF3447">
              <w:rPr>
                <w:b/>
                <w:bCs/>
                <w:szCs w:val="22"/>
                <w:lang w:val="ru-RU"/>
              </w:rPr>
              <w:t>Копии</w:t>
            </w:r>
            <w:r>
              <w:rPr>
                <w:szCs w:val="22"/>
                <w:lang w:val="ru-RU"/>
              </w:rPr>
              <w:t>:</w:t>
            </w:r>
          </w:p>
          <w:p w14:paraId="455A8A5C" w14:textId="17FD8733" w:rsidR="009B0600" w:rsidRPr="009B0600" w:rsidRDefault="002A71F5" w:rsidP="009B060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color w:val="000000"/>
                <w:szCs w:val="22"/>
                <w:lang w:val="ru-RU"/>
              </w:rPr>
            </w:pPr>
            <w:r w:rsidRPr="002A71F5">
              <w:rPr>
                <w:szCs w:val="22"/>
                <w:lang w:val="ru-RU"/>
              </w:rPr>
              <w:t>–</w:t>
            </w:r>
            <w:r w:rsidRPr="002A71F5">
              <w:rPr>
                <w:szCs w:val="22"/>
                <w:lang w:val="ru-RU"/>
              </w:rPr>
              <w:tab/>
            </w:r>
            <w:r w:rsidR="009B0600" w:rsidRPr="009B0600">
              <w:rPr>
                <w:color w:val="000000"/>
                <w:szCs w:val="22"/>
                <w:lang w:val="ru-RU"/>
              </w:rPr>
              <w:t>Членам</w:t>
            </w:r>
            <w:r w:rsidR="009B0600" w:rsidRPr="00737096">
              <w:rPr>
                <w:color w:val="000000"/>
                <w:sz w:val="24"/>
                <w:szCs w:val="22"/>
                <w:lang w:val="ru-RU"/>
              </w:rPr>
              <w:t xml:space="preserve"> </w:t>
            </w:r>
            <w:r w:rsidR="009B0600" w:rsidRPr="009B0600">
              <w:rPr>
                <w:color w:val="000000"/>
                <w:szCs w:val="22"/>
                <w:lang w:val="ru-RU"/>
              </w:rPr>
              <w:t>Сектора МСЭ-Т</w:t>
            </w:r>
            <w:r w:rsidR="00C728DC" w:rsidRPr="002B0575">
              <w:rPr>
                <w:rFonts w:asciiTheme="minorHAnsi" w:hAnsiTheme="minorHAnsi" w:cstheme="minorHAnsi"/>
                <w:szCs w:val="24"/>
                <w:lang w:val="ru-RU"/>
              </w:rPr>
              <w:t>;</w:t>
            </w:r>
          </w:p>
          <w:p w14:paraId="3D7AC5C9" w14:textId="3D75655D" w:rsidR="009B0600" w:rsidRPr="009B0600" w:rsidRDefault="009B0600" w:rsidP="009B060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color w:val="000000"/>
                <w:szCs w:val="22"/>
                <w:lang w:val="ru-RU"/>
              </w:rPr>
            </w:pPr>
            <w:r w:rsidRPr="002A71F5">
              <w:rPr>
                <w:szCs w:val="22"/>
                <w:lang w:val="ru-RU"/>
              </w:rPr>
              <w:t>–</w:t>
            </w:r>
            <w:r w:rsidRPr="002A71F5">
              <w:rPr>
                <w:szCs w:val="22"/>
                <w:lang w:val="ru-RU"/>
              </w:rPr>
              <w:tab/>
            </w:r>
            <w:r w:rsidRPr="009B0600">
              <w:rPr>
                <w:color w:val="000000"/>
                <w:szCs w:val="22"/>
                <w:lang w:val="ru-RU"/>
              </w:rPr>
              <w:t>Ассоциированным членам, участвующим в работе 20-й Исследовательской комиссии МСЭ</w:t>
            </w:r>
            <w:r w:rsidR="00C728DC">
              <w:rPr>
                <w:color w:val="000000"/>
                <w:szCs w:val="22"/>
                <w:lang w:val="ru-RU"/>
              </w:rPr>
              <w:noBreakHyphen/>
            </w:r>
            <w:r w:rsidRPr="009B0600">
              <w:rPr>
                <w:color w:val="000000"/>
                <w:szCs w:val="22"/>
                <w:lang w:val="ru-RU"/>
              </w:rPr>
              <w:t>Т</w:t>
            </w:r>
            <w:r w:rsidR="00C728DC" w:rsidRPr="002B0575">
              <w:rPr>
                <w:rFonts w:asciiTheme="minorHAnsi" w:hAnsiTheme="minorHAnsi" w:cstheme="minorHAnsi"/>
                <w:szCs w:val="24"/>
                <w:lang w:val="ru-RU"/>
              </w:rPr>
              <w:t>;</w:t>
            </w:r>
          </w:p>
          <w:p w14:paraId="2A028C1C" w14:textId="1D425983" w:rsidR="009B0600" w:rsidRPr="009B0600" w:rsidRDefault="009B0600" w:rsidP="009B060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color w:val="000000"/>
                <w:szCs w:val="22"/>
                <w:lang w:val="ru-RU"/>
              </w:rPr>
            </w:pPr>
            <w:r w:rsidRPr="002A71F5">
              <w:rPr>
                <w:szCs w:val="22"/>
                <w:lang w:val="ru-RU"/>
              </w:rPr>
              <w:t>–</w:t>
            </w:r>
            <w:r w:rsidRPr="002A71F5">
              <w:rPr>
                <w:szCs w:val="22"/>
                <w:lang w:val="ru-RU"/>
              </w:rPr>
              <w:tab/>
            </w:r>
            <w:r w:rsidRPr="009B0600">
              <w:rPr>
                <w:color w:val="000000"/>
                <w:szCs w:val="22"/>
                <w:lang w:val="ru-RU"/>
              </w:rPr>
              <w:t>Академическим организациям − членам МСЭ</w:t>
            </w:r>
            <w:r w:rsidR="00C728DC" w:rsidRPr="002B0575">
              <w:rPr>
                <w:rFonts w:asciiTheme="minorHAnsi" w:hAnsiTheme="minorHAnsi" w:cstheme="minorHAnsi"/>
                <w:szCs w:val="24"/>
                <w:lang w:val="ru-RU"/>
              </w:rPr>
              <w:t>;</w:t>
            </w:r>
          </w:p>
          <w:p w14:paraId="3EC5CAB7" w14:textId="1570B5AF" w:rsidR="009B0600" w:rsidRPr="009B0600" w:rsidRDefault="009B0600" w:rsidP="009B060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color w:val="000000"/>
                <w:szCs w:val="22"/>
                <w:lang w:val="ru-RU"/>
              </w:rPr>
            </w:pPr>
            <w:r w:rsidRPr="002A71F5">
              <w:rPr>
                <w:szCs w:val="22"/>
                <w:lang w:val="ru-RU"/>
              </w:rPr>
              <w:t>–</w:t>
            </w:r>
            <w:r w:rsidRPr="002A71F5">
              <w:rPr>
                <w:szCs w:val="22"/>
                <w:lang w:val="ru-RU"/>
              </w:rPr>
              <w:tab/>
            </w:r>
            <w:r w:rsidRPr="009B0600">
              <w:rPr>
                <w:color w:val="000000"/>
                <w:szCs w:val="22"/>
                <w:lang w:val="ru-RU"/>
              </w:rPr>
              <w:t>Председателю и заместителям Председателя 20</w:t>
            </w:r>
            <w:r>
              <w:rPr>
                <w:color w:val="000000"/>
                <w:szCs w:val="22"/>
                <w:lang w:val="ru-RU"/>
              </w:rPr>
              <w:noBreakHyphen/>
            </w:r>
            <w:r w:rsidRPr="009B0600">
              <w:rPr>
                <w:color w:val="000000"/>
                <w:szCs w:val="22"/>
                <w:lang w:val="ru-RU"/>
              </w:rPr>
              <w:t>й Исследовательской комиссии МСЭ-Т</w:t>
            </w:r>
            <w:r w:rsidR="00C728DC" w:rsidRPr="002B0575">
              <w:rPr>
                <w:rFonts w:asciiTheme="minorHAnsi" w:hAnsiTheme="minorHAnsi" w:cstheme="minorHAnsi"/>
                <w:szCs w:val="24"/>
                <w:lang w:val="ru-RU"/>
              </w:rPr>
              <w:t>;</w:t>
            </w:r>
          </w:p>
          <w:p w14:paraId="44FE9F54" w14:textId="1FF6ABCE" w:rsidR="009B0600" w:rsidRPr="009B0600" w:rsidRDefault="009B0600" w:rsidP="009B060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color w:val="000000"/>
                <w:szCs w:val="22"/>
                <w:lang w:val="ru-RU"/>
              </w:rPr>
            </w:pPr>
            <w:r w:rsidRPr="002A71F5">
              <w:rPr>
                <w:szCs w:val="22"/>
                <w:lang w:val="ru-RU"/>
              </w:rPr>
              <w:t>–</w:t>
            </w:r>
            <w:r w:rsidRPr="002A71F5">
              <w:rPr>
                <w:szCs w:val="22"/>
                <w:lang w:val="ru-RU"/>
              </w:rPr>
              <w:tab/>
            </w:r>
            <w:r w:rsidRPr="009B0600">
              <w:rPr>
                <w:color w:val="000000"/>
                <w:szCs w:val="22"/>
                <w:lang w:val="ru-RU"/>
              </w:rPr>
              <w:t>Директору Бюро развития электросвязи</w:t>
            </w:r>
            <w:r w:rsidR="00C728DC" w:rsidRPr="002B0575">
              <w:rPr>
                <w:rFonts w:asciiTheme="minorHAnsi" w:hAnsiTheme="minorHAnsi" w:cstheme="minorHAnsi"/>
                <w:szCs w:val="24"/>
                <w:lang w:val="ru-RU"/>
              </w:rPr>
              <w:t>;</w:t>
            </w:r>
          </w:p>
          <w:p w14:paraId="78139238" w14:textId="6DB44F6B" w:rsidR="002A71F5" w:rsidRPr="00F12D97" w:rsidRDefault="009B0600" w:rsidP="009B060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2A71F5">
              <w:rPr>
                <w:szCs w:val="22"/>
                <w:lang w:val="ru-RU"/>
              </w:rPr>
              <w:t>–</w:t>
            </w:r>
            <w:r w:rsidRPr="002A71F5">
              <w:rPr>
                <w:szCs w:val="22"/>
                <w:lang w:val="ru-RU"/>
              </w:rPr>
              <w:tab/>
            </w:r>
            <w:r w:rsidRPr="009B0600">
              <w:rPr>
                <w:color w:val="000000"/>
                <w:szCs w:val="22"/>
                <w:lang w:val="ru-RU"/>
              </w:rPr>
              <w:t>Директору Бюро радиосвязи</w:t>
            </w:r>
          </w:p>
        </w:tc>
      </w:tr>
      <w:tr w:rsidR="009B0600" w:rsidRPr="00414B3C" w14:paraId="59643F58" w14:textId="77777777" w:rsidTr="00ED2F1E">
        <w:trPr>
          <w:cantSplit/>
          <w:trHeight w:val="70"/>
        </w:trPr>
        <w:tc>
          <w:tcPr>
            <w:tcW w:w="1418" w:type="dxa"/>
          </w:tcPr>
          <w:p w14:paraId="0F76D4B7" w14:textId="36EE77FD" w:rsidR="009B0600" w:rsidRPr="00414B3C" w:rsidRDefault="009B0600" w:rsidP="009B0600">
            <w:pPr>
              <w:pStyle w:val="Tabletext"/>
              <w:rPr>
                <w:szCs w:val="22"/>
                <w:lang w:val="ru-RU"/>
              </w:rPr>
            </w:pPr>
            <w:r w:rsidRPr="00414B3C">
              <w:rPr>
                <w:b/>
                <w:bCs/>
                <w:szCs w:val="22"/>
                <w:lang w:val="ru-RU"/>
              </w:rPr>
              <w:t>Тел</w:t>
            </w:r>
            <w:r w:rsidRPr="00414B3C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5CCB23E1" w14:textId="6EA55D50" w:rsidR="009B0600" w:rsidRPr="009B0600" w:rsidRDefault="009B0600" w:rsidP="009B0600">
            <w:pPr>
              <w:pStyle w:val="Tabletext"/>
              <w:rPr>
                <w:b/>
                <w:szCs w:val="22"/>
                <w:lang w:val="en-US"/>
              </w:rPr>
            </w:pPr>
            <w:r w:rsidRPr="009B0600">
              <w:rPr>
                <w:color w:val="000000"/>
                <w:szCs w:val="22"/>
                <w:lang w:val="ru-RU"/>
              </w:rPr>
              <w:t>+41 22 730 6301</w:t>
            </w:r>
          </w:p>
        </w:tc>
        <w:tc>
          <w:tcPr>
            <w:tcW w:w="5139" w:type="dxa"/>
            <w:gridSpan w:val="3"/>
            <w:vMerge/>
          </w:tcPr>
          <w:p w14:paraId="782C5FCD" w14:textId="77777777" w:rsidR="009B0600" w:rsidRPr="00414B3C" w:rsidRDefault="009B0600" w:rsidP="009B060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9B0600" w:rsidRPr="00F5182A" w14:paraId="3EF71149" w14:textId="77777777" w:rsidTr="00ED2F1E">
        <w:trPr>
          <w:cantSplit/>
          <w:trHeight w:val="388"/>
        </w:trPr>
        <w:tc>
          <w:tcPr>
            <w:tcW w:w="1418" w:type="dxa"/>
          </w:tcPr>
          <w:p w14:paraId="65A440B2" w14:textId="7E271778" w:rsidR="009B0600" w:rsidRPr="00414B3C" w:rsidRDefault="009B0600" w:rsidP="009B0600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414B3C">
              <w:rPr>
                <w:b/>
                <w:bCs/>
                <w:szCs w:val="22"/>
                <w:lang w:val="ru-RU"/>
              </w:rPr>
              <w:t>Факс</w:t>
            </w:r>
            <w:r w:rsidRPr="00414B3C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6952E333" w14:textId="00381C0A" w:rsidR="009B0600" w:rsidRPr="009B0600" w:rsidRDefault="009B0600" w:rsidP="009B0600">
            <w:pPr>
              <w:pStyle w:val="Tabletext"/>
              <w:rPr>
                <w:szCs w:val="22"/>
                <w:lang w:val="ru-RU"/>
              </w:rPr>
            </w:pPr>
            <w:r w:rsidRPr="009B0600">
              <w:rPr>
                <w:color w:val="000000"/>
                <w:szCs w:val="22"/>
                <w:lang w:val="ru-RU"/>
              </w:rPr>
              <w:t>+41 22 730 5853</w:t>
            </w:r>
          </w:p>
        </w:tc>
        <w:tc>
          <w:tcPr>
            <w:tcW w:w="5139" w:type="dxa"/>
            <w:gridSpan w:val="3"/>
            <w:vMerge/>
          </w:tcPr>
          <w:p w14:paraId="2BE30301" w14:textId="77777777" w:rsidR="009B0600" w:rsidRPr="00414B3C" w:rsidRDefault="009B0600" w:rsidP="009B060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9B0600" w:rsidRPr="00F5182A" w14:paraId="14553D92" w14:textId="77777777" w:rsidTr="00ED2F1E">
        <w:trPr>
          <w:cantSplit/>
          <w:trHeight w:val="801"/>
        </w:trPr>
        <w:tc>
          <w:tcPr>
            <w:tcW w:w="1418" w:type="dxa"/>
          </w:tcPr>
          <w:p w14:paraId="75DF072E" w14:textId="209F9EC1" w:rsidR="009B0600" w:rsidRPr="00414B3C" w:rsidRDefault="009B0600" w:rsidP="009B0600">
            <w:pPr>
              <w:pStyle w:val="Tabletext"/>
              <w:rPr>
                <w:szCs w:val="22"/>
                <w:lang w:val="ru-RU"/>
              </w:rPr>
            </w:pPr>
            <w:r w:rsidRPr="00414B3C">
              <w:rPr>
                <w:b/>
                <w:bCs/>
                <w:szCs w:val="22"/>
                <w:lang w:val="ru-RU"/>
              </w:rPr>
              <w:t>Эл. почта</w:t>
            </w:r>
            <w:r w:rsidRPr="00414B3C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0823655A" w14:textId="07042CAB" w:rsidR="009B0600" w:rsidRPr="009B0600" w:rsidRDefault="009B0600" w:rsidP="009B0600">
            <w:pPr>
              <w:spacing w:before="0"/>
              <w:rPr>
                <w:szCs w:val="22"/>
                <w:lang w:val="ru-RU"/>
              </w:rPr>
            </w:pPr>
            <w:hyperlink r:id="rId12" w:history="1">
              <w:r w:rsidRPr="009B0600">
                <w:rPr>
                  <w:rStyle w:val="Hyperlink"/>
                  <w:szCs w:val="22"/>
                </w:rPr>
                <w:t>tsbsg20@itu.int</w:t>
              </w:r>
            </w:hyperlink>
          </w:p>
        </w:tc>
        <w:tc>
          <w:tcPr>
            <w:tcW w:w="5139" w:type="dxa"/>
            <w:gridSpan w:val="3"/>
            <w:vMerge/>
          </w:tcPr>
          <w:p w14:paraId="498BD41D" w14:textId="33BA8E1E" w:rsidR="009B0600" w:rsidRPr="00414B3C" w:rsidRDefault="009B0600" w:rsidP="009B060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12D97" w:rsidRPr="009B0600" w14:paraId="5C105EF0" w14:textId="77777777" w:rsidTr="00ED2F1E">
        <w:trPr>
          <w:cantSplit/>
        </w:trPr>
        <w:tc>
          <w:tcPr>
            <w:tcW w:w="1418" w:type="dxa"/>
          </w:tcPr>
          <w:p w14:paraId="2527C622" w14:textId="77777777" w:rsidR="00F12D97" w:rsidRPr="00414B3C" w:rsidRDefault="00F12D97" w:rsidP="00F12D97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414B3C">
              <w:rPr>
                <w:b/>
                <w:bCs/>
                <w:szCs w:val="22"/>
                <w:lang w:val="ru-RU"/>
              </w:rPr>
              <w:t>Предмет</w:t>
            </w:r>
            <w:r w:rsidRPr="00414B3C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4"/>
          </w:tcPr>
          <w:p w14:paraId="01E8D3C2" w14:textId="1BB5F019" w:rsidR="00F12D97" w:rsidRPr="00E22125" w:rsidRDefault="009B0600" w:rsidP="009B0600">
            <w:pPr>
              <w:pStyle w:val="Tabletext"/>
              <w:spacing w:before="120" w:after="0"/>
              <w:rPr>
                <w:rFonts w:cstheme="minorHAnsi"/>
                <w:b/>
                <w:bCs/>
                <w:color w:val="000000"/>
                <w:szCs w:val="22"/>
                <w:lang w:val="ru-RU"/>
              </w:rPr>
            </w:pPr>
            <w:r w:rsidRPr="009B0600">
              <w:rPr>
                <w:rFonts w:asciiTheme="minorHAnsi" w:hAnsiTheme="minorHAnsi" w:cstheme="minorHAnsi"/>
                <w:b/>
                <w:bCs/>
                <w:szCs w:val="24"/>
                <w:lang w:val="ru-RU"/>
              </w:rPr>
              <w:t xml:space="preserve">Круг </w:t>
            </w:r>
            <w:r w:rsidRPr="009B0600">
              <w:rPr>
                <w:b/>
                <w:bCs/>
                <w:szCs w:val="22"/>
                <w:lang w:val="ru-RU"/>
              </w:rPr>
              <w:t>ведения</w:t>
            </w:r>
            <w:r w:rsidRPr="009B0600">
              <w:rPr>
                <w:rFonts w:asciiTheme="minorHAnsi" w:hAnsiTheme="minorHAnsi" w:cstheme="minorHAnsi"/>
                <w:b/>
                <w:bCs/>
                <w:szCs w:val="24"/>
                <w:lang w:val="ru-RU"/>
              </w:rPr>
              <w:t xml:space="preserve"> нового Вопроса 11/20</w:t>
            </w:r>
          </w:p>
        </w:tc>
      </w:tr>
    </w:tbl>
    <w:p w14:paraId="660599B5" w14:textId="77777777" w:rsidR="00414B3C" w:rsidRDefault="00414B3C" w:rsidP="00414B3C">
      <w:pPr>
        <w:spacing w:before="360"/>
        <w:jc w:val="left"/>
        <w:rPr>
          <w:lang w:val="ru-RU"/>
        </w:rPr>
      </w:pPr>
      <w:r w:rsidRPr="00414B3C">
        <w:rPr>
          <w:lang w:val="ru-RU"/>
        </w:rPr>
        <w:t>Уважаемая госпожа,</w:t>
      </w:r>
      <w:r w:rsidRPr="00414B3C">
        <w:rPr>
          <w:lang w:val="ru-RU"/>
        </w:rPr>
        <w:br/>
        <w:t>уважаемый господин,</w:t>
      </w:r>
    </w:p>
    <w:p w14:paraId="1D1F96B3" w14:textId="77777777" w:rsidR="009B0600" w:rsidRPr="00A20C64" w:rsidRDefault="002A71F5" w:rsidP="00C728DC">
      <w:pPr>
        <w:jc w:val="left"/>
        <w:rPr>
          <w:szCs w:val="22"/>
          <w:lang w:val="ru-RU"/>
        </w:rPr>
      </w:pPr>
      <w:r w:rsidRPr="002B0575">
        <w:rPr>
          <w:rFonts w:asciiTheme="minorHAnsi" w:hAnsiTheme="minorHAnsi" w:cstheme="minorHAnsi"/>
          <w:szCs w:val="24"/>
          <w:lang w:val="ru-RU"/>
        </w:rPr>
        <w:t>1</w:t>
      </w:r>
      <w:r w:rsidRPr="002B0575">
        <w:rPr>
          <w:rFonts w:asciiTheme="minorHAnsi" w:hAnsiTheme="minorHAnsi" w:cstheme="minorHAnsi"/>
          <w:szCs w:val="24"/>
          <w:lang w:val="ru-RU"/>
        </w:rPr>
        <w:tab/>
      </w:r>
      <w:r w:rsidR="009B0600" w:rsidRPr="00A20C64">
        <w:rPr>
          <w:lang w:val="ru-RU"/>
        </w:rPr>
        <w:t xml:space="preserve">По просьбе председателя 20-й Исследовательской комиссии </w:t>
      </w:r>
      <w:r w:rsidR="009B0600">
        <w:rPr>
          <w:lang w:val="ru-RU"/>
        </w:rPr>
        <w:t xml:space="preserve">МСЭ-Т </w:t>
      </w:r>
      <w:r w:rsidR="009B0600" w:rsidRPr="00737096">
        <w:rPr>
          <w:i/>
          <w:iCs/>
          <w:lang w:val="ru-RU"/>
        </w:rPr>
        <w:t xml:space="preserve">(Интернет вещей, цифровые двойники и "умные" устойчивые города и сообщества) </w:t>
      </w:r>
      <w:r w:rsidR="009B0600" w:rsidRPr="00A20C64">
        <w:rPr>
          <w:lang w:val="ru-RU"/>
        </w:rPr>
        <w:t xml:space="preserve">имею честь сообщить вам, что в соответствии с </w:t>
      </w:r>
      <w:r w:rsidR="009B0600">
        <w:rPr>
          <w:lang w:val="ru-RU"/>
        </w:rPr>
        <w:t xml:space="preserve">положениями </w:t>
      </w:r>
      <w:r w:rsidR="009B0600" w:rsidRPr="00A20C64">
        <w:rPr>
          <w:lang w:val="ru-RU"/>
        </w:rPr>
        <w:t>п. 7.2.2 раздела 7 Резолюции 1 (</w:t>
      </w:r>
      <w:r w:rsidR="009B0600">
        <w:rPr>
          <w:lang w:val="ru-RU"/>
        </w:rPr>
        <w:t xml:space="preserve">Пересм. </w:t>
      </w:r>
      <w:r w:rsidR="009B0600" w:rsidRPr="00A20C64">
        <w:rPr>
          <w:lang w:val="ru-RU"/>
        </w:rPr>
        <w:t>Женева, 2022</w:t>
      </w:r>
      <w:r w:rsidR="009B0600">
        <w:rPr>
          <w:lang w:val="en-US"/>
        </w:rPr>
        <w:t> </w:t>
      </w:r>
      <w:r w:rsidR="009B0600" w:rsidRPr="00A20C64">
        <w:rPr>
          <w:lang w:val="ru-RU"/>
        </w:rPr>
        <w:t>г.) ниже приводится решение, принятое присутствующими на основе консенсуса:</w:t>
      </w:r>
    </w:p>
    <w:p w14:paraId="5FE504E0" w14:textId="7940C702" w:rsidR="009B0600" w:rsidRPr="00A20C64" w:rsidRDefault="009B0600" w:rsidP="00C728DC">
      <w:pPr>
        <w:pStyle w:val="enumlev1"/>
        <w:rPr>
          <w:szCs w:val="22"/>
          <w:lang w:val="ru-RU"/>
        </w:rPr>
      </w:pPr>
      <w:r w:rsidRPr="00A20C64">
        <w:rPr>
          <w:lang w:val="ru-RU"/>
        </w:rPr>
        <w:t>–</w:t>
      </w:r>
      <w:r w:rsidRPr="00A20C64">
        <w:rPr>
          <w:lang w:val="ru-RU"/>
        </w:rPr>
        <w:tab/>
        <w:t xml:space="preserve">Указанная </w:t>
      </w:r>
      <w:r w:rsidRPr="00C728DC">
        <w:rPr>
          <w:lang w:val="ru-RU"/>
        </w:rPr>
        <w:t>исследовательская</w:t>
      </w:r>
      <w:r w:rsidRPr="00A20C64">
        <w:rPr>
          <w:lang w:val="ru-RU"/>
        </w:rPr>
        <w:t xml:space="preserve"> комиссия на своем собрании, которое состоялось в Женеве 15</w:t>
      </w:r>
      <w:r w:rsidR="00C728DC">
        <w:rPr>
          <w:rFonts w:cs="Calibri"/>
          <w:lang w:val="ru-RU"/>
        </w:rPr>
        <w:t>−</w:t>
      </w:r>
      <w:r w:rsidRPr="00A20C64">
        <w:rPr>
          <w:lang w:val="ru-RU"/>
        </w:rPr>
        <w:t>25 сентября 2025 года, приняла решение</w:t>
      </w:r>
      <w:r w:rsidRPr="00D50F86">
        <w:rPr>
          <w:lang w:val="ru-RU"/>
        </w:rPr>
        <w:t xml:space="preserve"> </w:t>
      </w:r>
      <w:r>
        <w:rPr>
          <w:lang w:val="ru-RU"/>
        </w:rPr>
        <w:t>создать</w:t>
      </w:r>
      <w:r w:rsidRPr="00A20C64">
        <w:rPr>
          <w:lang w:val="ru-RU"/>
        </w:rPr>
        <w:t xml:space="preserve"> новый Вопрос </w:t>
      </w:r>
      <w:r>
        <w:rPr>
          <w:lang w:val="ru-RU"/>
        </w:rPr>
        <w:t>– Вопрос </w:t>
      </w:r>
      <w:r w:rsidRPr="00A20C64">
        <w:rPr>
          <w:lang w:val="ru-RU"/>
        </w:rPr>
        <w:t xml:space="preserve">11/20 </w:t>
      </w:r>
      <w:r w:rsidRPr="00D41B59">
        <w:rPr>
          <w:i/>
          <w:iCs/>
          <w:lang w:val="ru-RU"/>
        </w:rPr>
        <w:t xml:space="preserve">"Цифровое сельское хозяйство: от "умной" фермы и "умного" производства к </w:t>
      </w:r>
      <w:r w:rsidRPr="0034355F">
        <w:rPr>
          <w:i/>
          <w:iCs/>
          <w:lang w:val="ru-RU"/>
        </w:rPr>
        <w:t xml:space="preserve">безопасному и защищенному </w:t>
      </w:r>
      <w:r w:rsidRPr="00D41B59">
        <w:rPr>
          <w:i/>
          <w:iCs/>
          <w:lang w:val="ru-RU"/>
        </w:rPr>
        <w:t>потреблению"</w:t>
      </w:r>
      <w:r w:rsidRPr="00A20C64">
        <w:rPr>
          <w:lang w:val="ru-RU"/>
        </w:rPr>
        <w:t>.</w:t>
      </w:r>
    </w:p>
    <w:p w14:paraId="6FF8F9E3" w14:textId="0E894C42" w:rsidR="009B0600" w:rsidRPr="00A20C64" w:rsidRDefault="009B0600" w:rsidP="00C728DC">
      <w:pPr>
        <w:jc w:val="left"/>
        <w:rPr>
          <w:szCs w:val="22"/>
          <w:lang w:val="ru-RU"/>
        </w:rPr>
      </w:pPr>
      <w:r w:rsidRPr="00A20C64">
        <w:rPr>
          <w:lang w:val="ru-RU"/>
        </w:rPr>
        <w:t>2</w:t>
      </w:r>
      <w:r w:rsidRPr="00A20C64">
        <w:rPr>
          <w:lang w:val="ru-RU"/>
        </w:rPr>
        <w:tab/>
        <w:t>Консультативная группа по стандартизации электросвязи (КГСЭ) на своем собрании, состоявшемся в Женеве 26</w:t>
      </w:r>
      <w:r w:rsidR="00C728DC">
        <w:rPr>
          <w:rFonts w:cs="Calibri"/>
          <w:lang w:val="ru-RU"/>
        </w:rPr>
        <w:t>−</w:t>
      </w:r>
      <w:r w:rsidRPr="00A20C64">
        <w:rPr>
          <w:lang w:val="ru-RU"/>
        </w:rPr>
        <w:t>30 января 2026 года, одобрила круг ведения нового Вопроса</w:t>
      </w:r>
      <w:r>
        <w:rPr>
          <w:lang w:val="ru-RU"/>
        </w:rPr>
        <w:t> </w:t>
      </w:r>
      <w:r w:rsidRPr="00A20C64">
        <w:rPr>
          <w:lang w:val="ru-RU"/>
        </w:rPr>
        <w:t>11/20, предложенный ИК20 МСЭ-Т.</w:t>
      </w:r>
    </w:p>
    <w:p w14:paraId="3D97649D" w14:textId="77777777" w:rsidR="009B0600" w:rsidRPr="00A20C64" w:rsidRDefault="009B0600" w:rsidP="00C728DC">
      <w:pPr>
        <w:jc w:val="left"/>
        <w:rPr>
          <w:szCs w:val="22"/>
          <w:lang w:val="ru-RU"/>
        </w:rPr>
      </w:pPr>
      <w:r w:rsidRPr="00A20C64">
        <w:rPr>
          <w:lang w:val="ru-RU"/>
        </w:rPr>
        <w:t>3</w:t>
      </w:r>
      <w:r w:rsidRPr="00A20C64">
        <w:rPr>
          <w:lang w:val="ru-RU"/>
        </w:rPr>
        <w:tab/>
        <w:t xml:space="preserve">В </w:t>
      </w:r>
      <w:r w:rsidRPr="00850FB3">
        <w:rPr>
          <w:b/>
          <w:bCs/>
          <w:lang w:val="ru-RU"/>
        </w:rPr>
        <w:t>Приложении 1</w:t>
      </w:r>
      <w:r w:rsidRPr="00A20C64">
        <w:rPr>
          <w:lang w:val="ru-RU"/>
        </w:rPr>
        <w:t xml:space="preserve"> содержится текст нового Вопроса 11/20.</w:t>
      </w:r>
    </w:p>
    <w:p w14:paraId="74AC6420" w14:textId="4C319AFE" w:rsidR="002A71F5" w:rsidRDefault="009B0600" w:rsidP="009B0600">
      <w:pPr>
        <w:rPr>
          <w:lang w:val="ru-RU"/>
        </w:rPr>
      </w:pPr>
      <w:r w:rsidRPr="00A20C64">
        <w:rPr>
          <w:lang w:val="ru-RU"/>
        </w:rPr>
        <w:t>С уважением,</w:t>
      </w:r>
    </w:p>
    <w:p w14:paraId="57766503" w14:textId="77777777" w:rsidR="009B0600" w:rsidRPr="00414B3C" w:rsidRDefault="009B0600" w:rsidP="009B0600">
      <w:pPr>
        <w:spacing w:before="360"/>
        <w:jc w:val="left"/>
        <w:rPr>
          <w:lang w:val="ru-RU"/>
        </w:rPr>
      </w:pPr>
      <w:r w:rsidRPr="00414B3C">
        <w:rPr>
          <w:lang w:val="ru-RU"/>
        </w:rPr>
        <w:t>(</w:t>
      </w:r>
      <w:r w:rsidRPr="00414B3C">
        <w:rPr>
          <w:i/>
          <w:iCs/>
          <w:lang w:val="ru-RU"/>
        </w:rPr>
        <w:t>подпись</w:t>
      </w:r>
      <w:r w:rsidRPr="00414B3C">
        <w:rPr>
          <w:lang w:val="ru-RU"/>
        </w:rPr>
        <w:t>)</w:t>
      </w:r>
    </w:p>
    <w:p w14:paraId="75B04D9B" w14:textId="740E15AE" w:rsidR="009B0600" w:rsidRPr="002B0575" w:rsidRDefault="009B0600" w:rsidP="009B0600">
      <w:pPr>
        <w:spacing w:before="360"/>
        <w:jc w:val="left"/>
        <w:rPr>
          <w:rFonts w:asciiTheme="minorHAnsi" w:hAnsiTheme="minorHAnsi" w:cstheme="minorHAnsi"/>
          <w:b/>
          <w:bCs/>
          <w:szCs w:val="24"/>
          <w:lang w:val="ru-RU"/>
        </w:rPr>
      </w:pPr>
      <w:r w:rsidRPr="002B0575">
        <w:rPr>
          <w:rFonts w:asciiTheme="minorHAnsi" w:hAnsiTheme="minorHAnsi" w:cstheme="minorHAnsi"/>
          <w:szCs w:val="24"/>
          <w:lang w:val="ru-RU"/>
        </w:rPr>
        <w:t xml:space="preserve">Сейдзо Оноэ </w:t>
      </w:r>
      <w:r>
        <w:rPr>
          <w:rFonts w:asciiTheme="minorHAnsi" w:hAnsiTheme="minorHAnsi" w:cstheme="minorHAnsi"/>
          <w:szCs w:val="24"/>
          <w:lang w:val="ru-RU"/>
        </w:rPr>
        <w:br/>
      </w:r>
      <w:r w:rsidRPr="002B0575">
        <w:rPr>
          <w:rFonts w:asciiTheme="minorHAnsi" w:hAnsiTheme="minorHAnsi" w:cstheme="minorHAnsi"/>
          <w:szCs w:val="24"/>
          <w:lang w:val="ru-RU"/>
        </w:rPr>
        <w:t>Директор Бюро</w:t>
      </w:r>
      <w:r>
        <w:rPr>
          <w:rFonts w:asciiTheme="minorHAnsi" w:hAnsiTheme="minorHAnsi" w:cstheme="minorHAnsi"/>
          <w:szCs w:val="24"/>
          <w:lang w:val="ru-RU"/>
        </w:rPr>
        <w:br/>
      </w:r>
      <w:r w:rsidRPr="002B0575">
        <w:rPr>
          <w:rFonts w:asciiTheme="minorHAnsi" w:hAnsiTheme="minorHAnsi" w:cstheme="minorHAnsi"/>
          <w:szCs w:val="24"/>
          <w:lang w:val="ru-RU"/>
        </w:rPr>
        <w:t>стандартизации электросвязи</w:t>
      </w:r>
    </w:p>
    <w:p w14:paraId="40948413" w14:textId="40067C07" w:rsidR="00C62B05" w:rsidRDefault="00C62B05" w:rsidP="00C728DC">
      <w:pPr>
        <w:spacing w:before="1320"/>
        <w:jc w:val="left"/>
        <w:rPr>
          <w:lang w:val="ru-RU"/>
        </w:rPr>
      </w:pPr>
      <w:r w:rsidRPr="00C62B05">
        <w:rPr>
          <w:b/>
          <w:bCs/>
          <w:lang w:val="ru-RU"/>
        </w:rPr>
        <w:t>Приложени</w:t>
      </w:r>
      <w:r w:rsidR="002A71F5">
        <w:rPr>
          <w:b/>
          <w:bCs/>
          <w:lang w:val="ru-RU"/>
        </w:rPr>
        <w:t>е</w:t>
      </w:r>
      <w:r>
        <w:rPr>
          <w:lang w:val="ru-RU"/>
        </w:rPr>
        <w:t xml:space="preserve">: </w:t>
      </w:r>
      <w:r w:rsidR="00BF51D2">
        <w:rPr>
          <w:lang w:val="ru-RU"/>
        </w:rPr>
        <w:t>1</w:t>
      </w:r>
      <w:r>
        <w:rPr>
          <w:lang w:val="ru-RU"/>
        </w:rPr>
        <w:br w:type="page"/>
      </w:r>
    </w:p>
    <w:p w14:paraId="7898786C" w14:textId="77777777" w:rsidR="002A71F5" w:rsidRPr="002B0575" w:rsidRDefault="002A71F5" w:rsidP="002A71F5">
      <w:pPr>
        <w:pStyle w:val="AnnexNo"/>
        <w:rPr>
          <w:lang w:val="ru-RU"/>
        </w:rPr>
      </w:pPr>
      <w:r w:rsidRPr="009B0600">
        <w:rPr>
          <w:lang w:val="ru-RU"/>
        </w:rPr>
        <w:lastRenderedPageBreak/>
        <w:t>ПРИЛОЖЕНИЕ</w:t>
      </w:r>
    </w:p>
    <w:p w14:paraId="4B8E346E" w14:textId="6A8281EA" w:rsidR="002A71F5" w:rsidRPr="002B0575" w:rsidRDefault="002A71F5" w:rsidP="002A71F5">
      <w:pPr>
        <w:pStyle w:val="Annextitle"/>
        <w:rPr>
          <w:rFonts w:eastAsia="SimSun"/>
          <w:lang w:val="ru-RU"/>
        </w:rPr>
      </w:pPr>
      <w:r w:rsidRPr="002B0575">
        <w:rPr>
          <w:lang w:val="ru-RU"/>
        </w:rPr>
        <w:t xml:space="preserve">Круг ведения </w:t>
      </w:r>
      <w:r w:rsidR="009B0600" w:rsidRPr="009B0600">
        <w:rPr>
          <w:bCs/>
          <w:lang w:val="ru-RU"/>
        </w:rPr>
        <w:t>нового Вопроса "Цифровое сельское хозяйство: от "умной" фермы и "умного" производства к безопасному и защищенному потреблению"</w:t>
      </w:r>
    </w:p>
    <w:p w14:paraId="39F224DF" w14:textId="77777777" w:rsidR="009B0600" w:rsidRPr="009B0600" w:rsidRDefault="009B0600" w:rsidP="00C728DC">
      <w:pPr>
        <w:keepNext/>
        <w:keepLines/>
        <w:jc w:val="left"/>
        <w:rPr>
          <w:rFonts w:cs="Calibri"/>
          <w:b/>
          <w:szCs w:val="22"/>
          <w:lang w:val="ru-RU"/>
        </w:rPr>
      </w:pPr>
      <w:r w:rsidRPr="009B0600">
        <w:rPr>
          <w:rFonts w:cs="Calibri"/>
          <w:b/>
          <w:szCs w:val="22"/>
          <w:lang w:val="ru-RU"/>
        </w:rPr>
        <w:t>Вопрос 11/20 – Цифровое сельское хозяйство: от "умной" фермы и "умного" производства к безопасному и защищенному потреблению</w:t>
      </w:r>
    </w:p>
    <w:p w14:paraId="197D4A51" w14:textId="77777777" w:rsidR="009B0600" w:rsidRPr="009B0600" w:rsidRDefault="009B0600" w:rsidP="00C728DC">
      <w:pPr>
        <w:pStyle w:val="Heading1"/>
        <w:rPr>
          <w:lang w:val="ru-RU"/>
        </w:rPr>
      </w:pPr>
      <w:bookmarkStart w:id="0" w:name="_Toc189744415"/>
      <w:bookmarkStart w:id="1" w:name="_Toc189662858"/>
      <w:bookmarkStart w:id="2" w:name="_Toc197187810"/>
      <w:bookmarkStart w:id="3" w:name="_Toc214479643"/>
      <w:bookmarkStart w:id="4" w:name="_Toc219122618"/>
      <w:r w:rsidRPr="009B0600">
        <w:rPr>
          <w:lang w:val="ru-RU"/>
        </w:rPr>
        <w:t>1</w:t>
      </w:r>
      <w:r w:rsidRPr="009B0600">
        <w:rPr>
          <w:lang w:val="ru-RU"/>
        </w:rPr>
        <w:tab/>
      </w:r>
      <w:bookmarkEnd w:id="0"/>
      <w:bookmarkEnd w:id="1"/>
      <w:r w:rsidRPr="009B0600">
        <w:rPr>
          <w:lang w:val="ru-RU"/>
        </w:rPr>
        <w:t>Обоснование</w:t>
      </w:r>
      <w:bookmarkEnd w:id="2"/>
      <w:bookmarkEnd w:id="3"/>
      <w:bookmarkEnd w:id="4"/>
    </w:p>
    <w:p w14:paraId="7698CDF4" w14:textId="01E6AEB2" w:rsidR="009B0600" w:rsidRPr="009B0600" w:rsidRDefault="009B0600" w:rsidP="00C728DC">
      <w:pPr>
        <w:jc w:val="left"/>
        <w:rPr>
          <w:rFonts w:eastAsia="SimSun" w:cs="Calibri"/>
          <w:szCs w:val="22"/>
          <w:lang w:val="ru-RU"/>
        </w:rPr>
      </w:pPr>
      <w:r w:rsidRPr="009B0600">
        <w:rPr>
          <w:rFonts w:cs="Calibri"/>
          <w:szCs w:val="22"/>
          <w:lang w:val="ru-RU"/>
        </w:rPr>
        <w:t>Цифровое сельское хозяйство, его продукция и цепочки поставок, безопасность и защищенность (то</w:t>
      </w:r>
      <w:r w:rsidR="00C728DC">
        <w:rPr>
          <w:rFonts w:cs="Calibri"/>
          <w:szCs w:val="22"/>
          <w:lang w:val="ru-RU"/>
        </w:rPr>
        <w:t> </w:t>
      </w:r>
      <w:r w:rsidRPr="009B0600">
        <w:rPr>
          <w:rFonts w:cs="Calibri"/>
          <w:szCs w:val="22"/>
          <w:lang w:val="ru-RU"/>
        </w:rPr>
        <w:t>есть все этапы − от фермы до потребления) претерпевают изменения благодаря конвергенции интернета вещей (IoT), искусственного интеллекта (ИИ), робототехники, цифровых двойников, иммерсивных сред и других появляющихся цифровых технологий. Эти инновации открывают новые возможности для точного и "умного" сельского хозяйства, обмена информацией о производственных рисках в сельском хозяйстве, низкоуглеродного экологичного сельского хозяйства, отслеживания продовольственных продуктов, интеллектуальной автоматизации и аналитики в режиме реального времени по всей цепочке создания стоимости – от производства и переработки до распределения, а также для устойчивого развития сельского хозяйства</w:t>
      </w:r>
      <w:r w:rsidRPr="009B0600">
        <w:rPr>
          <w:rFonts w:eastAsia="SimSun" w:cs="Calibri"/>
          <w:szCs w:val="22"/>
          <w:lang w:val="ru-RU"/>
        </w:rPr>
        <w:t>.</w:t>
      </w:r>
    </w:p>
    <w:p w14:paraId="5F22033F" w14:textId="77777777" w:rsidR="009B0600" w:rsidRPr="009B0600" w:rsidRDefault="009B0600" w:rsidP="00C728DC">
      <w:pPr>
        <w:jc w:val="left"/>
        <w:rPr>
          <w:rFonts w:cs="Calibri"/>
          <w:szCs w:val="22"/>
          <w:lang w:val="ru-RU"/>
        </w:rPr>
      </w:pPr>
      <w:r w:rsidRPr="009B0600">
        <w:rPr>
          <w:rFonts w:cs="Calibri"/>
          <w:szCs w:val="22"/>
          <w:lang w:val="ru-RU"/>
        </w:rPr>
        <w:t>В этом контексте растет интерес к применению появляющихся цифровых технологий, включая IoT, цифровые двойники, иммерсивные и интеллектуальные виртуальные среды, в сельском хозяйстве. Благодаря внедрению IoT, ИИ и других появляющихся цифровых технологий в цифровом сельском хозяйстве, а также оснащению цифровыми двойниками и возможностями иммерсивной трансляции, эти системы призваны удовлетворить потребности сельскохозяйственных производителей в обмене актуальной информацией и знаниями о факторах риска (таких как вредители и болезни сельскохозяйственных культур, экологические и климатические угрозы), повысить защищенность, безопасность и жизнестойкость сельскохозяйственного производства, оптимизировать производительность, увеличить объем производства продукции стабильного качества и повысить эффективность производства продуктов питания и переработки агропродукции. Использование IoT, ИИ, цифровых двойников, виртуальных миров и иммерсивных технологий может быть эффективным инструментом, используемым для моделирования, принятия решений, обучения и сотрудничества между различными заинтересованными сторонами. По мере того как глобальные цепочки поставок становятся все более сложными, а проблемы, угрожающие устойчивости и безопасности, обостряются, развитие этих технологий может открыть новые возможности для оптимизации производства, повышения безопасности, защищенности, жизнестойкости, эффективности работы и более активного внедрения инноваций.</w:t>
      </w:r>
    </w:p>
    <w:p w14:paraId="36E38099" w14:textId="77777777" w:rsidR="009B0600" w:rsidRPr="009B0600" w:rsidRDefault="009B0600" w:rsidP="00C728DC">
      <w:pPr>
        <w:jc w:val="left"/>
        <w:rPr>
          <w:rFonts w:cs="Calibri"/>
          <w:szCs w:val="22"/>
          <w:lang w:val="ru-RU"/>
        </w:rPr>
      </w:pPr>
      <w:r w:rsidRPr="009B0600">
        <w:rPr>
          <w:rFonts w:cs="Calibri"/>
          <w:szCs w:val="22"/>
          <w:lang w:val="ru-RU"/>
        </w:rPr>
        <w:t>Несмотря на прогресс в области цифровизации, возможности для внедрения новых технологий в цифровом сельском хозяйстве ограничиваются определенными проблемами, такими как отсутствие общих платформ, техническая функциональная несовместимость, отсутствие протоколов безопасного обмена данными и масштабируемых архитектурных моделей – всего того, что необходимо для удовлетворения потребностей экосистемы цифрового сельского хозяйства. Чтобы устранить эти пробелы, совершенно необходимо продолжать международные усилия в области стандартизации, способствующие внедрению безопасных, функционально совместимых и готовых к будущему цифровых сельскохозяйственных систем.</w:t>
      </w:r>
    </w:p>
    <w:p w14:paraId="50C938F6" w14:textId="40E28F2F" w:rsidR="009B0600" w:rsidRPr="009B0600" w:rsidRDefault="009B0600" w:rsidP="00C728DC">
      <w:pPr>
        <w:jc w:val="left"/>
        <w:rPr>
          <w:rFonts w:cs="Calibri"/>
          <w:szCs w:val="22"/>
          <w:lang w:val="ru-RU"/>
        </w:rPr>
      </w:pPr>
      <w:r w:rsidRPr="009B0600">
        <w:rPr>
          <w:rFonts w:cs="Calibri"/>
          <w:szCs w:val="22"/>
          <w:lang w:val="ru-RU"/>
        </w:rPr>
        <w:t>В сферу охвата данного Вопроса входят следующие Рекомендации и Добавления:</w:t>
      </w:r>
    </w:p>
    <w:p w14:paraId="529B04DE" w14:textId="77777777" w:rsidR="009B0600" w:rsidRPr="009B0600" w:rsidRDefault="009B0600" w:rsidP="00C728DC">
      <w:pPr>
        <w:pStyle w:val="enumlev1"/>
        <w:rPr>
          <w:lang w:val="ru-RU"/>
        </w:rPr>
      </w:pPr>
      <w:r w:rsidRPr="009B0600">
        <w:rPr>
          <w:lang w:val="ru-RU"/>
        </w:rPr>
        <w:t>‒</w:t>
      </w:r>
      <w:r w:rsidRPr="009B0600">
        <w:rPr>
          <w:lang w:val="ru-RU"/>
        </w:rPr>
        <w:tab/>
        <w:t>Рекомендации МСЭ-T Y.4218, Y.4482;</w:t>
      </w:r>
    </w:p>
    <w:p w14:paraId="201687C6" w14:textId="77777777" w:rsidR="009B0600" w:rsidRPr="009B0600" w:rsidRDefault="009B0600" w:rsidP="00C728DC">
      <w:pPr>
        <w:pStyle w:val="enumlev1"/>
        <w:rPr>
          <w:lang w:val="ru-RU"/>
        </w:rPr>
      </w:pPr>
      <w:r w:rsidRPr="009B0600">
        <w:rPr>
          <w:lang w:val="ru-RU"/>
        </w:rPr>
        <w:t>‒</w:t>
      </w:r>
      <w:r w:rsidRPr="009B0600">
        <w:rPr>
          <w:lang w:val="ru-RU"/>
        </w:rPr>
        <w:tab/>
        <w:t>Добавления 76, 82, 83, 85 к серии Y МСЭ-T;</w:t>
      </w:r>
    </w:p>
    <w:p w14:paraId="1B638994" w14:textId="77777777" w:rsidR="009B0600" w:rsidRPr="009B0600" w:rsidRDefault="009B0600" w:rsidP="00C728DC">
      <w:pPr>
        <w:pStyle w:val="enumlev1"/>
      </w:pPr>
      <w:r w:rsidRPr="009B0600">
        <w:t>‒</w:t>
      </w:r>
      <w:r w:rsidRPr="009B0600">
        <w:tab/>
      </w:r>
      <w:r w:rsidRPr="009B0600">
        <w:rPr>
          <w:lang w:val="ru-RU"/>
        </w:rPr>
        <w:t>МСЭ</w:t>
      </w:r>
      <w:r w:rsidRPr="009B0600">
        <w:t>-T YSTR.DataModelling-Agri.</w:t>
      </w:r>
    </w:p>
    <w:p w14:paraId="54A1B3A7" w14:textId="77777777" w:rsidR="009B0600" w:rsidRPr="009B0600" w:rsidRDefault="009B0600" w:rsidP="00C728DC">
      <w:pPr>
        <w:pStyle w:val="Heading1"/>
        <w:rPr>
          <w:rFonts w:cs="Calibri"/>
          <w:b w:val="0"/>
          <w:szCs w:val="22"/>
          <w:lang w:val="ru-RU"/>
        </w:rPr>
      </w:pPr>
      <w:bookmarkStart w:id="5" w:name="_Toc189662859"/>
      <w:bookmarkStart w:id="6" w:name="_Toc189744416"/>
      <w:bookmarkStart w:id="7" w:name="_Toc197187811"/>
      <w:bookmarkStart w:id="8" w:name="_Toc214479644"/>
      <w:bookmarkStart w:id="9" w:name="_Toc219122619"/>
      <w:r w:rsidRPr="009B0600">
        <w:rPr>
          <w:rFonts w:cs="Calibri"/>
          <w:szCs w:val="22"/>
          <w:lang w:val="ru-RU"/>
        </w:rPr>
        <w:lastRenderedPageBreak/>
        <w:t>2</w:t>
      </w:r>
      <w:r w:rsidRPr="009B0600">
        <w:rPr>
          <w:rFonts w:cs="Calibri"/>
          <w:szCs w:val="22"/>
          <w:lang w:val="ru-RU"/>
        </w:rPr>
        <w:tab/>
      </w:r>
      <w:bookmarkEnd w:id="5"/>
      <w:bookmarkEnd w:id="6"/>
      <w:r w:rsidRPr="00C728DC">
        <w:rPr>
          <w:lang w:val="ru-RU"/>
        </w:rPr>
        <w:t>Вопрос</w:t>
      </w:r>
      <w:bookmarkEnd w:id="7"/>
      <w:bookmarkEnd w:id="8"/>
      <w:bookmarkEnd w:id="9"/>
    </w:p>
    <w:p w14:paraId="5A75F30B" w14:textId="77777777" w:rsidR="009B0600" w:rsidRPr="009B0600" w:rsidRDefault="009B0600" w:rsidP="00C728DC">
      <w:pPr>
        <w:jc w:val="left"/>
        <w:rPr>
          <w:rFonts w:eastAsia="SimSun" w:cs="Calibri"/>
          <w:color w:val="000000"/>
          <w:szCs w:val="22"/>
          <w:lang w:val="ru-RU"/>
        </w:rPr>
      </w:pPr>
      <w:r w:rsidRPr="009B0600">
        <w:rPr>
          <w:rFonts w:eastAsia="SimSun" w:cs="Calibri"/>
          <w:szCs w:val="22"/>
          <w:lang w:val="ru-RU"/>
        </w:rPr>
        <w:t>К числу подлежащих изучению вопросов относятся, среди прочего, следующие.</w:t>
      </w:r>
    </w:p>
    <w:p w14:paraId="79F9E3FB" w14:textId="77777777" w:rsidR="009B0600" w:rsidRPr="009B0600" w:rsidRDefault="009B0600" w:rsidP="00C728DC">
      <w:pPr>
        <w:pStyle w:val="enumlev1"/>
        <w:rPr>
          <w:lang w:val="ru-RU"/>
        </w:rPr>
      </w:pPr>
      <w:r w:rsidRPr="009B0600">
        <w:rPr>
          <w:lang w:val="ru-RU"/>
        </w:rPr>
        <w:t>–</w:t>
      </w:r>
      <w:r w:rsidRPr="009B0600">
        <w:rPr>
          <w:lang w:val="ru-RU"/>
        </w:rPr>
        <w:tab/>
        <w:t>Каковы требования, возможности, сценарии использования и архитектурные модели цифрового сельского хозяйства, охватывающего все этапы − от фермы до потребления, в котором используются IoT, ИИ, взаимодействующие роботы, цифровые двойники, виртуальные миры и иммерсивные среды, а также другие появляющиеся цифровые технологии?</w:t>
      </w:r>
    </w:p>
    <w:p w14:paraId="02ABFF1C" w14:textId="77777777" w:rsidR="009B0600" w:rsidRPr="009B0600" w:rsidRDefault="009B0600" w:rsidP="00C728DC">
      <w:pPr>
        <w:pStyle w:val="enumlev1"/>
        <w:rPr>
          <w:lang w:val="ru-RU"/>
        </w:rPr>
      </w:pPr>
      <w:r w:rsidRPr="009B0600">
        <w:rPr>
          <w:lang w:val="ru-RU"/>
        </w:rPr>
        <w:t>–</w:t>
      </w:r>
      <w:r w:rsidRPr="009B0600">
        <w:rPr>
          <w:lang w:val="ru-RU"/>
        </w:rPr>
        <w:tab/>
        <w:t>Каковы функциональные требования, модели данных и спецификации интерфейсов для используемых в цифровом сельском хозяйстве устройств, платформ и приложений по всей цепочке создания стоимости, призванные повысить качество продукции, эффективность цепочки поставок, безопасность и защищенность?</w:t>
      </w:r>
    </w:p>
    <w:p w14:paraId="1B669071" w14:textId="77777777" w:rsidR="009B0600" w:rsidRPr="009B0600" w:rsidRDefault="009B0600" w:rsidP="00C728DC">
      <w:pPr>
        <w:pStyle w:val="enumlev1"/>
        <w:rPr>
          <w:lang w:val="ru-RU"/>
        </w:rPr>
      </w:pPr>
      <w:r w:rsidRPr="009B0600">
        <w:rPr>
          <w:lang w:val="ru-RU"/>
        </w:rPr>
        <w:t>–</w:t>
      </w:r>
      <w:r w:rsidRPr="009B0600">
        <w:rPr>
          <w:lang w:val="ru-RU"/>
        </w:rPr>
        <w:tab/>
        <w:t>Каковы требования, возможности, сценарии использования и архитектура функциональной совместимости и взаимодействия в цифровом сельском хозяйстве?</w:t>
      </w:r>
    </w:p>
    <w:p w14:paraId="48C00C87" w14:textId="77777777" w:rsidR="009B0600" w:rsidRPr="009B0600" w:rsidRDefault="009B0600" w:rsidP="00C728DC">
      <w:pPr>
        <w:pStyle w:val="enumlev1"/>
        <w:rPr>
          <w:lang w:val="ru-RU"/>
        </w:rPr>
      </w:pPr>
      <w:r w:rsidRPr="009B0600">
        <w:rPr>
          <w:lang w:val="ru-RU"/>
        </w:rPr>
        <w:t>−</w:t>
      </w:r>
      <w:r w:rsidRPr="009B0600">
        <w:rPr>
          <w:lang w:val="ru-RU"/>
        </w:rPr>
        <w:tab/>
        <w:t>Какие пробелы в стандартизации существуют при внедрении ориентированного на будущее цифрового сельского хозяйства и как можно устранить эти пробелы с помощью Рекомендаций МСЭ-T?</w:t>
      </w:r>
    </w:p>
    <w:p w14:paraId="0AAD80D8" w14:textId="77777777" w:rsidR="009B0600" w:rsidRPr="009B0600" w:rsidRDefault="009B0600" w:rsidP="00C728DC">
      <w:pPr>
        <w:pStyle w:val="enumlev1"/>
        <w:rPr>
          <w:lang w:val="ru-RU"/>
        </w:rPr>
      </w:pPr>
      <w:r w:rsidRPr="009B0600">
        <w:rPr>
          <w:lang w:val="ru-RU"/>
        </w:rPr>
        <w:t>–</w:t>
      </w:r>
      <w:r w:rsidRPr="009B0600">
        <w:rPr>
          <w:lang w:val="ru-RU"/>
        </w:rPr>
        <w:tab/>
        <w:t>С какими организациями по разработке стандартов (ОРС), учреждениями ООН и отраслевыми форумами следует осуществлять сотрудничество для обеспечения согласованных и функционально совместимых решений?</w:t>
      </w:r>
    </w:p>
    <w:p w14:paraId="3D34A43A" w14:textId="77777777" w:rsidR="009B0600" w:rsidRPr="009B0600" w:rsidRDefault="009B0600" w:rsidP="00C728DC">
      <w:pPr>
        <w:pStyle w:val="Heading1"/>
        <w:rPr>
          <w:rFonts w:cs="Calibri"/>
          <w:b w:val="0"/>
          <w:szCs w:val="22"/>
          <w:lang w:val="ru-RU"/>
        </w:rPr>
      </w:pPr>
      <w:bookmarkStart w:id="10" w:name="_Toc189744417"/>
      <w:bookmarkStart w:id="11" w:name="_Toc189662860"/>
      <w:bookmarkStart w:id="12" w:name="_Toc197187812"/>
      <w:bookmarkStart w:id="13" w:name="_Toc214479645"/>
      <w:bookmarkStart w:id="14" w:name="_Toc219122620"/>
      <w:r w:rsidRPr="009B0600">
        <w:rPr>
          <w:rFonts w:cs="Calibri"/>
          <w:szCs w:val="22"/>
          <w:lang w:val="ru-RU"/>
        </w:rPr>
        <w:t>3</w:t>
      </w:r>
      <w:r w:rsidRPr="009B0600">
        <w:rPr>
          <w:rFonts w:cs="Calibri"/>
          <w:szCs w:val="22"/>
          <w:lang w:val="ru-RU"/>
        </w:rPr>
        <w:tab/>
      </w:r>
      <w:bookmarkEnd w:id="10"/>
      <w:bookmarkEnd w:id="11"/>
      <w:r w:rsidRPr="00C728DC">
        <w:rPr>
          <w:lang w:val="ru-RU"/>
        </w:rPr>
        <w:t>Задачи</w:t>
      </w:r>
      <w:bookmarkEnd w:id="12"/>
      <w:bookmarkEnd w:id="13"/>
      <w:bookmarkEnd w:id="14"/>
    </w:p>
    <w:p w14:paraId="278D2308" w14:textId="77777777" w:rsidR="009B0600" w:rsidRPr="009B0600" w:rsidRDefault="009B0600" w:rsidP="00C728DC">
      <w:pPr>
        <w:jc w:val="left"/>
        <w:rPr>
          <w:rFonts w:eastAsia="SimSun" w:cs="Calibri"/>
          <w:color w:val="000000"/>
          <w:szCs w:val="22"/>
          <w:lang w:val="ru-RU"/>
        </w:rPr>
      </w:pPr>
      <w:r w:rsidRPr="009B0600">
        <w:rPr>
          <w:rFonts w:eastAsia="SimSun" w:cs="Calibri"/>
          <w:szCs w:val="22"/>
          <w:lang w:val="ru-RU"/>
        </w:rPr>
        <w:t>К числу задач, наряду с прочими, относятся:</w:t>
      </w:r>
    </w:p>
    <w:p w14:paraId="6C85BB33" w14:textId="77777777" w:rsidR="009B0600" w:rsidRPr="009B0600" w:rsidRDefault="009B0600" w:rsidP="00C728DC">
      <w:pPr>
        <w:pStyle w:val="enumlev1"/>
        <w:rPr>
          <w:rFonts w:eastAsia="SimSun"/>
          <w:lang w:val="ru-RU"/>
        </w:rPr>
      </w:pPr>
      <w:r w:rsidRPr="009B0600">
        <w:rPr>
          <w:lang w:val="ru-RU"/>
        </w:rPr>
        <w:t>–</w:t>
      </w:r>
      <w:r w:rsidRPr="009B0600">
        <w:rPr>
          <w:lang w:val="ru-RU"/>
        </w:rPr>
        <w:tab/>
      </w:r>
      <w:r w:rsidRPr="009B0600">
        <w:rPr>
          <w:rFonts w:eastAsia="SimSun"/>
          <w:lang w:val="ru-RU"/>
        </w:rPr>
        <w:t>разработка Рекомендаций, отчетов, добавлений и руководящих указаний, подходящих для цифрового сельского хозяйства и охватывающих:</w:t>
      </w:r>
    </w:p>
    <w:p w14:paraId="616B96CD" w14:textId="77777777" w:rsidR="009B0600" w:rsidRPr="009B0600" w:rsidRDefault="009B0600" w:rsidP="00C728DC">
      <w:pPr>
        <w:pStyle w:val="enumlev2"/>
        <w:tabs>
          <w:tab w:val="clear" w:pos="1191"/>
        </w:tabs>
        <w:rPr>
          <w:rFonts w:eastAsia="SimSun"/>
          <w:lang w:val="ru-RU"/>
        </w:rPr>
      </w:pPr>
      <w:r w:rsidRPr="009B0600">
        <w:rPr>
          <w:rFonts w:eastAsia="SimSun"/>
          <w:lang w:val="ru-RU"/>
        </w:rPr>
        <w:t>•</w:t>
      </w:r>
      <w:r w:rsidRPr="009B0600">
        <w:rPr>
          <w:rFonts w:eastAsia="SimSun"/>
          <w:lang w:val="ru-RU"/>
        </w:rPr>
        <w:tab/>
        <w:t>сценарии использования, передовой опыт и модели внедрения для цифрового сельского хозяйства, интеллектуальных цепочек создания стоимости и иммерсивных сельскохозяйственных сред;</w:t>
      </w:r>
    </w:p>
    <w:p w14:paraId="7785194D" w14:textId="77777777" w:rsidR="009B0600" w:rsidRPr="009B0600" w:rsidRDefault="009B0600" w:rsidP="00C728DC">
      <w:pPr>
        <w:pStyle w:val="enumlev2"/>
        <w:tabs>
          <w:tab w:val="clear" w:pos="1191"/>
        </w:tabs>
        <w:rPr>
          <w:rFonts w:eastAsia="SimSun"/>
          <w:lang w:val="ru-RU"/>
        </w:rPr>
      </w:pPr>
      <w:r w:rsidRPr="009B0600">
        <w:rPr>
          <w:rFonts w:eastAsia="SimSun"/>
          <w:lang w:val="ru-RU"/>
        </w:rPr>
        <w:t>•</w:t>
      </w:r>
      <w:r w:rsidRPr="009B0600">
        <w:rPr>
          <w:rFonts w:eastAsia="SimSun"/>
          <w:lang w:val="ru-RU"/>
        </w:rPr>
        <w:tab/>
        <w:t>структуры и архитектурные модели для внедрения появляющихся цифровых технологий, таких как IoT, ИИ, робототехника и технологии цифровых двойников, в сельское хозяйство и интеллектуальные цепочки создания стоимости;</w:t>
      </w:r>
    </w:p>
    <w:p w14:paraId="48288F37" w14:textId="77777777" w:rsidR="009B0600" w:rsidRPr="009B0600" w:rsidRDefault="009B0600" w:rsidP="00C728DC">
      <w:pPr>
        <w:pStyle w:val="enumlev2"/>
        <w:tabs>
          <w:tab w:val="clear" w:pos="1191"/>
        </w:tabs>
        <w:rPr>
          <w:rFonts w:eastAsia="SimSun"/>
          <w:lang w:val="ru-RU"/>
        </w:rPr>
      </w:pPr>
      <w:r w:rsidRPr="009B0600">
        <w:rPr>
          <w:rFonts w:eastAsia="SimSun"/>
          <w:lang w:val="ru-RU"/>
        </w:rPr>
        <w:t>•</w:t>
      </w:r>
      <w:r w:rsidRPr="009B0600">
        <w:rPr>
          <w:rFonts w:eastAsia="SimSun"/>
          <w:lang w:val="ru-RU"/>
        </w:rPr>
        <w:tab/>
        <w:t>функциональные требования, модели данных и спецификации интерфейсов для используемых в цифровом сельском хозяйстве устройств, платформ и приложений;</w:t>
      </w:r>
    </w:p>
    <w:p w14:paraId="570B0EB7" w14:textId="77777777" w:rsidR="009B0600" w:rsidRPr="009B0600" w:rsidRDefault="009B0600" w:rsidP="00C728DC">
      <w:pPr>
        <w:pStyle w:val="enumlev2"/>
        <w:tabs>
          <w:tab w:val="clear" w:pos="1191"/>
        </w:tabs>
        <w:rPr>
          <w:rFonts w:eastAsia="SimSun"/>
          <w:lang w:val="ru-RU"/>
        </w:rPr>
      </w:pPr>
      <w:r w:rsidRPr="009B0600">
        <w:rPr>
          <w:rFonts w:eastAsia="SimSun"/>
          <w:lang w:val="ru-RU"/>
        </w:rPr>
        <w:t>•</w:t>
      </w:r>
      <w:r w:rsidRPr="009B0600">
        <w:rPr>
          <w:rFonts w:eastAsia="SimSun"/>
          <w:lang w:val="ru-RU"/>
        </w:rPr>
        <w:tab/>
        <w:t>механизмы, обеспечивающие сквозное отслеживание, мониторинг в режиме реального времени и безопасный обмен данными между сельскохозяйственными цепочками поставок и цепочками поставок продуктов питания;</w:t>
      </w:r>
    </w:p>
    <w:p w14:paraId="5E40653C" w14:textId="71AF25EE" w:rsidR="009B0600" w:rsidRPr="009B0600" w:rsidRDefault="009B0600" w:rsidP="00C728DC">
      <w:pPr>
        <w:pStyle w:val="enumlev2"/>
        <w:tabs>
          <w:tab w:val="clear" w:pos="1191"/>
        </w:tabs>
        <w:rPr>
          <w:rFonts w:eastAsia="SimSun"/>
          <w:lang w:val="ru-RU"/>
        </w:rPr>
      </w:pPr>
      <w:r w:rsidRPr="009B0600">
        <w:rPr>
          <w:rFonts w:eastAsia="SimSun"/>
          <w:lang w:val="ru-RU"/>
        </w:rPr>
        <w:t>•</w:t>
      </w:r>
      <w:r w:rsidRPr="009B0600">
        <w:rPr>
          <w:rFonts w:eastAsia="SimSun"/>
          <w:lang w:val="ru-RU"/>
        </w:rPr>
        <w:tab/>
        <w:t>методология построения представления знаний для цифрового сельского хозяйства, изучение методов анализа,</w:t>
      </w:r>
      <w:r w:rsidRPr="009B0600">
        <w:rPr>
          <w:lang w:val="ru-RU"/>
        </w:rPr>
        <w:t xml:space="preserve"> </w:t>
      </w:r>
      <w:r w:rsidRPr="009B0600">
        <w:rPr>
          <w:rFonts w:eastAsia="SimSun"/>
          <w:lang w:val="ru-RU"/>
        </w:rPr>
        <w:t>обнаружения скрытых закономерностей и комплексного применения больших данных в сельском хозяйстве;</w:t>
      </w:r>
    </w:p>
    <w:p w14:paraId="67789812" w14:textId="3413AF20" w:rsidR="009B0600" w:rsidRPr="009B0600" w:rsidRDefault="009B0600" w:rsidP="00C728DC">
      <w:pPr>
        <w:pStyle w:val="enumlev2"/>
        <w:tabs>
          <w:tab w:val="clear" w:pos="1191"/>
        </w:tabs>
        <w:rPr>
          <w:rFonts w:eastAsia="SimSun"/>
          <w:lang w:val="ru-RU"/>
        </w:rPr>
      </w:pPr>
      <w:r w:rsidRPr="009B0600">
        <w:rPr>
          <w:rFonts w:eastAsia="SimSun"/>
          <w:lang w:val="ru-RU"/>
        </w:rPr>
        <w:t>•</w:t>
      </w:r>
      <w:r w:rsidRPr="009B0600">
        <w:rPr>
          <w:rFonts w:eastAsia="SimSun"/>
          <w:lang w:val="ru-RU"/>
        </w:rPr>
        <w:tab/>
        <w:t>технические требования и протоколы для виртуальных миров и иммерсивных систем, включая дистанционное обучение, виртуальное сотрудничество и среды</w:t>
      </w:r>
      <w:r w:rsidR="00F62A31">
        <w:rPr>
          <w:rFonts w:eastAsia="SimSun"/>
          <w:lang w:val="ru-RU"/>
        </w:rPr>
        <w:t xml:space="preserve"> </w:t>
      </w:r>
      <w:r w:rsidRPr="009B0600">
        <w:rPr>
          <w:rFonts w:eastAsia="SimSun"/>
          <w:lang w:val="ru-RU"/>
        </w:rPr>
        <w:t>моделирования;</w:t>
      </w:r>
    </w:p>
    <w:p w14:paraId="186ECC40" w14:textId="6007C489" w:rsidR="009B0600" w:rsidRPr="009B0600" w:rsidRDefault="009B0600" w:rsidP="00C728DC">
      <w:pPr>
        <w:pStyle w:val="enumlev2"/>
        <w:tabs>
          <w:tab w:val="clear" w:pos="1191"/>
        </w:tabs>
        <w:rPr>
          <w:rFonts w:eastAsia="SimSun"/>
          <w:lang w:val="ru-RU"/>
        </w:rPr>
      </w:pPr>
      <w:r w:rsidRPr="009B0600">
        <w:rPr>
          <w:rFonts w:eastAsia="SimSun"/>
          <w:lang w:val="ru-RU"/>
        </w:rPr>
        <w:t>•</w:t>
      </w:r>
      <w:r w:rsidRPr="009B0600">
        <w:rPr>
          <w:rFonts w:eastAsia="SimSun"/>
          <w:lang w:val="ru-RU"/>
        </w:rPr>
        <w:tab/>
        <w:t>требования к функциональной совместимости на системном уровне;</w:t>
      </w:r>
    </w:p>
    <w:p w14:paraId="6D9E6154" w14:textId="250BAD83" w:rsidR="009B0600" w:rsidRPr="00C728DC" w:rsidRDefault="009B0600" w:rsidP="00C728DC">
      <w:pPr>
        <w:pStyle w:val="enumlev2"/>
        <w:tabs>
          <w:tab w:val="clear" w:pos="1191"/>
        </w:tabs>
        <w:rPr>
          <w:rFonts w:eastAsia="SimSun"/>
          <w:lang w:val="ru-RU"/>
        </w:rPr>
      </w:pPr>
      <w:r w:rsidRPr="009B0600">
        <w:rPr>
          <w:rFonts w:eastAsia="SimSun" w:cs="Calibri"/>
          <w:szCs w:val="22"/>
          <w:lang w:val="ru-RU"/>
        </w:rPr>
        <w:t>•</w:t>
      </w:r>
      <w:r w:rsidRPr="009B0600">
        <w:rPr>
          <w:rFonts w:eastAsia="SimSun" w:cs="Calibri"/>
          <w:szCs w:val="22"/>
          <w:lang w:val="ru-RU"/>
        </w:rPr>
        <w:tab/>
        <w:t xml:space="preserve">оценка затрат и выгод </w:t>
      </w:r>
      <w:r w:rsidRPr="00C728DC">
        <w:rPr>
          <w:rFonts w:eastAsia="SimSun"/>
          <w:lang w:val="ru-RU"/>
        </w:rPr>
        <w:t>цифрового сельского хозяйства;</w:t>
      </w:r>
    </w:p>
    <w:p w14:paraId="7008C88D" w14:textId="77777777" w:rsidR="009B0600" w:rsidRPr="009B0600" w:rsidRDefault="009B0600" w:rsidP="00C728DC">
      <w:pPr>
        <w:pStyle w:val="enumlev2"/>
        <w:tabs>
          <w:tab w:val="clear" w:pos="1191"/>
        </w:tabs>
        <w:rPr>
          <w:rFonts w:eastAsia="SimSun" w:cs="Calibri"/>
          <w:szCs w:val="22"/>
          <w:lang w:val="ru-RU"/>
        </w:rPr>
      </w:pPr>
      <w:r w:rsidRPr="00C728DC">
        <w:rPr>
          <w:rFonts w:eastAsia="SimSun"/>
          <w:lang w:val="ru-RU"/>
        </w:rPr>
        <w:t>•</w:t>
      </w:r>
      <w:r w:rsidRPr="00C728DC">
        <w:rPr>
          <w:rFonts w:eastAsia="SimSun"/>
          <w:lang w:val="ru-RU"/>
        </w:rPr>
        <w:tab/>
        <w:t>сотрудничество и согласование с другими органами по стандартизации, учреждениями системы ООН, форумами и</w:t>
      </w:r>
      <w:r w:rsidRPr="009B0600">
        <w:rPr>
          <w:rFonts w:eastAsia="SimSun" w:cs="Calibri"/>
          <w:szCs w:val="22"/>
          <w:lang w:val="ru-RU"/>
        </w:rPr>
        <w:t xml:space="preserve"> консорциумами, способствующие глобальным усилиям, направленным на модернизацию цифровой инфраструктуры и повышение устойчивости;</w:t>
      </w:r>
    </w:p>
    <w:p w14:paraId="1C02BEF0" w14:textId="77777777" w:rsidR="009B0600" w:rsidRPr="009B0600" w:rsidRDefault="009B0600" w:rsidP="00C728DC">
      <w:pPr>
        <w:pStyle w:val="enumlev1"/>
        <w:rPr>
          <w:rFonts w:eastAsia="SimSun"/>
          <w:lang w:val="ru-RU"/>
        </w:rPr>
      </w:pPr>
      <w:r w:rsidRPr="009B0600">
        <w:rPr>
          <w:lang w:val="ru-RU"/>
        </w:rPr>
        <w:lastRenderedPageBreak/>
        <w:t>–</w:t>
      </w:r>
      <w:r w:rsidRPr="009B0600">
        <w:rPr>
          <w:lang w:val="ru-RU"/>
        </w:rPr>
        <w:tab/>
      </w:r>
      <w:r w:rsidRPr="009B0600">
        <w:rPr>
          <w:rFonts w:eastAsia="SimSun"/>
          <w:lang w:val="ru-RU"/>
        </w:rPr>
        <w:t>ведение и совершенствование, в частности, следующих Рекомендаций и ненормативных текстов, входящих в сферу охвата конкретного Вопроса:</w:t>
      </w:r>
    </w:p>
    <w:p w14:paraId="3063BE74" w14:textId="77777777" w:rsidR="009B0600" w:rsidRPr="009B0600" w:rsidRDefault="009B0600" w:rsidP="00C728DC">
      <w:pPr>
        <w:pStyle w:val="enumlev2"/>
        <w:tabs>
          <w:tab w:val="clear" w:pos="1191"/>
        </w:tabs>
        <w:rPr>
          <w:lang w:val="ru-RU"/>
        </w:rPr>
      </w:pPr>
      <w:r w:rsidRPr="009B0600">
        <w:rPr>
          <w:lang w:val="ru-RU"/>
        </w:rPr>
        <w:t>‒</w:t>
      </w:r>
      <w:r w:rsidRPr="009B0600">
        <w:rPr>
          <w:lang w:val="ru-RU"/>
        </w:rPr>
        <w:tab/>
        <w:t>Рекомендации МСЭ-T Y.4218, Y.4482;</w:t>
      </w:r>
    </w:p>
    <w:p w14:paraId="7D8E23A1" w14:textId="77777777" w:rsidR="009B0600" w:rsidRPr="009B0600" w:rsidRDefault="009B0600" w:rsidP="00C728DC">
      <w:pPr>
        <w:pStyle w:val="enumlev2"/>
        <w:tabs>
          <w:tab w:val="clear" w:pos="1191"/>
        </w:tabs>
        <w:rPr>
          <w:lang w:val="ru-RU"/>
        </w:rPr>
      </w:pPr>
      <w:r w:rsidRPr="009B0600">
        <w:rPr>
          <w:lang w:val="ru-RU"/>
        </w:rPr>
        <w:t>‒</w:t>
      </w:r>
      <w:r w:rsidRPr="009B0600">
        <w:rPr>
          <w:lang w:val="ru-RU"/>
        </w:rPr>
        <w:tab/>
        <w:t>Добавления 76, 82, 83, 85 серии Y МСЭ-T;</w:t>
      </w:r>
    </w:p>
    <w:p w14:paraId="50F9E03B" w14:textId="77777777" w:rsidR="009B0600" w:rsidRPr="009B0600" w:rsidRDefault="009B0600" w:rsidP="00C728DC">
      <w:pPr>
        <w:pStyle w:val="enumlev2"/>
        <w:tabs>
          <w:tab w:val="clear" w:pos="1191"/>
        </w:tabs>
      </w:pPr>
      <w:r w:rsidRPr="009B0600">
        <w:t>‒</w:t>
      </w:r>
      <w:r w:rsidRPr="009B0600">
        <w:tab/>
      </w:r>
      <w:r w:rsidRPr="009B0600">
        <w:rPr>
          <w:lang w:val="ru-RU"/>
        </w:rPr>
        <w:t>МСЭ</w:t>
      </w:r>
      <w:r w:rsidRPr="009B0600">
        <w:t>-T YSTR.DataModelling-Agri.</w:t>
      </w:r>
    </w:p>
    <w:p w14:paraId="1D1C244F" w14:textId="77777777" w:rsidR="009B0600" w:rsidRPr="009B0600" w:rsidRDefault="009B0600" w:rsidP="00C728DC">
      <w:pPr>
        <w:pStyle w:val="enumlev1"/>
        <w:rPr>
          <w:lang w:val="ru-RU"/>
        </w:rPr>
      </w:pPr>
      <w:r w:rsidRPr="009B0600">
        <w:rPr>
          <w:lang w:val="ru-RU"/>
        </w:rPr>
        <w:t>–</w:t>
      </w:r>
      <w:r w:rsidRPr="009B0600">
        <w:rPr>
          <w:lang w:val="ru-RU"/>
        </w:rPr>
        <w:tab/>
        <w:t>о</w:t>
      </w:r>
      <w:r w:rsidRPr="009B0600">
        <w:rPr>
          <w:rFonts w:eastAsia="SimSun"/>
          <w:lang w:val="ru-RU"/>
        </w:rPr>
        <w:t>беспечение необходимого сотрудничества в процессе совместной деятельности в этой области в рамках МСЭ и между МСЭ-Т и ОРС, структурами ООН, консорциумами и форумами;</w:t>
      </w:r>
    </w:p>
    <w:p w14:paraId="5BA99B40" w14:textId="77777777" w:rsidR="009B0600" w:rsidRPr="009B0600" w:rsidRDefault="009B0600" w:rsidP="00C728DC">
      <w:pPr>
        <w:pStyle w:val="enumlev1"/>
        <w:rPr>
          <w:rFonts w:eastAsia="SimSun"/>
          <w:lang w:val="ru-RU"/>
        </w:rPr>
      </w:pPr>
      <w:r w:rsidRPr="009B0600">
        <w:rPr>
          <w:lang w:val="ru-RU"/>
        </w:rPr>
        <w:t>–</w:t>
      </w:r>
      <w:r w:rsidRPr="009B0600">
        <w:rPr>
          <w:lang w:val="ru-RU"/>
        </w:rPr>
        <w:tab/>
      </w:r>
      <w:r w:rsidRPr="009B0600">
        <w:rPr>
          <w:rFonts w:eastAsia="SimSun"/>
          <w:lang w:val="ru-RU"/>
        </w:rPr>
        <w:t>изучение других смежных тем по мере необходимости на основе полученных вкладов;</w:t>
      </w:r>
    </w:p>
    <w:p w14:paraId="14B5DB11" w14:textId="77777777" w:rsidR="009B0600" w:rsidRPr="009B0600" w:rsidRDefault="009B0600" w:rsidP="00C728DC">
      <w:pPr>
        <w:pStyle w:val="enumlev1"/>
        <w:rPr>
          <w:rFonts w:eastAsia="SimSun"/>
          <w:lang w:val="ru-RU"/>
        </w:rPr>
      </w:pPr>
      <w:r w:rsidRPr="009B0600">
        <w:rPr>
          <w:lang w:val="ru-RU"/>
        </w:rPr>
        <w:t>–</w:t>
      </w:r>
      <w:r w:rsidRPr="009B0600">
        <w:rPr>
          <w:lang w:val="ru-RU"/>
        </w:rPr>
        <w:tab/>
        <w:t xml:space="preserve">деятельность </w:t>
      </w:r>
      <w:r w:rsidRPr="009B0600">
        <w:rPr>
          <w:rFonts w:eastAsia="SimSun"/>
          <w:lang w:val="ru-RU"/>
        </w:rPr>
        <w:t>в области искусственного интеллекта должна быть приведена в соответствие с установленными положениями, включая Резолюцию 214.</w:t>
      </w:r>
    </w:p>
    <w:p w14:paraId="1FA1D579" w14:textId="77777777" w:rsidR="009B0600" w:rsidRPr="009B0600" w:rsidRDefault="009B0600" w:rsidP="00C728DC">
      <w:pPr>
        <w:jc w:val="left"/>
        <w:rPr>
          <w:rFonts w:eastAsia="SimSun" w:cs="Calibri"/>
          <w:color w:val="000000"/>
          <w:szCs w:val="22"/>
          <w:lang w:val="ru-RU"/>
        </w:rPr>
      </w:pPr>
      <w:r w:rsidRPr="009B0600">
        <w:rPr>
          <w:rFonts w:eastAsia="SimSun" w:cs="Calibri"/>
          <w:szCs w:val="22"/>
          <w:lang w:val="ru-RU"/>
        </w:rPr>
        <w:t>Информация о текущем состоянии работы по этому вопросу содержится в программе работы ИК20 (</w:t>
      </w:r>
      <w:hyperlink r:id="rId13" w:history="1">
        <w:r w:rsidRPr="009B0600">
          <w:rPr>
            <w:rFonts w:eastAsia="SimSun" w:cs="Calibri"/>
            <w:color w:val="0000FF"/>
            <w:szCs w:val="22"/>
            <w:u w:val="single"/>
            <w:lang w:val="ru-RU"/>
          </w:rPr>
          <w:t>https://www.itu.int/ITU-T/workprog/wp_search.aspx?sp=18&amp;q=11/20</w:t>
        </w:r>
      </w:hyperlink>
      <w:r w:rsidRPr="009B0600">
        <w:rPr>
          <w:rFonts w:eastAsia="SimSun" w:cs="Calibri"/>
          <w:szCs w:val="22"/>
          <w:lang w:val="ru-RU"/>
        </w:rPr>
        <w:t>).</w:t>
      </w:r>
    </w:p>
    <w:p w14:paraId="1E874293" w14:textId="77777777" w:rsidR="009B0600" w:rsidRPr="009B0600" w:rsidRDefault="009B0600" w:rsidP="00C728DC">
      <w:pPr>
        <w:pStyle w:val="Heading1"/>
        <w:rPr>
          <w:rFonts w:cs="Calibri"/>
          <w:b w:val="0"/>
          <w:szCs w:val="22"/>
          <w:lang w:val="ru-RU"/>
        </w:rPr>
      </w:pPr>
      <w:bookmarkStart w:id="15" w:name="_Toc189744418"/>
      <w:bookmarkStart w:id="16" w:name="_Toc189662861"/>
      <w:bookmarkStart w:id="17" w:name="_Toc197187813"/>
      <w:bookmarkStart w:id="18" w:name="_Toc214479646"/>
      <w:bookmarkStart w:id="19" w:name="_Toc219122621"/>
      <w:r w:rsidRPr="009B0600">
        <w:rPr>
          <w:rFonts w:cs="Calibri"/>
          <w:szCs w:val="22"/>
          <w:lang w:val="ru-RU"/>
        </w:rPr>
        <w:t>4</w:t>
      </w:r>
      <w:r w:rsidRPr="009B0600">
        <w:rPr>
          <w:rFonts w:cs="Calibri"/>
          <w:szCs w:val="22"/>
          <w:lang w:val="ru-RU"/>
        </w:rPr>
        <w:tab/>
      </w:r>
      <w:bookmarkEnd w:id="15"/>
      <w:bookmarkEnd w:id="16"/>
      <w:r w:rsidRPr="00C728DC">
        <w:rPr>
          <w:lang w:val="ru-RU"/>
        </w:rPr>
        <w:t>Взаимосвязь</w:t>
      </w:r>
      <w:bookmarkEnd w:id="17"/>
      <w:bookmarkEnd w:id="18"/>
      <w:bookmarkEnd w:id="19"/>
    </w:p>
    <w:p w14:paraId="4611BD0C" w14:textId="032911AC" w:rsidR="009B0600" w:rsidRPr="009B0600" w:rsidRDefault="009B0600" w:rsidP="00C728DC">
      <w:pPr>
        <w:pStyle w:val="Headingb"/>
        <w:rPr>
          <w:rFonts w:eastAsia="SimSun" w:cs="Calibri"/>
          <w:b w:val="0"/>
          <w:szCs w:val="22"/>
          <w:lang w:val="ru-RU"/>
        </w:rPr>
      </w:pPr>
      <w:r w:rsidRPr="00C728DC">
        <w:rPr>
          <w:rFonts w:eastAsia="SimSun"/>
          <w:lang w:val="ru-RU"/>
        </w:rPr>
        <w:t>Рекомендации</w:t>
      </w:r>
    </w:p>
    <w:p w14:paraId="318E3F51" w14:textId="77777777" w:rsidR="009B0600" w:rsidRPr="009B0600" w:rsidRDefault="009B0600" w:rsidP="00C728DC">
      <w:pPr>
        <w:pStyle w:val="enumlev1"/>
        <w:rPr>
          <w:rFonts w:eastAsia="SimSun" w:cs="Calibri"/>
          <w:szCs w:val="22"/>
          <w:lang w:val="ru-RU"/>
        </w:rPr>
      </w:pPr>
      <w:r w:rsidRPr="009B0600">
        <w:rPr>
          <w:rFonts w:cs="Calibri"/>
          <w:szCs w:val="22"/>
          <w:lang w:val="ru-RU"/>
        </w:rPr>
        <w:t>–</w:t>
      </w:r>
      <w:r w:rsidRPr="009B0600">
        <w:rPr>
          <w:rFonts w:cs="Calibri"/>
          <w:szCs w:val="22"/>
          <w:lang w:val="ru-RU"/>
        </w:rPr>
        <w:tab/>
      </w:r>
      <w:r w:rsidRPr="009B0600">
        <w:rPr>
          <w:rFonts w:eastAsia="SimSun" w:cs="Calibri"/>
          <w:szCs w:val="22"/>
          <w:lang w:val="ru-RU"/>
        </w:rPr>
        <w:t xml:space="preserve">серия Y.4000, включая </w:t>
      </w:r>
      <w:r w:rsidRPr="009B0600">
        <w:rPr>
          <w:rFonts w:cs="Calibri"/>
          <w:szCs w:val="22"/>
          <w:lang w:val="ru-RU"/>
        </w:rPr>
        <w:t>Y.4218, Y.4482</w:t>
      </w:r>
      <w:r w:rsidRPr="009B0600">
        <w:rPr>
          <w:rFonts w:eastAsia="SimSun" w:cs="Calibri"/>
          <w:szCs w:val="22"/>
          <w:lang w:val="ru-RU"/>
        </w:rPr>
        <w:t>.</w:t>
      </w:r>
    </w:p>
    <w:p w14:paraId="391FC49E" w14:textId="5997AC5B" w:rsidR="009B0600" w:rsidRPr="009B0600" w:rsidRDefault="009B0600" w:rsidP="00C728DC">
      <w:pPr>
        <w:pStyle w:val="Headingb"/>
        <w:rPr>
          <w:rFonts w:eastAsia="SimSun" w:cs="Calibri"/>
          <w:b w:val="0"/>
          <w:szCs w:val="22"/>
          <w:lang w:val="ru-RU"/>
        </w:rPr>
      </w:pPr>
      <w:r w:rsidRPr="00C728DC">
        <w:rPr>
          <w:rFonts w:eastAsia="SimSun"/>
          <w:lang w:val="ru-RU"/>
        </w:rPr>
        <w:t>Вопросы</w:t>
      </w:r>
    </w:p>
    <w:p w14:paraId="12C6B219" w14:textId="77777777" w:rsidR="009B0600" w:rsidRPr="009B0600" w:rsidRDefault="009B0600" w:rsidP="00C728DC">
      <w:pPr>
        <w:pStyle w:val="enumlev1"/>
        <w:rPr>
          <w:rFonts w:eastAsia="SimSun" w:cs="Calibri"/>
          <w:szCs w:val="22"/>
          <w:lang w:val="ru-RU"/>
        </w:rPr>
      </w:pPr>
      <w:r w:rsidRPr="009B0600">
        <w:rPr>
          <w:rFonts w:cs="Calibri"/>
          <w:szCs w:val="22"/>
          <w:lang w:val="ru-RU"/>
        </w:rPr>
        <w:t>–</w:t>
      </w:r>
      <w:r w:rsidRPr="009B0600">
        <w:rPr>
          <w:rFonts w:cs="Calibri"/>
          <w:szCs w:val="22"/>
          <w:lang w:val="ru-RU"/>
        </w:rPr>
        <w:tab/>
      </w:r>
      <w:r w:rsidRPr="009B0600">
        <w:rPr>
          <w:rFonts w:eastAsia="SimSun" w:cs="Calibri"/>
          <w:szCs w:val="22"/>
          <w:lang w:val="ru-RU"/>
        </w:rPr>
        <w:t xml:space="preserve">все </w:t>
      </w:r>
      <w:r w:rsidRPr="00C728DC">
        <w:rPr>
          <w:lang w:val="ru-RU"/>
        </w:rPr>
        <w:t>Вопросы</w:t>
      </w:r>
      <w:r w:rsidRPr="009B0600">
        <w:rPr>
          <w:rFonts w:eastAsia="SimSun" w:cs="Calibri"/>
          <w:szCs w:val="22"/>
          <w:lang w:val="ru-RU"/>
        </w:rPr>
        <w:t xml:space="preserve"> ИК20 МСЭ-Т.</w:t>
      </w:r>
    </w:p>
    <w:p w14:paraId="6BAB349B" w14:textId="7DE2DC44" w:rsidR="009B0600" w:rsidRPr="009B0600" w:rsidRDefault="009B0600" w:rsidP="00C728DC">
      <w:pPr>
        <w:pStyle w:val="Headingb"/>
        <w:rPr>
          <w:rFonts w:eastAsia="SimSun" w:cs="Calibri"/>
          <w:b w:val="0"/>
          <w:szCs w:val="22"/>
          <w:lang w:val="ru-RU"/>
        </w:rPr>
      </w:pPr>
      <w:r w:rsidRPr="00C728DC">
        <w:rPr>
          <w:rFonts w:eastAsia="SimSun"/>
          <w:lang w:val="ru-RU"/>
        </w:rPr>
        <w:t>Исследовательские</w:t>
      </w:r>
      <w:r w:rsidRPr="009B0600">
        <w:rPr>
          <w:rFonts w:eastAsia="SimSun" w:cs="Calibri"/>
          <w:szCs w:val="22"/>
          <w:lang w:val="ru-RU"/>
        </w:rPr>
        <w:t xml:space="preserve"> комиссии</w:t>
      </w:r>
    </w:p>
    <w:p w14:paraId="220E221C" w14:textId="77777777" w:rsidR="009B0600" w:rsidRPr="009B0600" w:rsidRDefault="009B0600" w:rsidP="00C728DC">
      <w:pPr>
        <w:pStyle w:val="enumlev1"/>
        <w:rPr>
          <w:rFonts w:eastAsia="SimSun" w:cs="Calibri"/>
          <w:szCs w:val="22"/>
          <w:lang w:val="ru-RU"/>
        </w:rPr>
      </w:pPr>
      <w:r w:rsidRPr="009B0600">
        <w:rPr>
          <w:rFonts w:cs="Calibri"/>
          <w:szCs w:val="22"/>
          <w:lang w:val="ru-RU"/>
        </w:rPr>
        <w:t>–</w:t>
      </w:r>
      <w:r w:rsidRPr="009B0600">
        <w:rPr>
          <w:rFonts w:cs="Calibri"/>
          <w:szCs w:val="22"/>
          <w:lang w:val="ru-RU"/>
        </w:rPr>
        <w:tab/>
      </w:r>
      <w:r w:rsidRPr="009B0600">
        <w:rPr>
          <w:rFonts w:eastAsia="SimSun" w:cs="Calibri"/>
          <w:szCs w:val="22"/>
          <w:lang w:val="ru-RU"/>
        </w:rPr>
        <w:t>ИК5 МСЭ-Т</w:t>
      </w:r>
    </w:p>
    <w:p w14:paraId="133F5322" w14:textId="77777777" w:rsidR="009B0600" w:rsidRPr="009B0600" w:rsidRDefault="009B0600" w:rsidP="00C728DC">
      <w:pPr>
        <w:pStyle w:val="enumlev1"/>
        <w:rPr>
          <w:rFonts w:eastAsia="SimSun" w:cs="Calibri"/>
          <w:szCs w:val="22"/>
          <w:lang w:val="ru-RU"/>
        </w:rPr>
      </w:pPr>
      <w:r w:rsidRPr="009B0600">
        <w:rPr>
          <w:rFonts w:eastAsia="SimSun" w:cs="Calibri"/>
          <w:szCs w:val="22"/>
          <w:lang w:val="ru-RU"/>
        </w:rPr>
        <w:t>−</w:t>
      </w:r>
      <w:r w:rsidRPr="009B0600">
        <w:rPr>
          <w:rFonts w:eastAsia="SimSun" w:cs="Calibri"/>
          <w:szCs w:val="22"/>
          <w:lang w:val="ru-RU"/>
        </w:rPr>
        <w:tab/>
      </w:r>
      <w:r w:rsidRPr="00C728DC">
        <w:rPr>
          <w:lang w:val="ru-RU"/>
        </w:rPr>
        <w:t>ИК11</w:t>
      </w:r>
      <w:r w:rsidRPr="009B0600">
        <w:rPr>
          <w:rFonts w:eastAsia="SimSun" w:cs="Calibri"/>
          <w:szCs w:val="22"/>
          <w:lang w:val="ru-RU"/>
        </w:rPr>
        <w:t xml:space="preserve"> МСЭ-Т</w:t>
      </w:r>
    </w:p>
    <w:p w14:paraId="7F64F359" w14:textId="77777777" w:rsidR="009B0600" w:rsidRPr="009B0600" w:rsidRDefault="009B0600" w:rsidP="00C728DC">
      <w:pPr>
        <w:pStyle w:val="enumlev1"/>
        <w:rPr>
          <w:rFonts w:eastAsia="SimSun" w:cs="Calibri"/>
          <w:szCs w:val="22"/>
          <w:lang w:val="ru-RU"/>
        </w:rPr>
      </w:pPr>
      <w:r w:rsidRPr="009B0600">
        <w:rPr>
          <w:rFonts w:cs="Calibri"/>
          <w:szCs w:val="22"/>
          <w:lang w:val="ru-RU"/>
        </w:rPr>
        <w:t>–</w:t>
      </w:r>
      <w:r w:rsidRPr="009B0600">
        <w:rPr>
          <w:rFonts w:cs="Calibri"/>
          <w:szCs w:val="22"/>
          <w:lang w:val="ru-RU"/>
        </w:rPr>
        <w:tab/>
      </w:r>
      <w:r w:rsidRPr="00C728DC">
        <w:rPr>
          <w:lang w:val="ru-RU"/>
        </w:rPr>
        <w:t>ИК13</w:t>
      </w:r>
      <w:r w:rsidRPr="009B0600">
        <w:rPr>
          <w:rFonts w:eastAsia="SimSun" w:cs="Calibri"/>
          <w:szCs w:val="22"/>
          <w:lang w:val="ru-RU"/>
        </w:rPr>
        <w:t xml:space="preserve"> МСЭ-Т</w:t>
      </w:r>
    </w:p>
    <w:p w14:paraId="5ED89FC8" w14:textId="77777777" w:rsidR="009B0600" w:rsidRPr="009B0600" w:rsidRDefault="009B0600" w:rsidP="00C728DC">
      <w:pPr>
        <w:pStyle w:val="enumlev1"/>
        <w:rPr>
          <w:rFonts w:eastAsia="SimSun" w:cs="Calibri"/>
          <w:szCs w:val="22"/>
          <w:lang w:val="ru-RU"/>
        </w:rPr>
      </w:pPr>
      <w:r w:rsidRPr="009B0600">
        <w:rPr>
          <w:rFonts w:eastAsia="SimSun" w:cs="Calibri"/>
          <w:szCs w:val="22"/>
          <w:lang w:val="ru-RU"/>
        </w:rPr>
        <w:t>−</w:t>
      </w:r>
      <w:r w:rsidRPr="009B0600">
        <w:rPr>
          <w:rFonts w:eastAsia="SimSun" w:cs="Calibri"/>
          <w:szCs w:val="22"/>
          <w:lang w:val="ru-RU"/>
        </w:rPr>
        <w:tab/>
      </w:r>
      <w:r w:rsidRPr="00C728DC">
        <w:rPr>
          <w:lang w:val="ru-RU"/>
        </w:rPr>
        <w:t>ИК17</w:t>
      </w:r>
      <w:r w:rsidRPr="009B0600">
        <w:rPr>
          <w:rFonts w:eastAsia="SimSun" w:cs="Calibri"/>
          <w:szCs w:val="22"/>
          <w:lang w:val="ru-RU"/>
        </w:rPr>
        <w:t xml:space="preserve"> МСЭ-Т</w:t>
      </w:r>
    </w:p>
    <w:p w14:paraId="37769EA3" w14:textId="77777777" w:rsidR="009B0600" w:rsidRPr="009B0600" w:rsidRDefault="009B0600" w:rsidP="00C728DC">
      <w:pPr>
        <w:pStyle w:val="enumlev1"/>
        <w:rPr>
          <w:rFonts w:eastAsia="SimSun" w:cs="Calibri"/>
          <w:szCs w:val="22"/>
          <w:lang w:val="ru-RU"/>
        </w:rPr>
      </w:pPr>
      <w:r w:rsidRPr="009B0600">
        <w:rPr>
          <w:rFonts w:cs="Calibri"/>
          <w:szCs w:val="22"/>
          <w:lang w:val="ru-RU"/>
        </w:rPr>
        <w:t>–</w:t>
      </w:r>
      <w:r w:rsidRPr="009B0600">
        <w:rPr>
          <w:rFonts w:cs="Calibri"/>
          <w:szCs w:val="22"/>
          <w:lang w:val="ru-RU"/>
        </w:rPr>
        <w:tab/>
      </w:r>
      <w:r w:rsidRPr="00C728DC">
        <w:rPr>
          <w:lang w:val="ru-RU"/>
        </w:rPr>
        <w:t>ИК21</w:t>
      </w:r>
      <w:r w:rsidRPr="009B0600">
        <w:rPr>
          <w:rFonts w:eastAsia="SimSun" w:cs="Calibri"/>
          <w:szCs w:val="22"/>
          <w:lang w:val="ru-RU"/>
        </w:rPr>
        <w:t xml:space="preserve"> МСЭ-Т</w:t>
      </w:r>
    </w:p>
    <w:p w14:paraId="5CB0AB08" w14:textId="01DFB301" w:rsidR="009B0600" w:rsidRPr="009B0600" w:rsidRDefault="009B0600" w:rsidP="00C728DC">
      <w:pPr>
        <w:pStyle w:val="Headingb"/>
        <w:rPr>
          <w:rFonts w:eastAsia="SimSun" w:cs="Calibri"/>
          <w:b w:val="0"/>
          <w:szCs w:val="22"/>
          <w:lang w:val="ru-RU"/>
        </w:rPr>
      </w:pPr>
      <w:r w:rsidRPr="00C728DC">
        <w:rPr>
          <w:rFonts w:eastAsia="SimSun"/>
          <w:lang w:val="ru-RU"/>
        </w:rPr>
        <w:t>Другие</w:t>
      </w:r>
      <w:r w:rsidRPr="009B0600">
        <w:rPr>
          <w:rFonts w:eastAsia="SimSun" w:cs="Calibri"/>
          <w:szCs w:val="22"/>
          <w:lang w:val="ru-RU"/>
        </w:rPr>
        <w:t xml:space="preserve"> органы</w:t>
      </w:r>
    </w:p>
    <w:p w14:paraId="009E2741" w14:textId="77777777" w:rsidR="009B0600" w:rsidRPr="00C728DC" w:rsidRDefault="009B0600" w:rsidP="00C728DC">
      <w:pPr>
        <w:pStyle w:val="enumlev1"/>
        <w:rPr>
          <w:lang w:val="ru-RU"/>
        </w:rPr>
      </w:pPr>
      <w:r w:rsidRPr="009B0600">
        <w:rPr>
          <w:rFonts w:cs="Calibri"/>
          <w:szCs w:val="22"/>
          <w:lang w:val="ru-RU"/>
        </w:rPr>
        <w:t>–</w:t>
      </w:r>
      <w:r w:rsidRPr="009B0600">
        <w:rPr>
          <w:rFonts w:cs="Calibri"/>
          <w:szCs w:val="22"/>
          <w:lang w:val="ru-RU"/>
        </w:rPr>
        <w:tab/>
      </w:r>
      <w:r w:rsidRPr="00C728DC">
        <w:rPr>
          <w:lang w:val="ru-RU"/>
        </w:rPr>
        <w:t>ТК23 ИСО</w:t>
      </w:r>
    </w:p>
    <w:p w14:paraId="4E5497D1" w14:textId="77777777" w:rsidR="009B0600" w:rsidRPr="00C728DC" w:rsidRDefault="009B0600" w:rsidP="00C728DC">
      <w:pPr>
        <w:pStyle w:val="enumlev1"/>
        <w:rPr>
          <w:lang w:val="ru-RU"/>
        </w:rPr>
      </w:pPr>
      <w:r w:rsidRPr="00C728DC">
        <w:rPr>
          <w:lang w:val="ru-RU"/>
        </w:rPr>
        <w:t>−</w:t>
      </w:r>
      <w:r w:rsidRPr="00C728DC">
        <w:rPr>
          <w:lang w:val="ru-RU"/>
        </w:rPr>
        <w:tab/>
        <w:t>ТК34 ИСО</w:t>
      </w:r>
    </w:p>
    <w:p w14:paraId="1E511767" w14:textId="77777777" w:rsidR="009B0600" w:rsidRPr="00C728DC" w:rsidRDefault="009B0600" w:rsidP="00C728DC">
      <w:pPr>
        <w:pStyle w:val="enumlev1"/>
        <w:rPr>
          <w:lang w:val="ru-RU"/>
        </w:rPr>
      </w:pPr>
      <w:r w:rsidRPr="00C728DC">
        <w:rPr>
          <w:lang w:val="ru-RU"/>
        </w:rPr>
        <w:t>−</w:t>
      </w:r>
      <w:r w:rsidRPr="00C728DC">
        <w:rPr>
          <w:lang w:val="ru-RU"/>
        </w:rPr>
        <w:tab/>
        <w:t>ТК347 ИСО</w:t>
      </w:r>
    </w:p>
    <w:p w14:paraId="27FB8DA1" w14:textId="77777777" w:rsidR="009B0600" w:rsidRPr="00C728DC" w:rsidRDefault="009B0600" w:rsidP="00C728DC">
      <w:pPr>
        <w:pStyle w:val="enumlev1"/>
        <w:rPr>
          <w:lang w:val="ru-RU"/>
        </w:rPr>
      </w:pPr>
      <w:r w:rsidRPr="00C728DC">
        <w:rPr>
          <w:lang w:val="ru-RU"/>
        </w:rPr>
        <w:t>−</w:t>
      </w:r>
      <w:r w:rsidRPr="00C728DC">
        <w:rPr>
          <w:lang w:val="ru-RU"/>
        </w:rPr>
        <w:tab/>
        <w:t>ПК42/ОТК1 ИСО/МЭК</w:t>
      </w:r>
    </w:p>
    <w:p w14:paraId="787530B4" w14:textId="77777777" w:rsidR="009B0600" w:rsidRPr="00C728DC" w:rsidRDefault="009B0600" w:rsidP="00C728DC">
      <w:pPr>
        <w:pStyle w:val="enumlev1"/>
        <w:rPr>
          <w:lang w:val="ru-RU"/>
        </w:rPr>
      </w:pPr>
      <w:r w:rsidRPr="00C728DC">
        <w:rPr>
          <w:lang w:val="ru-RU"/>
        </w:rPr>
        <w:t>–</w:t>
      </w:r>
      <w:r w:rsidRPr="00C728DC">
        <w:rPr>
          <w:lang w:val="ru-RU"/>
        </w:rPr>
        <w:tab/>
        <w:t>ПК41/ОТК1 ИСО/МЭК</w:t>
      </w:r>
    </w:p>
    <w:p w14:paraId="42DA53B7" w14:textId="77777777" w:rsidR="009B0600" w:rsidRPr="00C728DC" w:rsidRDefault="009B0600" w:rsidP="00C728DC">
      <w:pPr>
        <w:pStyle w:val="enumlev1"/>
        <w:rPr>
          <w:lang w:val="ru-RU"/>
        </w:rPr>
      </w:pPr>
      <w:r w:rsidRPr="00C728DC">
        <w:rPr>
          <w:lang w:val="ru-RU"/>
        </w:rPr>
        <w:t>−</w:t>
      </w:r>
      <w:r w:rsidRPr="00C728DC">
        <w:rPr>
          <w:lang w:val="ru-RU"/>
        </w:rPr>
        <w:tab/>
        <w:t>JCA-IoT, DT и SSC&amp;C</w:t>
      </w:r>
    </w:p>
    <w:p w14:paraId="4CCA63BA" w14:textId="77777777" w:rsidR="009B0600" w:rsidRPr="00C728DC" w:rsidRDefault="009B0600" w:rsidP="00C728DC">
      <w:pPr>
        <w:pStyle w:val="enumlev1"/>
        <w:rPr>
          <w:lang w:val="ru-RU"/>
        </w:rPr>
      </w:pPr>
      <w:r w:rsidRPr="00C728DC">
        <w:rPr>
          <w:lang w:val="ru-RU"/>
        </w:rPr>
        <w:t>–</w:t>
      </w:r>
      <w:r w:rsidRPr="00C728DC">
        <w:rPr>
          <w:lang w:val="ru-RU"/>
        </w:rPr>
        <w:tab/>
        <w:t>JCA-MV</w:t>
      </w:r>
    </w:p>
    <w:p w14:paraId="0B60C505" w14:textId="77777777" w:rsidR="009B0600" w:rsidRPr="00C728DC" w:rsidRDefault="009B0600" w:rsidP="00C728DC">
      <w:pPr>
        <w:pStyle w:val="enumlev1"/>
        <w:rPr>
          <w:lang w:val="ru-RU"/>
        </w:rPr>
      </w:pPr>
      <w:r w:rsidRPr="00C728DC">
        <w:rPr>
          <w:lang w:val="ru-RU"/>
        </w:rPr>
        <w:t>−</w:t>
      </w:r>
      <w:r w:rsidRPr="00C728DC">
        <w:rPr>
          <w:lang w:val="ru-RU"/>
        </w:rPr>
        <w:tab/>
        <w:t>ФАО</w:t>
      </w:r>
    </w:p>
    <w:p w14:paraId="1A72FA41" w14:textId="77777777" w:rsidR="009B0600" w:rsidRPr="00C728DC" w:rsidRDefault="009B0600" w:rsidP="00C728DC">
      <w:pPr>
        <w:pStyle w:val="enumlev1"/>
        <w:rPr>
          <w:lang w:val="ru-RU"/>
        </w:rPr>
      </w:pPr>
      <w:r w:rsidRPr="00C728DC">
        <w:rPr>
          <w:lang w:val="ru-RU"/>
        </w:rPr>
        <w:t>−</w:t>
      </w:r>
      <w:r w:rsidRPr="00C728DC">
        <w:rPr>
          <w:lang w:val="ru-RU"/>
        </w:rPr>
        <w:tab/>
        <w:t>ВПП</w:t>
      </w:r>
    </w:p>
    <w:p w14:paraId="47F7543F" w14:textId="77777777" w:rsidR="009B0600" w:rsidRPr="00C728DC" w:rsidRDefault="009B0600" w:rsidP="00C728DC">
      <w:pPr>
        <w:pStyle w:val="enumlev1"/>
        <w:rPr>
          <w:lang w:val="ru-RU"/>
        </w:rPr>
      </w:pPr>
      <w:r w:rsidRPr="00C728DC">
        <w:rPr>
          <w:lang w:val="ru-RU"/>
        </w:rPr>
        <w:t>−</w:t>
      </w:r>
      <w:r w:rsidRPr="00C728DC">
        <w:rPr>
          <w:lang w:val="ru-RU"/>
        </w:rPr>
        <w:tab/>
        <w:t>МФСР</w:t>
      </w:r>
    </w:p>
    <w:p w14:paraId="7667DD69" w14:textId="2D28660C" w:rsidR="009B0600" w:rsidRPr="009B0600" w:rsidRDefault="009B0600" w:rsidP="00C728DC">
      <w:pPr>
        <w:pStyle w:val="Headingb"/>
        <w:rPr>
          <w:rFonts w:eastAsia="SimSun" w:cs="Calibri"/>
          <w:b w:val="0"/>
          <w:szCs w:val="22"/>
          <w:lang w:val="ru-RU"/>
        </w:rPr>
      </w:pPr>
      <w:r w:rsidRPr="00C728DC">
        <w:rPr>
          <w:rFonts w:eastAsia="SimSun"/>
          <w:lang w:val="ru-RU"/>
        </w:rPr>
        <w:t>Направления</w:t>
      </w:r>
      <w:r w:rsidRPr="009B0600">
        <w:rPr>
          <w:rFonts w:eastAsia="SimSun" w:cs="Calibri"/>
          <w:szCs w:val="22"/>
          <w:lang w:val="ru-RU"/>
        </w:rPr>
        <w:t xml:space="preserve"> деятельности ВВУИО</w:t>
      </w:r>
    </w:p>
    <w:p w14:paraId="09A5EDE6" w14:textId="77777777" w:rsidR="009B0600" w:rsidRPr="009B0600" w:rsidRDefault="009B0600" w:rsidP="00C728DC">
      <w:pPr>
        <w:pStyle w:val="enumlev1"/>
        <w:rPr>
          <w:rFonts w:eastAsia="SimSun" w:cs="Calibri"/>
          <w:color w:val="000000"/>
          <w:szCs w:val="22"/>
          <w:lang w:val="ru-RU"/>
        </w:rPr>
      </w:pPr>
      <w:r w:rsidRPr="009B0600">
        <w:rPr>
          <w:rFonts w:eastAsia="SimSun" w:cs="Calibri"/>
          <w:szCs w:val="22"/>
          <w:lang w:val="ru-RU"/>
        </w:rPr>
        <w:t>–</w:t>
      </w:r>
      <w:r w:rsidRPr="009B0600">
        <w:rPr>
          <w:rFonts w:eastAsia="SimSun" w:cs="Calibri"/>
          <w:szCs w:val="22"/>
          <w:lang w:val="ru-RU"/>
        </w:rPr>
        <w:tab/>
      </w:r>
      <w:r w:rsidRPr="009B0600">
        <w:rPr>
          <w:rFonts w:eastAsia="SimSun" w:cs="Calibri"/>
          <w:color w:val="000000"/>
          <w:szCs w:val="22"/>
          <w:lang w:val="ru-RU"/>
        </w:rPr>
        <w:t xml:space="preserve">C2, </w:t>
      </w:r>
      <w:r w:rsidRPr="00C728DC">
        <w:rPr>
          <w:lang w:val="ru-RU"/>
        </w:rPr>
        <w:t>C3</w:t>
      </w:r>
      <w:r w:rsidRPr="009B0600">
        <w:rPr>
          <w:rFonts w:eastAsia="SimSun" w:cs="Calibri"/>
          <w:color w:val="000000"/>
          <w:szCs w:val="22"/>
          <w:lang w:val="ru-RU"/>
        </w:rPr>
        <w:t>, C6, C7, C11.</w:t>
      </w:r>
    </w:p>
    <w:p w14:paraId="3DA441A2" w14:textId="4C38768A" w:rsidR="009B0600" w:rsidRPr="009B0600" w:rsidRDefault="009B0600" w:rsidP="00C728DC">
      <w:pPr>
        <w:pStyle w:val="Headingb"/>
        <w:rPr>
          <w:rFonts w:eastAsia="SimSun"/>
          <w:lang w:val="ru-RU"/>
        </w:rPr>
      </w:pPr>
      <w:r w:rsidRPr="009B0600">
        <w:rPr>
          <w:rFonts w:eastAsia="SimSun"/>
          <w:lang w:val="ru-RU"/>
        </w:rPr>
        <w:t>Цели в области устойчивого развития</w:t>
      </w:r>
    </w:p>
    <w:p w14:paraId="6176BCB7" w14:textId="77777777" w:rsidR="009B0600" w:rsidRPr="009B0600" w:rsidRDefault="009B0600" w:rsidP="00C728DC">
      <w:pPr>
        <w:pStyle w:val="enumlev1"/>
        <w:rPr>
          <w:rFonts w:eastAsia="SimSun" w:cs="Calibri"/>
          <w:szCs w:val="22"/>
          <w:lang w:val="ru-RU"/>
        </w:rPr>
      </w:pPr>
      <w:r w:rsidRPr="009B0600">
        <w:rPr>
          <w:rFonts w:cs="Calibri"/>
          <w:szCs w:val="22"/>
          <w:lang w:val="ru-RU"/>
        </w:rPr>
        <w:t>–</w:t>
      </w:r>
      <w:r w:rsidRPr="009B0600">
        <w:rPr>
          <w:rFonts w:cs="Calibri"/>
          <w:szCs w:val="22"/>
          <w:lang w:val="ru-RU"/>
        </w:rPr>
        <w:tab/>
        <w:t>2</w:t>
      </w:r>
      <w:r w:rsidRPr="009B0600">
        <w:rPr>
          <w:rFonts w:eastAsia="SimSun" w:cs="Calibri"/>
          <w:szCs w:val="22"/>
          <w:lang w:val="ru-RU"/>
        </w:rPr>
        <w:t>, 9, 11, 13, 14, 15.</w:t>
      </w:r>
    </w:p>
    <w:p w14:paraId="5072B55F" w14:textId="77777777" w:rsidR="00D97142" w:rsidRPr="009B0600" w:rsidRDefault="00D97142" w:rsidP="00C728DC">
      <w:pPr>
        <w:spacing w:before="480"/>
        <w:jc w:val="center"/>
        <w:rPr>
          <w:rFonts w:cs="Calibri"/>
          <w:szCs w:val="22"/>
        </w:rPr>
      </w:pPr>
      <w:r w:rsidRPr="009B0600">
        <w:rPr>
          <w:rFonts w:cs="Calibri"/>
          <w:szCs w:val="22"/>
        </w:rPr>
        <w:t>______________</w:t>
      </w:r>
    </w:p>
    <w:sectPr w:rsidR="00D97142" w:rsidRPr="009B0600" w:rsidSect="00E5492B">
      <w:headerReference w:type="default" r:id="rId14"/>
      <w:footerReference w:type="first" r:id="rId15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65FEC" w14:textId="77777777" w:rsidR="00B66029" w:rsidRDefault="00B66029">
      <w:r>
        <w:separator/>
      </w:r>
    </w:p>
  </w:endnote>
  <w:endnote w:type="continuationSeparator" w:id="0">
    <w:p w14:paraId="1007FD3D" w14:textId="77777777" w:rsidR="00B66029" w:rsidRDefault="00B66029">
      <w:r>
        <w:continuationSeparator/>
      </w:r>
    </w:p>
  </w:endnote>
  <w:endnote w:type="continuationNotice" w:id="1">
    <w:p w14:paraId="71E43E2A" w14:textId="77777777" w:rsidR="00B66029" w:rsidRDefault="00B6602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>Эл. 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99B6F" w14:textId="77777777" w:rsidR="00B66029" w:rsidRDefault="00B66029">
      <w:r>
        <w:t>____________________</w:t>
      </w:r>
    </w:p>
  </w:footnote>
  <w:footnote w:type="continuationSeparator" w:id="0">
    <w:p w14:paraId="4BA73937" w14:textId="77777777" w:rsidR="00B66029" w:rsidRDefault="00B66029">
      <w:r>
        <w:continuationSeparator/>
      </w:r>
    </w:p>
  </w:footnote>
  <w:footnote w:type="continuationNotice" w:id="1">
    <w:p w14:paraId="741697AD" w14:textId="77777777" w:rsidR="00B66029" w:rsidRDefault="00B6602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32690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6D0670" w14:textId="422F9883" w:rsidR="00161DCB" w:rsidRDefault="00161DCB">
        <w:pPr>
          <w:pStyle w:val="Header"/>
        </w:pPr>
        <w:r>
          <w:rPr>
            <w:lang w:val="ru-RU"/>
          </w:rP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  <w:lang w:val="ru-RU"/>
          </w:rPr>
          <w:t xml:space="preserve"> -</w:t>
        </w:r>
      </w:p>
    </w:sdtContent>
  </w:sdt>
  <w:p w14:paraId="215C5D8D" w14:textId="4673970B" w:rsidR="00FA46A0" w:rsidRPr="00414B3C" w:rsidRDefault="00161DCB" w:rsidP="00414B3C">
    <w:pPr>
      <w:pStyle w:val="Header"/>
      <w:rPr>
        <w:lang w:val="ru-RU"/>
      </w:rPr>
    </w:pPr>
    <w:r w:rsidRPr="00414B3C">
      <w:rPr>
        <w:lang w:val="ru-RU"/>
      </w:rPr>
      <w:t>Циркуляр</w:t>
    </w:r>
    <w:r w:rsidR="00F62A31">
      <w:rPr>
        <w:lang w:val="ru-RU"/>
      </w:rPr>
      <w:t xml:space="preserve"> 11</w:t>
    </w:r>
    <w:r>
      <w:rPr>
        <w:lang w:val="ru-RU"/>
      </w:rPr>
      <w:t>7</w:t>
    </w:r>
    <w:r w:rsidRPr="00414B3C"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4D33662"/>
    <w:multiLevelType w:val="hybridMultilevel"/>
    <w:tmpl w:val="F482D9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DCD1C50"/>
    <w:multiLevelType w:val="hybridMultilevel"/>
    <w:tmpl w:val="70947C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60FA"/>
    <w:multiLevelType w:val="hybridMultilevel"/>
    <w:tmpl w:val="28222B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9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253E4C"/>
    <w:multiLevelType w:val="hybridMultilevel"/>
    <w:tmpl w:val="3DECE960"/>
    <w:lvl w:ilvl="0" w:tplc="048E1A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4" w15:restartNumberingAfterBreak="0">
    <w:nsid w:val="3300367E"/>
    <w:multiLevelType w:val="hybridMultilevel"/>
    <w:tmpl w:val="02802122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1F4D04"/>
    <w:multiLevelType w:val="hybridMultilevel"/>
    <w:tmpl w:val="70947C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32D04"/>
    <w:multiLevelType w:val="hybridMultilevel"/>
    <w:tmpl w:val="404C2B98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7B42C9A">
      <w:start w:val="1"/>
      <w:numFmt w:val="bullet"/>
      <w:lvlText w:val="-"/>
      <w:lvlJc w:val="left"/>
      <w:pPr>
        <w:ind w:left="1880" w:hanging="440"/>
      </w:pPr>
      <w:rPr>
        <w:rFonts w:ascii="Times New Roman" w:eastAsiaTheme="minorEastAsia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033C03"/>
    <w:multiLevelType w:val="hybridMultilevel"/>
    <w:tmpl w:val="ADF2CC7C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710112"/>
    <w:multiLevelType w:val="hybridMultilevel"/>
    <w:tmpl w:val="765AE632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1E4D7B"/>
    <w:multiLevelType w:val="hybridMultilevel"/>
    <w:tmpl w:val="C3682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3E7C77"/>
    <w:multiLevelType w:val="hybridMultilevel"/>
    <w:tmpl w:val="55228176"/>
    <w:lvl w:ilvl="0" w:tplc="C308898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D43A5C"/>
    <w:multiLevelType w:val="hybridMultilevel"/>
    <w:tmpl w:val="13BC7334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6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E200A3"/>
    <w:multiLevelType w:val="hybridMultilevel"/>
    <w:tmpl w:val="CCE286F0"/>
    <w:lvl w:ilvl="0" w:tplc="DFD0AD1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D3381"/>
    <w:multiLevelType w:val="hybridMultilevel"/>
    <w:tmpl w:val="2F4256CA"/>
    <w:lvl w:ilvl="0" w:tplc="0E5AEE0E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E26856"/>
    <w:multiLevelType w:val="hybridMultilevel"/>
    <w:tmpl w:val="BD8E9DB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0C0E7C"/>
    <w:multiLevelType w:val="hybridMultilevel"/>
    <w:tmpl w:val="9A228B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7"/>
  </w:num>
  <w:num w:numId="12" w16cid:durableId="534386655">
    <w:abstractNumId w:val="33"/>
  </w:num>
  <w:num w:numId="13" w16cid:durableId="259024582">
    <w:abstractNumId w:val="34"/>
  </w:num>
  <w:num w:numId="14" w16cid:durableId="68507006">
    <w:abstractNumId w:val="37"/>
  </w:num>
  <w:num w:numId="15" w16cid:durableId="1523322403">
    <w:abstractNumId w:val="36"/>
  </w:num>
  <w:num w:numId="16" w16cid:durableId="1341545519">
    <w:abstractNumId w:val="13"/>
  </w:num>
  <w:num w:numId="17" w16cid:durableId="663900088">
    <w:abstractNumId w:val="10"/>
  </w:num>
  <w:num w:numId="18" w16cid:durableId="1883980613">
    <w:abstractNumId w:val="35"/>
  </w:num>
  <w:num w:numId="19" w16cid:durableId="1523931048">
    <w:abstractNumId w:val="44"/>
  </w:num>
  <w:num w:numId="20" w16cid:durableId="496574885">
    <w:abstractNumId w:val="16"/>
  </w:num>
  <w:num w:numId="21" w16cid:durableId="241914137">
    <w:abstractNumId w:val="32"/>
  </w:num>
  <w:num w:numId="22" w16cid:durableId="725489192">
    <w:abstractNumId w:val="23"/>
  </w:num>
  <w:num w:numId="23" w16cid:durableId="1985118205">
    <w:abstractNumId w:val="22"/>
  </w:num>
  <w:num w:numId="24" w16cid:durableId="2083986707">
    <w:abstractNumId w:val="19"/>
  </w:num>
  <w:num w:numId="25" w16cid:durableId="1505509332">
    <w:abstractNumId w:val="15"/>
  </w:num>
  <w:num w:numId="26" w16cid:durableId="150218594">
    <w:abstractNumId w:val="18"/>
  </w:num>
  <w:num w:numId="27" w16cid:durableId="942616608">
    <w:abstractNumId w:val="43"/>
  </w:num>
  <w:num w:numId="28" w16cid:durableId="334769545">
    <w:abstractNumId w:val="20"/>
  </w:num>
  <w:num w:numId="29" w16cid:durableId="1559976025">
    <w:abstractNumId w:val="40"/>
  </w:num>
  <w:num w:numId="30" w16cid:durableId="636839988">
    <w:abstractNumId w:val="39"/>
  </w:num>
  <w:num w:numId="31" w16cid:durableId="131606095">
    <w:abstractNumId w:val="30"/>
  </w:num>
  <w:num w:numId="32" w16cid:durableId="167982007">
    <w:abstractNumId w:val="29"/>
  </w:num>
  <w:num w:numId="33" w16cid:durableId="1660573812">
    <w:abstractNumId w:val="38"/>
  </w:num>
  <w:num w:numId="34" w16cid:durableId="305475415">
    <w:abstractNumId w:val="12"/>
  </w:num>
  <w:num w:numId="35" w16cid:durableId="2023318661">
    <w:abstractNumId w:val="21"/>
  </w:num>
  <w:num w:numId="36" w16cid:durableId="1112162258">
    <w:abstractNumId w:val="25"/>
  </w:num>
  <w:num w:numId="37" w16cid:durableId="1516963297">
    <w:abstractNumId w:val="26"/>
  </w:num>
  <w:num w:numId="38" w16cid:durableId="264122373">
    <w:abstractNumId w:val="11"/>
  </w:num>
  <w:num w:numId="39" w16cid:durableId="2039311943">
    <w:abstractNumId w:val="27"/>
  </w:num>
  <w:num w:numId="40" w16cid:durableId="831801695">
    <w:abstractNumId w:val="42"/>
  </w:num>
  <w:num w:numId="41" w16cid:durableId="971667283">
    <w:abstractNumId w:val="24"/>
  </w:num>
  <w:num w:numId="42" w16cid:durableId="2124961139">
    <w:abstractNumId w:val="41"/>
  </w:num>
  <w:num w:numId="43" w16cid:durableId="252864232">
    <w:abstractNumId w:val="14"/>
  </w:num>
  <w:num w:numId="44" w16cid:durableId="1216116962">
    <w:abstractNumId w:val="28"/>
  </w:num>
  <w:num w:numId="45" w16cid:durableId="3058659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06D93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1F5"/>
    <w:rsid w:val="00042566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4CEB"/>
    <w:rsid w:val="000D56F6"/>
    <w:rsid w:val="000E1902"/>
    <w:rsid w:val="000E53D3"/>
    <w:rsid w:val="000E553A"/>
    <w:rsid w:val="000E7DF3"/>
    <w:rsid w:val="000F02FA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27894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1DCB"/>
    <w:rsid w:val="00163E7E"/>
    <w:rsid w:val="00164CB5"/>
    <w:rsid w:val="00170769"/>
    <w:rsid w:val="00171788"/>
    <w:rsid w:val="001734DA"/>
    <w:rsid w:val="001737DD"/>
    <w:rsid w:val="001748C2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1F33"/>
    <w:rsid w:val="00212DEB"/>
    <w:rsid w:val="0022077D"/>
    <w:rsid w:val="002210A5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561FE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0BB"/>
    <w:rsid w:val="002938D0"/>
    <w:rsid w:val="00293B95"/>
    <w:rsid w:val="00295B3B"/>
    <w:rsid w:val="00295D9C"/>
    <w:rsid w:val="002A0477"/>
    <w:rsid w:val="002A4E1E"/>
    <w:rsid w:val="002A70BD"/>
    <w:rsid w:val="002A71F5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222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37A0"/>
    <w:rsid w:val="004958BC"/>
    <w:rsid w:val="00495F33"/>
    <w:rsid w:val="00496705"/>
    <w:rsid w:val="00496B4F"/>
    <w:rsid w:val="004A0283"/>
    <w:rsid w:val="004A053F"/>
    <w:rsid w:val="004A1F35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168C4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800B6"/>
    <w:rsid w:val="0058095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C17B4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CBD"/>
    <w:rsid w:val="00615856"/>
    <w:rsid w:val="006203F1"/>
    <w:rsid w:val="00621476"/>
    <w:rsid w:val="00623A04"/>
    <w:rsid w:val="00626153"/>
    <w:rsid w:val="0062713A"/>
    <w:rsid w:val="00627913"/>
    <w:rsid w:val="00627DCB"/>
    <w:rsid w:val="006301E0"/>
    <w:rsid w:val="00630D2B"/>
    <w:rsid w:val="00630EE5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52860"/>
    <w:rsid w:val="00656FEA"/>
    <w:rsid w:val="00657C07"/>
    <w:rsid w:val="00660C59"/>
    <w:rsid w:val="006618E8"/>
    <w:rsid w:val="006639A6"/>
    <w:rsid w:val="00665C89"/>
    <w:rsid w:val="0067102E"/>
    <w:rsid w:val="00672126"/>
    <w:rsid w:val="006726B1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12FE"/>
    <w:rsid w:val="007B47FA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264A"/>
    <w:rsid w:val="00895A32"/>
    <w:rsid w:val="00896363"/>
    <w:rsid w:val="008A0719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55149"/>
    <w:rsid w:val="00960562"/>
    <w:rsid w:val="00961CD3"/>
    <w:rsid w:val="00961E27"/>
    <w:rsid w:val="00962446"/>
    <w:rsid w:val="00962CD2"/>
    <w:rsid w:val="00963900"/>
    <w:rsid w:val="00965BB3"/>
    <w:rsid w:val="00972396"/>
    <w:rsid w:val="00972BB4"/>
    <w:rsid w:val="009747C5"/>
    <w:rsid w:val="0098005C"/>
    <w:rsid w:val="0098279E"/>
    <w:rsid w:val="0098293D"/>
    <w:rsid w:val="00983CAB"/>
    <w:rsid w:val="0098412F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0600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0A48"/>
    <w:rsid w:val="00A7206B"/>
    <w:rsid w:val="00A72C30"/>
    <w:rsid w:val="00A76CBE"/>
    <w:rsid w:val="00A80691"/>
    <w:rsid w:val="00A81FB3"/>
    <w:rsid w:val="00A82DFD"/>
    <w:rsid w:val="00A83312"/>
    <w:rsid w:val="00A83943"/>
    <w:rsid w:val="00A86B7E"/>
    <w:rsid w:val="00A86E4C"/>
    <w:rsid w:val="00A901EC"/>
    <w:rsid w:val="00A903A5"/>
    <w:rsid w:val="00A965B6"/>
    <w:rsid w:val="00A96AAE"/>
    <w:rsid w:val="00AA29CA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2233"/>
    <w:rsid w:val="00B34475"/>
    <w:rsid w:val="00B360C1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029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746"/>
    <w:rsid w:val="00B85E4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2053"/>
    <w:rsid w:val="00BF3CB3"/>
    <w:rsid w:val="00BF44DD"/>
    <w:rsid w:val="00BF482B"/>
    <w:rsid w:val="00BF4C4E"/>
    <w:rsid w:val="00BF515D"/>
    <w:rsid w:val="00BF51D2"/>
    <w:rsid w:val="00C02E9A"/>
    <w:rsid w:val="00C0318F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5AD7"/>
    <w:rsid w:val="00C60EDA"/>
    <w:rsid w:val="00C61857"/>
    <w:rsid w:val="00C624C6"/>
    <w:rsid w:val="00C62B05"/>
    <w:rsid w:val="00C63DAA"/>
    <w:rsid w:val="00C659D7"/>
    <w:rsid w:val="00C71412"/>
    <w:rsid w:val="00C728DC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63AF"/>
    <w:rsid w:val="00D07672"/>
    <w:rsid w:val="00D104AF"/>
    <w:rsid w:val="00D1104A"/>
    <w:rsid w:val="00D12D3A"/>
    <w:rsid w:val="00D1448B"/>
    <w:rsid w:val="00D1562C"/>
    <w:rsid w:val="00D15B9A"/>
    <w:rsid w:val="00D15BCB"/>
    <w:rsid w:val="00D20856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66B9"/>
    <w:rsid w:val="00D97142"/>
    <w:rsid w:val="00D9748B"/>
    <w:rsid w:val="00DA183D"/>
    <w:rsid w:val="00DA2A4B"/>
    <w:rsid w:val="00DA498B"/>
    <w:rsid w:val="00DB0915"/>
    <w:rsid w:val="00DB13EB"/>
    <w:rsid w:val="00DB1638"/>
    <w:rsid w:val="00DB1FEC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2125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92B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2314"/>
    <w:rsid w:val="00F2245D"/>
    <w:rsid w:val="00F255FB"/>
    <w:rsid w:val="00F25636"/>
    <w:rsid w:val="00F26149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2A3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B0DE2"/>
    <w:rsid w:val="00FB165E"/>
    <w:rsid w:val="00FB21F8"/>
    <w:rsid w:val="00FB2D9A"/>
    <w:rsid w:val="00FB3D51"/>
    <w:rsid w:val="00FB42AA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7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BF51D2"/>
    <w:pPr>
      <w:keepNext/>
      <w:keepLines/>
      <w:spacing w:before="360"/>
      <w:ind w:left="1134" w:hanging="113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BF51D2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rsid w:val="00C728DC"/>
    <w:pPr>
      <w:spacing w:before="80"/>
      <w:ind w:left="794" w:hanging="794"/>
      <w:jc w:val="left"/>
    </w:pPr>
  </w:style>
  <w:style w:type="paragraph" w:customStyle="1" w:styleId="enumlev2">
    <w:name w:val="enumlev2"/>
    <w:basedOn w:val="enumlev1"/>
    <w:rsid w:val="00D1448B"/>
    <w:pPr>
      <w:ind w:left="1361" w:hanging="56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"/>
    <w:rsid w:val="00D966B9"/>
    <w:rPr>
      <w:rFonts w:ascii="Calibri" w:hAnsi="Calibri"/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,CEO_Hyperlink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C728DC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A71F5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AnnexNotitle">
    <w:name w:val="Annex_No &amp; title"/>
    <w:basedOn w:val="Normal"/>
    <w:next w:val="Normal"/>
    <w:rsid w:val="002A71F5"/>
    <w:pPr>
      <w:keepNext/>
      <w:keepLines/>
      <w:spacing w:before="480"/>
      <w:jc w:val="center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ITU-T/workprog/wp_search.aspx?sp=18&amp;q=11/2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bsg20@itu.i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2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1</TotalTime>
  <Pages>4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9303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Maguire, Mairéad</cp:lastModifiedBy>
  <cp:revision>2</cp:revision>
  <dcterms:created xsi:type="dcterms:W3CDTF">2026-04-08T14:21:00Z</dcterms:created>
  <dcterms:modified xsi:type="dcterms:W3CDTF">2026-04-08T14:21:00Z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