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321CF2" w14:paraId="3FDAE1F3" w14:textId="77777777" w:rsidTr="003F083D">
        <w:trPr>
          <w:cantSplit/>
        </w:trPr>
        <w:tc>
          <w:tcPr>
            <w:tcW w:w="0" w:type="auto"/>
            <w:vAlign w:val="center"/>
          </w:tcPr>
          <w:p w14:paraId="3DE42CAA" w14:textId="77777777" w:rsidR="00EF6A23" w:rsidRPr="00321CF2" w:rsidRDefault="00EF6A23" w:rsidP="00D14F31">
            <w:pPr>
              <w:tabs>
                <w:tab w:val="right" w:pos="8732"/>
              </w:tabs>
              <w:spacing w:before="0"/>
              <w:rPr>
                <w:b/>
                <w:bCs/>
                <w:iCs/>
                <w:color w:val="FFFFFF"/>
                <w:sz w:val="30"/>
                <w:szCs w:val="30"/>
              </w:rPr>
            </w:pPr>
            <w:r w:rsidRPr="00321CF2">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321CF2" w:rsidRDefault="00EF6A23" w:rsidP="00EF6A23">
            <w:pPr>
              <w:spacing w:before="0"/>
              <w:rPr>
                <w:rFonts w:cs="Times New Roman Bold"/>
                <w:b/>
                <w:bCs/>
                <w:iCs/>
                <w:smallCaps/>
                <w:sz w:val="34"/>
                <w:szCs w:val="34"/>
              </w:rPr>
            </w:pPr>
            <w:r w:rsidRPr="00321CF2">
              <w:rPr>
                <w:rFonts w:cs="Times New Roman Bold"/>
                <w:b/>
                <w:bCs/>
                <w:iCs/>
                <w:smallCaps/>
                <w:sz w:val="34"/>
                <w:szCs w:val="34"/>
              </w:rPr>
              <w:t>Union internationale des télécommunications</w:t>
            </w:r>
          </w:p>
          <w:p w14:paraId="089E66D0" w14:textId="77777777" w:rsidR="00EF6A23" w:rsidRPr="00321CF2" w:rsidRDefault="00EF6A23" w:rsidP="00EF6A23">
            <w:pPr>
              <w:spacing w:before="0"/>
              <w:rPr>
                <w:color w:val="FFFFFF"/>
                <w:sz w:val="26"/>
                <w:szCs w:val="26"/>
              </w:rPr>
            </w:pPr>
            <w:r w:rsidRPr="00321CF2">
              <w:rPr>
                <w:rFonts w:cs="Times New Roman Bold"/>
                <w:b/>
                <w:bCs/>
                <w:iCs/>
                <w:smallCaps/>
                <w:sz w:val="28"/>
                <w:szCs w:val="28"/>
              </w:rPr>
              <w:t>B</w:t>
            </w:r>
            <w:r w:rsidRPr="00321CF2">
              <w:rPr>
                <w:b/>
                <w:bCs/>
                <w:iCs/>
                <w:smallCaps/>
                <w:sz w:val="28"/>
                <w:szCs w:val="28"/>
              </w:rPr>
              <w:t>ureau de la Normalisation des Télécommunications</w:t>
            </w:r>
          </w:p>
        </w:tc>
      </w:tr>
      <w:tr w:rsidR="00036F4F" w:rsidRPr="00321CF2" w14:paraId="18B25741" w14:textId="77777777" w:rsidTr="00307FB4">
        <w:trPr>
          <w:cantSplit/>
        </w:trPr>
        <w:tc>
          <w:tcPr>
            <w:tcW w:w="0" w:type="auto"/>
          </w:tcPr>
          <w:p w14:paraId="4B1AFD72" w14:textId="77777777" w:rsidR="00036F4F" w:rsidRPr="00321CF2" w:rsidRDefault="00036F4F" w:rsidP="00A5280F">
            <w:pPr>
              <w:tabs>
                <w:tab w:val="left" w:pos="4111"/>
              </w:tabs>
              <w:spacing w:before="10"/>
              <w:ind w:left="57"/>
            </w:pPr>
          </w:p>
        </w:tc>
        <w:tc>
          <w:tcPr>
            <w:tcW w:w="3399" w:type="dxa"/>
          </w:tcPr>
          <w:p w14:paraId="6579D3E8" w14:textId="77777777" w:rsidR="00036F4F" w:rsidRPr="00321CF2" w:rsidRDefault="00036F4F" w:rsidP="00A5280F">
            <w:pPr>
              <w:tabs>
                <w:tab w:val="left" w:pos="4111"/>
              </w:tabs>
              <w:spacing w:before="10"/>
              <w:ind w:left="57"/>
              <w:rPr>
                <w:b/>
              </w:rPr>
            </w:pPr>
          </w:p>
        </w:tc>
        <w:tc>
          <w:tcPr>
            <w:tcW w:w="5051" w:type="dxa"/>
          </w:tcPr>
          <w:p w14:paraId="0DC34ECA" w14:textId="78A41383" w:rsidR="00036F4F" w:rsidRPr="00321CF2" w:rsidRDefault="00036F4F" w:rsidP="00A5645A">
            <w:pPr>
              <w:tabs>
                <w:tab w:val="clear" w:pos="794"/>
                <w:tab w:val="clear" w:pos="1191"/>
                <w:tab w:val="clear" w:pos="1588"/>
                <w:tab w:val="clear" w:pos="1985"/>
                <w:tab w:val="left" w:pos="284"/>
              </w:tabs>
              <w:spacing w:after="120"/>
              <w:ind w:left="284" w:hanging="227"/>
            </w:pPr>
            <w:r w:rsidRPr="00321CF2">
              <w:t>Genève, le</w:t>
            </w:r>
            <w:r w:rsidR="004419E9" w:rsidRPr="00321CF2">
              <w:t xml:space="preserve"> </w:t>
            </w:r>
            <w:r w:rsidR="00C924FB" w:rsidRPr="00321CF2">
              <w:rPr>
                <w:color w:val="000000"/>
              </w:rPr>
              <w:t>16 février 2026</w:t>
            </w:r>
          </w:p>
        </w:tc>
      </w:tr>
      <w:tr w:rsidR="00C924FB" w:rsidRPr="00321CF2" w14:paraId="16CDDFEF" w14:textId="77777777" w:rsidTr="00307FB4">
        <w:trPr>
          <w:cantSplit/>
          <w:trHeight w:val="340"/>
        </w:trPr>
        <w:tc>
          <w:tcPr>
            <w:tcW w:w="0" w:type="auto"/>
          </w:tcPr>
          <w:p w14:paraId="3EFF375D" w14:textId="58556577" w:rsidR="00C924FB" w:rsidRPr="00321CF2" w:rsidRDefault="00C924FB" w:rsidP="00307FB4">
            <w:pPr>
              <w:tabs>
                <w:tab w:val="left" w:pos="4111"/>
              </w:tabs>
              <w:spacing w:before="10"/>
              <w:ind w:left="57"/>
              <w:rPr>
                <w:b/>
                <w:bCs/>
              </w:rPr>
            </w:pPr>
            <w:r w:rsidRPr="00321CF2">
              <w:rPr>
                <w:b/>
                <w:bCs/>
              </w:rPr>
              <w:t>Réf.:</w:t>
            </w:r>
          </w:p>
        </w:tc>
        <w:tc>
          <w:tcPr>
            <w:tcW w:w="3399" w:type="dxa"/>
          </w:tcPr>
          <w:p w14:paraId="5FFBBC9B" w14:textId="27E96BEA" w:rsidR="00C924FB" w:rsidRPr="00321CF2" w:rsidRDefault="00C924FB" w:rsidP="00A5280F">
            <w:pPr>
              <w:tabs>
                <w:tab w:val="left" w:pos="4111"/>
              </w:tabs>
              <w:spacing w:before="10"/>
              <w:ind w:left="57"/>
              <w:rPr>
                <w:b/>
              </w:rPr>
            </w:pPr>
            <w:r w:rsidRPr="00321CF2">
              <w:rPr>
                <w:b/>
              </w:rPr>
              <w:t>Circulaire TSB 117</w:t>
            </w:r>
          </w:p>
          <w:p w14:paraId="577F6DA2" w14:textId="1944121E" w:rsidR="00C924FB" w:rsidRPr="00321CF2" w:rsidRDefault="00C924FB" w:rsidP="00307FB4">
            <w:pPr>
              <w:tabs>
                <w:tab w:val="left" w:pos="4111"/>
              </w:tabs>
              <w:spacing w:before="10"/>
              <w:ind w:left="57"/>
              <w:rPr>
                <w:b/>
                <w:bCs/>
              </w:rPr>
            </w:pPr>
            <w:r w:rsidRPr="00321CF2">
              <w:rPr>
                <w:color w:val="000000"/>
                <w:szCs w:val="22"/>
              </w:rPr>
              <w:t>CE 20/CB</w:t>
            </w:r>
          </w:p>
        </w:tc>
        <w:tc>
          <w:tcPr>
            <w:tcW w:w="5051" w:type="dxa"/>
            <w:vMerge w:val="restart"/>
          </w:tcPr>
          <w:p w14:paraId="35271D8E" w14:textId="71EEE78C" w:rsidR="00C924FB" w:rsidRPr="00321CF2" w:rsidRDefault="00C924FB" w:rsidP="00307FB4">
            <w:pPr>
              <w:tabs>
                <w:tab w:val="left" w:pos="4111"/>
              </w:tabs>
              <w:spacing w:before="0"/>
              <w:ind w:left="426" w:hanging="426"/>
            </w:pPr>
            <w:bookmarkStart w:id="0" w:name="Addressee_F"/>
            <w:bookmarkEnd w:id="0"/>
            <w:r w:rsidRPr="00321CF2">
              <w:t>–</w:t>
            </w:r>
            <w:r w:rsidRPr="00321CF2">
              <w:tab/>
              <w:t>Aux administrations des États Membres de l'Union;</w:t>
            </w:r>
          </w:p>
          <w:p w14:paraId="6CBD0F54" w14:textId="77777777" w:rsidR="00C924FB" w:rsidRPr="00321CF2" w:rsidRDefault="00C924FB" w:rsidP="00307FB4">
            <w:pPr>
              <w:tabs>
                <w:tab w:val="left" w:pos="4111"/>
              </w:tabs>
              <w:spacing w:before="0"/>
              <w:ind w:left="426" w:hanging="426"/>
            </w:pPr>
            <w:r w:rsidRPr="00321CF2">
              <w:t>–</w:t>
            </w:r>
            <w:r w:rsidRPr="00321CF2">
              <w:tab/>
            </w:r>
            <w:r w:rsidRPr="00321CF2">
              <w:rPr>
                <w:color w:val="000000"/>
                <w:szCs w:val="24"/>
              </w:rPr>
              <w:t>À l'État de Palestine</w:t>
            </w:r>
            <w:r w:rsidRPr="00321CF2">
              <w:rPr>
                <w:color w:val="000000"/>
                <w:szCs w:val="24"/>
              </w:rPr>
              <w:br/>
              <w:t>(Résolution 99 (Rév. Dubaï, 2018))</w:t>
            </w:r>
          </w:p>
          <w:p w14:paraId="2C02060C" w14:textId="77777777" w:rsidR="00C924FB" w:rsidRPr="00321CF2" w:rsidRDefault="00C924FB" w:rsidP="00C924FB">
            <w:pPr>
              <w:tabs>
                <w:tab w:val="clear" w:pos="794"/>
                <w:tab w:val="left" w:pos="226"/>
                <w:tab w:val="left" w:pos="4111"/>
              </w:tabs>
              <w:ind w:left="226" w:hanging="226"/>
              <w:rPr>
                <w:b/>
                <w:bCs/>
              </w:rPr>
            </w:pPr>
            <w:r w:rsidRPr="00321CF2">
              <w:rPr>
                <w:b/>
                <w:bCs/>
              </w:rPr>
              <w:t>Copie:</w:t>
            </w:r>
          </w:p>
          <w:p w14:paraId="46FD41E7" w14:textId="76E00B08" w:rsidR="00C924FB" w:rsidRPr="00321CF2" w:rsidRDefault="00C924FB" w:rsidP="00C924FB">
            <w:pPr>
              <w:tabs>
                <w:tab w:val="clear" w:pos="794"/>
                <w:tab w:val="left" w:pos="4111"/>
              </w:tabs>
              <w:spacing w:before="0"/>
              <w:ind w:left="426" w:hanging="426"/>
            </w:pPr>
            <w:r w:rsidRPr="00321CF2">
              <w:t>–</w:t>
            </w:r>
            <w:r w:rsidRPr="00321CF2">
              <w:tab/>
              <w:t>Aux Membres du Secteur de l'UIT-T;</w:t>
            </w:r>
          </w:p>
          <w:p w14:paraId="21E06C26" w14:textId="6E309FCB" w:rsidR="00C924FB" w:rsidRPr="00321CF2" w:rsidRDefault="00C924FB" w:rsidP="00C924FB">
            <w:pPr>
              <w:tabs>
                <w:tab w:val="clear" w:pos="794"/>
                <w:tab w:val="left" w:pos="4111"/>
              </w:tabs>
              <w:spacing w:before="0"/>
              <w:ind w:left="426" w:hanging="426"/>
            </w:pPr>
            <w:r w:rsidRPr="00321CF2">
              <w:t>–</w:t>
            </w:r>
            <w:r w:rsidRPr="00321CF2">
              <w:tab/>
              <w:t>Aux Associés de l'UIT-T participant aux travaux de la Commission d'études 20;</w:t>
            </w:r>
          </w:p>
          <w:p w14:paraId="39E8965D" w14:textId="19FD946A" w:rsidR="00C924FB" w:rsidRPr="00321CF2" w:rsidRDefault="00C924FB" w:rsidP="00C924FB">
            <w:pPr>
              <w:tabs>
                <w:tab w:val="clear" w:pos="794"/>
                <w:tab w:val="left" w:pos="4111"/>
              </w:tabs>
              <w:spacing w:before="0"/>
              <w:ind w:left="426" w:hanging="426"/>
            </w:pPr>
            <w:r w:rsidRPr="00321CF2">
              <w:t>–</w:t>
            </w:r>
            <w:r w:rsidRPr="00321CF2">
              <w:tab/>
              <w:t>Aux établissements universitaires participant aux travaux de l'UIT;</w:t>
            </w:r>
          </w:p>
          <w:p w14:paraId="64AED000" w14:textId="2ADD5377" w:rsidR="00C924FB" w:rsidRPr="00321CF2" w:rsidRDefault="00C924FB" w:rsidP="00C924FB">
            <w:pPr>
              <w:tabs>
                <w:tab w:val="clear" w:pos="794"/>
                <w:tab w:val="left" w:pos="4111"/>
              </w:tabs>
              <w:spacing w:before="0"/>
              <w:ind w:left="426" w:hanging="426"/>
            </w:pPr>
            <w:r w:rsidRPr="00321CF2">
              <w:t>–</w:t>
            </w:r>
            <w:r w:rsidRPr="00321CF2">
              <w:tab/>
              <w:t>Au Président et aux Vice-Présidents de la Commissions d'études 20 de l'UIT-T;</w:t>
            </w:r>
          </w:p>
          <w:p w14:paraId="216E8172" w14:textId="77777777" w:rsidR="00C924FB" w:rsidRPr="00321CF2" w:rsidRDefault="00C924FB" w:rsidP="00C924FB">
            <w:pPr>
              <w:tabs>
                <w:tab w:val="clear" w:pos="794"/>
                <w:tab w:val="left" w:pos="4111"/>
              </w:tabs>
              <w:spacing w:before="0"/>
              <w:ind w:left="426" w:hanging="426"/>
            </w:pPr>
            <w:r w:rsidRPr="00321CF2">
              <w:t>–</w:t>
            </w:r>
            <w:r w:rsidRPr="00321CF2">
              <w:tab/>
              <w:t>Au Directeur du Bureau de développement des télécommunications;</w:t>
            </w:r>
          </w:p>
          <w:p w14:paraId="461460AE" w14:textId="03470873" w:rsidR="00C924FB" w:rsidRPr="00321CF2" w:rsidRDefault="00C924FB" w:rsidP="00C924FB">
            <w:pPr>
              <w:tabs>
                <w:tab w:val="left" w:pos="4111"/>
              </w:tabs>
              <w:spacing w:before="0"/>
              <w:ind w:left="426" w:hanging="426"/>
            </w:pPr>
            <w:r w:rsidRPr="00321CF2">
              <w:t>–</w:t>
            </w:r>
            <w:r w:rsidRPr="00321CF2">
              <w:tab/>
              <w:t>Au Directeur du Bureau des radiocommunications</w:t>
            </w:r>
          </w:p>
        </w:tc>
      </w:tr>
      <w:tr w:rsidR="00C924FB" w:rsidRPr="00321CF2" w14:paraId="06A3F0E7" w14:textId="77777777" w:rsidTr="00307FB4">
        <w:trPr>
          <w:cantSplit/>
          <w:trHeight w:val="340"/>
        </w:trPr>
        <w:tc>
          <w:tcPr>
            <w:tcW w:w="0" w:type="auto"/>
          </w:tcPr>
          <w:p w14:paraId="5CF43A7B" w14:textId="1AE299F1" w:rsidR="00C924FB" w:rsidRPr="00321CF2" w:rsidRDefault="00C924FB" w:rsidP="00C924FB">
            <w:pPr>
              <w:tabs>
                <w:tab w:val="left" w:pos="4111"/>
              </w:tabs>
              <w:spacing w:before="10"/>
              <w:ind w:left="57"/>
              <w:rPr>
                <w:b/>
                <w:bCs/>
              </w:rPr>
            </w:pPr>
            <w:r w:rsidRPr="00321CF2">
              <w:rPr>
                <w:b/>
                <w:bCs/>
              </w:rPr>
              <w:t>Tél.:</w:t>
            </w:r>
          </w:p>
        </w:tc>
        <w:tc>
          <w:tcPr>
            <w:tcW w:w="3399" w:type="dxa"/>
          </w:tcPr>
          <w:p w14:paraId="2074781F" w14:textId="7D9B8836" w:rsidR="00C924FB" w:rsidRPr="00321CF2" w:rsidRDefault="00C924FB" w:rsidP="00C924FB">
            <w:pPr>
              <w:tabs>
                <w:tab w:val="left" w:pos="4111"/>
              </w:tabs>
              <w:spacing w:before="10"/>
              <w:ind w:left="57"/>
              <w:rPr>
                <w:b/>
              </w:rPr>
            </w:pPr>
            <w:r w:rsidRPr="00321CF2">
              <w:t xml:space="preserve">+41 </w:t>
            </w:r>
            <w:r w:rsidRPr="00321CF2">
              <w:rPr>
                <w:color w:val="000000"/>
                <w:szCs w:val="22"/>
              </w:rPr>
              <w:t>22 730 6301</w:t>
            </w:r>
          </w:p>
        </w:tc>
        <w:tc>
          <w:tcPr>
            <w:tcW w:w="5051" w:type="dxa"/>
            <w:vMerge/>
          </w:tcPr>
          <w:p w14:paraId="2F310545" w14:textId="67636F98" w:rsidR="00C924FB" w:rsidRPr="00321CF2" w:rsidRDefault="00C924FB" w:rsidP="00C924FB">
            <w:pPr>
              <w:tabs>
                <w:tab w:val="left" w:pos="4111"/>
              </w:tabs>
              <w:spacing w:before="0"/>
              <w:ind w:left="426" w:hanging="426"/>
            </w:pPr>
          </w:p>
        </w:tc>
      </w:tr>
      <w:tr w:rsidR="00C924FB" w:rsidRPr="00321CF2" w14:paraId="724FD23E" w14:textId="77777777" w:rsidTr="00307FB4">
        <w:trPr>
          <w:cantSplit/>
        </w:trPr>
        <w:tc>
          <w:tcPr>
            <w:tcW w:w="0" w:type="auto"/>
          </w:tcPr>
          <w:p w14:paraId="73149CCD" w14:textId="66965AF6" w:rsidR="00C924FB" w:rsidRPr="00321CF2" w:rsidRDefault="00C924FB" w:rsidP="00C924FB">
            <w:pPr>
              <w:tabs>
                <w:tab w:val="left" w:pos="4111"/>
              </w:tabs>
              <w:spacing w:before="10"/>
              <w:ind w:left="57"/>
              <w:rPr>
                <w:b/>
                <w:bCs/>
                <w:sz w:val="20"/>
              </w:rPr>
            </w:pPr>
            <w:r w:rsidRPr="00321CF2">
              <w:rPr>
                <w:b/>
                <w:bCs/>
              </w:rPr>
              <w:t>Télécopie:</w:t>
            </w:r>
          </w:p>
        </w:tc>
        <w:tc>
          <w:tcPr>
            <w:tcW w:w="3399" w:type="dxa"/>
          </w:tcPr>
          <w:p w14:paraId="78D06186" w14:textId="312C707A" w:rsidR="00C924FB" w:rsidRPr="00321CF2" w:rsidRDefault="00C924FB" w:rsidP="00C924FB">
            <w:pPr>
              <w:tabs>
                <w:tab w:val="left" w:pos="4111"/>
              </w:tabs>
              <w:spacing w:before="0"/>
              <w:ind w:left="57"/>
            </w:pPr>
            <w:r w:rsidRPr="00321CF2">
              <w:t>+41 22 730 5853</w:t>
            </w:r>
          </w:p>
        </w:tc>
        <w:tc>
          <w:tcPr>
            <w:tcW w:w="5051" w:type="dxa"/>
            <w:vMerge/>
          </w:tcPr>
          <w:p w14:paraId="6D3A5806" w14:textId="7F53E6BE" w:rsidR="00C924FB" w:rsidRPr="00321CF2" w:rsidRDefault="00C924FB" w:rsidP="00C924FB">
            <w:pPr>
              <w:tabs>
                <w:tab w:val="left" w:pos="4111"/>
              </w:tabs>
              <w:spacing w:before="0"/>
              <w:ind w:left="426" w:hanging="426"/>
              <w:rPr>
                <w:b/>
              </w:rPr>
            </w:pPr>
          </w:p>
        </w:tc>
      </w:tr>
      <w:tr w:rsidR="00C924FB" w:rsidRPr="00321CF2" w14:paraId="030F9AE5" w14:textId="77777777" w:rsidTr="00C924FB">
        <w:trPr>
          <w:cantSplit/>
          <w:trHeight w:val="74"/>
        </w:trPr>
        <w:tc>
          <w:tcPr>
            <w:tcW w:w="0" w:type="auto"/>
          </w:tcPr>
          <w:p w14:paraId="7B417C4C" w14:textId="692197A2" w:rsidR="00C924FB" w:rsidRPr="00321CF2" w:rsidRDefault="00C924FB" w:rsidP="00C924FB">
            <w:pPr>
              <w:tabs>
                <w:tab w:val="left" w:pos="4111"/>
              </w:tabs>
              <w:spacing w:before="10"/>
              <w:ind w:left="57"/>
              <w:rPr>
                <w:b/>
                <w:bCs/>
                <w:sz w:val="20"/>
              </w:rPr>
            </w:pPr>
            <w:r w:rsidRPr="00321CF2">
              <w:rPr>
                <w:b/>
                <w:bCs/>
              </w:rPr>
              <w:t>Courriel:</w:t>
            </w:r>
          </w:p>
        </w:tc>
        <w:tc>
          <w:tcPr>
            <w:tcW w:w="3399" w:type="dxa"/>
          </w:tcPr>
          <w:p w14:paraId="1A4A5F7B" w14:textId="3C6AD240" w:rsidR="00C924FB" w:rsidRPr="00321CF2" w:rsidRDefault="00C924FB" w:rsidP="00C924FB">
            <w:pPr>
              <w:tabs>
                <w:tab w:val="left" w:pos="4111"/>
              </w:tabs>
              <w:spacing w:before="0"/>
              <w:ind w:left="57"/>
            </w:pPr>
            <w:hyperlink r:id="rId9" w:history="1">
              <w:r w:rsidRPr="00321CF2">
                <w:rPr>
                  <w:rStyle w:val="Hyperlink"/>
                  <w:szCs w:val="22"/>
                </w:rPr>
                <w:t>tsbsg20@itu.int</w:t>
              </w:r>
            </w:hyperlink>
          </w:p>
        </w:tc>
        <w:tc>
          <w:tcPr>
            <w:tcW w:w="5051" w:type="dxa"/>
            <w:vMerge/>
          </w:tcPr>
          <w:p w14:paraId="323DAC81" w14:textId="5B2041E8" w:rsidR="00C924FB" w:rsidRPr="00321CF2" w:rsidRDefault="00C924FB" w:rsidP="00C924FB">
            <w:pPr>
              <w:tabs>
                <w:tab w:val="left" w:pos="4111"/>
              </w:tabs>
              <w:spacing w:before="0"/>
              <w:ind w:left="426" w:hanging="426"/>
              <w:rPr>
                <w:b/>
              </w:rPr>
            </w:pPr>
          </w:p>
        </w:tc>
      </w:tr>
      <w:tr w:rsidR="00C924FB" w:rsidRPr="00321CF2" w14:paraId="640FB6B9" w14:textId="77777777" w:rsidTr="00307FB4">
        <w:trPr>
          <w:cantSplit/>
        </w:trPr>
        <w:tc>
          <w:tcPr>
            <w:tcW w:w="0" w:type="auto"/>
          </w:tcPr>
          <w:p w14:paraId="15527369" w14:textId="5F5F3823" w:rsidR="00C924FB" w:rsidRPr="00321CF2" w:rsidRDefault="00C924FB" w:rsidP="00C924FB">
            <w:pPr>
              <w:tabs>
                <w:tab w:val="left" w:pos="4111"/>
              </w:tabs>
              <w:spacing w:before="10"/>
              <w:ind w:left="57"/>
              <w:rPr>
                <w:b/>
                <w:bCs/>
              </w:rPr>
            </w:pPr>
          </w:p>
        </w:tc>
        <w:tc>
          <w:tcPr>
            <w:tcW w:w="3399" w:type="dxa"/>
          </w:tcPr>
          <w:p w14:paraId="172249CE" w14:textId="640643AD" w:rsidR="00C924FB" w:rsidRPr="00321CF2" w:rsidRDefault="00C924FB" w:rsidP="00C924FB">
            <w:pPr>
              <w:tabs>
                <w:tab w:val="left" w:pos="4111"/>
              </w:tabs>
              <w:spacing w:before="0"/>
              <w:ind w:left="57"/>
            </w:pPr>
          </w:p>
        </w:tc>
        <w:tc>
          <w:tcPr>
            <w:tcW w:w="5051" w:type="dxa"/>
            <w:vMerge/>
          </w:tcPr>
          <w:p w14:paraId="19762254" w14:textId="2125CDF9" w:rsidR="00C924FB" w:rsidRPr="00321CF2" w:rsidRDefault="00C924FB" w:rsidP="00C924FB">
            <w:pPr>
              <w:tabs>
                <w:tab w:val="clear" w:pos="794"/>
                <w:tab w:val="left" w:pos="4111"/>
              </w:tabs>
              <w:spacing w:before="0"/>
              <w:ind w:left="426" w:hanging="426"/>
            </w:pPr>
          </w:p>
        </w:tc>
      </w:tr>
      <w:tr w:rsidR="00C924FB" w:rsidRPr="00321CF2" w14:paraId="5435C04A" w14:textId="77777777" w:rsidTr="00C41B89">
        <w:trPr>
          <w:cantSplit/>
          <w:trHeight w:val="397"/>
        </w:trPr>
        <w:tc>
          <w:tcPr>
            <w:tcW w:w="0" w:type="auto"/>
          </w:tcPr>
          <w:p w14:paraId="2A0B9B4F" w14:textId="77777777" w:rsidR="00C924FB" w:rsidRPr="00321CF2" w:rsidRDefault="00C924FB" w:rsidP="00C924FB">
            <w:pPr>
              <w:tabs>
                <w:tab w:val="left" w:pos="4111"/>
              </w:tabs>
              <w:ind w:left="57"/>
              <w:rPr>
                <w:b/>
                <w:bCs/>
                <w:szCs w:val="22"/>
              </w:rPr>
            </w:pPr>
            <w:r w:rsidRPr="00321CF2">
              <w:rPr>
                <w:b/>
                <w:bCs/>
                <w:szCs w:val="22"/>
              </w:rPr>
              <w:t>Objet:</w:t>
            </w:r>
          </w:p>
        </w:tc>
        <w:tc>
          <w:tcPr>
            <w:tcW w:w="0" w:type="auto"/>
            <w:gridSpan w:val="2"/>
          </w:tcPr>
          <w:p w14:paraId="1A51EE75" w14:textId="183411B8" w:rsidR="00C924FB" w:rsidRPr="00321CF2" w:rsidRDefault="00C924FB" w:rsidP="00C924FB">
            <w:pPr>
              <w:tabs>
                <w:tab w:val="left" w:pos="4111"/>
              </w:tabs>
              <w:spacing w:after="120"/>
              <w:ind w:left="57"/>
              <w:rPr>
                <w:b/>
                <w:bCs/>
                <w:szCs w:val="22"/>
              </w:rPr>
            </w:pPr>
            <w:r w:rsidRPr="00321CF2">
              <w:rPr>
                <w:b/>
                <w:bCs/>
                <w:szCs w:val="22"/>
              </w:rPr>
              <w:t>Champ d'application de la nouvelle Question 11/20</w:t>
            </w:r>
          </w:p>
        </w:tc>
      </w:tr>
    </w:tbl>
    <w:p w14:paraId="2D1EC328" w14:textId="77777777" w:rsidR="00517A03" w:rsidRPr="00321CF2" w:rsidRDefault="00517A03" w:rsidP="00085686">
      <w:bookmarkStart w:id="1" w:name="StartTyping_F"/>
      <w:bookmarkEnd w:id="1"/>
      <w:r w:rsidRPr="00321CF2">
        <w:t>Madame, Monsieur,</w:t>
      </w:r>
    </w:p>
    <w:p w14:paraId="00BB969F" w14:textId="77777777" w:rsidR="00C924FB" w:rsidRPr="00C924FB" w:rsidRDefault="00C924FB" w:rsidP="00C924FB">
      <w:pPr>
        <w:rPr>
          <w:bCs/>
        </w:rPr>
      </w:pPr>
      <w:r w:rsidRPr="00C924FB">
        <w:rPr>
          <w:bCs/>
        </w:rPr>
        <w:t>1</w:t>
      </w:r>
      <w:r w:rsidRPr="00C924FB">
        <w:rPr>
          <w:bCs/>
        </w:rPr>
        <w:tab/>
        <w:t xml:space="preserve">À la demande du Président de la Commission d'études 20 de l'UIT-T sur </w:t>
      </w:r>
      <w:r w:rsidRPr="00C924FB">
        <w:rPr>
          <w:bCs/>
          <w:i/>
          <w:iCs/>
        </w:rPr>
        <w:t>l'Internet des objets, les jumeaux numériques et les villes et communautés intelligentes et durables</w:t>
      </w:r>
      <w:r w:rsidRPr="00C924FB">
        <w:rPr>
          <w:bCs/>
        </w:rPr>
        <w:t>, j'ai l'honneur de vous informer que, conformément aux dispositions de la Section 7, § 7.2.2, de la Résolution 1 (Rév. Genève, 2022) de l'AMNT, la décision ci-après a été prise par consensus entre les membres présents:</w:t>
      </w:r>
    </w:p>
    <w:p w14:paraId="378E14E6" w14:textId="77777777" w:rsidR="00C924FB" w:rsidRPr="00321CF2" w:rsidRDefault="00C924FB" w:rsidP="000A11F9">
      <w:pPr>
        <w:pStyle w:val="enumlev1"/>
      </w:pPr>
      <w:r w:rsidRPr="00321CF2">
        <w:t>–</w:t>
      </w:r>
      <w:r w:rsidRPr="00321CF2">
        <w:tab/>
        <w:t xml:space="preserve">À la réunion qu'elle a tenue à Genève du 15 au 25 septembre 2025, cette commission d'études a décidé d'élaborer une nouvelle Question 11/20 intitulée </w:t>
      </w:r>
      <w:r w:rsidRPr="00321CF2">
        <w:rPr>
          <w:i/>
          <w:iCs/>
        </w:rPr>
        <w:t>"Agriculture numérique: de l'agriculture et de la production intelligentes à une consommation sûre et sécurisée"</w:t>
      </w:r>
      <w:r w:rsidRPr="00321CF2">
        <w:t>.</w:t>
      </w:r>
    </w:p>
    <w:p w14:paraId="60C48BCD" w14:textId="77777777" w:rsidR="00C924FB" w:rsidRPr="00C924FB" w:rsidRDefault="00C924FB" w:rsidP="00C924FB">
      <w:pPr>
        <w:rPr>
          <w:bCs/>
        </w:rPr>
      </w:pPr>
      <w:r w:rsidRPr="00C924FB">
        <w:rPr>
          <w:bCs/>
        </w:rPr>
        <w:t>2</w:t>
      </w:r>
      <w:r w:rsidRPr="00C924FB">
        <w:rPr>
          <w:bCs/>
        </w:rPr>
        <w:tab/>
        <w:t>Le Groupe consultatif de la normalisation des télécommunications (GCNT), lors de la réunion qu'il a tenue à Genève du 26 au 30 janvier 2026, a approuvé le champ d'application de la nouvelle Question 11/20, tel que proposé par la CE 20 de l'UIT-T.</w:t>
      </w:r>
    </w:p>
    <w:p w14:paraId="46F2C3C2" w14:textId="21832D40" w:rsidR="00307FB4" w:rsidRPr="00321CF2" w:rsidRDefault="00C924FB" w:rsidP="00C924FB">
      <w:pPr>
        <w:rPr>
          <w:bCs/>
        </w:rPr>
      </w:pPr>
      <w:r w:rsidRPr="00321CF2">
        <w:rPr>
          <w:bCs/>
        </w:rPr>
        <w:t>3</w:t>
      </w:r>
      <w:r w:rsidRPr="00321CF2">
        <w:rPr>
          <w:bCs/>
        </w:rPr>
        <w:tab/>
        <w:t>L'</w:t>
      </w:r>
      <w:r w:rsidRPr="00321CF2">
        <w:rPr>
          <w:b/>
          <w:bCs/>
        </w:rPr>
        <w:t xml:space="preserve">Annexe 1 </w:t>
      </w:r>
      <w:r w:rsidRPr="00321CF2">
        <w:rPr>
          <w:bCs/>
        </w:rPr>
        <w:t>contient le texte de la nouvelle Question 11/20.</w:t>
      </w:r>
    </w:p>
    <w:p w14:paraId="6A4CD67F" w14:textId="77777777" w:rsidR="00307FB4" w:rsidRDefault="00307FB4" w:rsidP="00085686">
      <w:pPr>
        <w:spacing w:before="0"/>
        <w:rPr>
          <w:bCs/>
        </w:rPr>
      </w:pPr>
      <w:r w:rsidRPr="00321CF2">
        <w:rPr>
          <w:bCs/>
        </w:rPr>
        <w:t>Veuillez agréer, Madame, Monsieur, l'assurance de ma considération distinguée.</w:t>
      </w:r>
    </w:p>
    <w:p w14:paraId="2342D848" w14:textId="77777777" w:rsidR="00085686" w:rsidRPr="00321CF2" w:rsidRDefault="00085686" w:rsidP="00085686">
      <w:pPr>
        <w:spacing w:before="0"/>
        <w:rPr>
          <w:bCs/>
        </w:rPr>
      </w:pPr>
    </w:p>
    <w:p w14:paraId="3A296738" w14:textId="5A5DBCDD" w:rsidR="00B60868" w:rsidRDefault="00B60868" w:rsidP="00085686">
      <w:pPr>
        <w:spacing w:before="0"/>
        <w:rPr>
          <w:bCs/>
        </w:rPr>
      </w:pPr>
      <w:r w:rsidRPr="00321CF2">
        <w:rPr>
          <w:bCs/>
        </w:rPr>
        <w:t>(</w:t>
      </w:r>
      <w:proofErr w:type="gramStart"/>
      <w:r w:rsidRPr="00321CF2">
        <w:rPr>
          <w:bCs/>
          <w:i/>
        </w:rPr>
        <w:t>signé</w:t>
      </w:r>
      <w:proofErr w:type="gramEnd"/>
      <w:r w:rsidRPr="00321CF2">
        <w:rPr>
          <w:bCs/>
        </w:rPr>
        <w:t>)</w:t>
      </w:r>
    </w:p>
    <w:p w14:paraId="23BB70A9" w14:textId="77777777" w:rsidR="00085686" w:rsidRPr="00321CF2" w:rsidRDefault="00085686" w:rsidP="00085686">
      <w:pPr>
        <w:spacing w:before="0"/>
        <w:rPr>
          <w:bCs/>
        </w:rPr>
      </w:pPr>
    </w:p>
    <w:p w14:paraId="558FB742" w14:textId="175CD9BE" w:rsidR="002937DB" w:rsidRDefault="00307FB4" w:rsidP="00085686">
      <w:pPr>
        <w:spacing w:before="0"/>
        <w:rPr>
          <w:bCs/>
        </w:rPr>
      </w:pPr>
      <w:r w:rsidRPr="00321CF2">
        <w:rPr>
          <w:bCs/>
        </w:rPr>
        <w:t>Seizo Onoe</w:t>
      </w:r>
      <w:r w:rsidR="00B60868" w:rsidRPr="00321CF2">
        <w:rPr>
          <w:bCs/>
        </w:rPr>
        <w:br/>
      </w:r>
      <w:r w:rsidRPr="00321CF2">
        <w:rPr>
          <w:bCs/>
        </w:rPr>
        <w:t>Directeur du Bureau de la normalisation</w:t>
      </w:r>
      <w:r w:rsidR="00B60868" w:rsidRPr="00321CF2">
        <w:rPr>
          <w:bCs/>
        </w:rPr>
        <w:br/>
      </w:r>
      <w:r w:rsidRPr="00321CF2">
        <w:rPr>
          <w:bCs/>
        </w:rPr>
        <w:t>des télécommunications</w:t>
      </w:r>
    </w:p>
    <w:p w14:paraId="5501A947" w14:textId="77777777" w:rsidR="00085686" w:rsidRPr="00321CF2" w:rsidRDefault="00085686" w:rsidP="00085686">
      <w:pPr>
        <w:spacing w:before="0"/>
        <w:rPr>
          <w:bCs/>
        </w:rPr>
      </w:pPr>
    </w:p>
    <w:p w14:paraId="601A1E45" w14:textId="00595AFE" w:rsidR="002937DB" w:rsidRPr="00321CF2" w:rsidRDefault="00C924FB" w:rsidP="00085686">
      <w:pPr>
        <w:spacing w:before="0"/>
        <w:rPr>
          <w:bCs/>
        </w:rPr>
      </w:pPr>
      <w:r w:rsidRPr="00321CF2">
        <w:rPr>
          <w:b/>
        </w:rPr>
        <w:t>Annexe:</w:t>
      </w:r>
      <w:r w:rsidRPr="00321CF2">
        <w:rPr>
          <w:bCs/>
        </w:rPr>
        <w:t xml:space="preserve"> 1</w:t>
      </w:r>
      <w:r w:rsidR="00085686">
        <w:rPr>
          <w:bCs/>
        </w:rPr>
        <w:t xml:space="preserve"> </w:t>
      </w:r>
      <w:r w:rsidR="002937DB" w:rsidRPr="00321CF2">
        <w:rPr>
          <w:bCs/>
        </w:rPr>
        <w:br w:type="page"/>
      </w:r>
    </w:p>
    <w:p w14:paraId="77835B8E" w14:textId="7C9A468F" w:rsidR="008F6572" w:rsidRPr="00321CF2" w:rsidRDefault="008F6572" w:rsidP="008F6572">
      <w:pPr>
        <w:pStyle w:val="AnnexTitle"/>
        <w:rPr>
          <w:rFonts w:cstheme="minorHAnsi"/>
          <w:sz w:val="28"/>
          <w:szCs w:val="28"/>
        </w:rPr>
      </w:pPr>
      <w:r w:rsidRPr="00321CF2">
        <w:lastRenderedPageBreak/>
        <w:t>Annexe</w:t>
      </w:r>
      <w:r w:rsidRPr="00321CF2">
        <w:br/>
      </w:r>
      <w:r w:rsidRPr="00321CF2">
        <w:br/>
        <w:t>Champ d'application de la nouvelle Question intitulée "Agriculture numérique: de l'agriculture et de la production intelligentes à une consommation sûre et sécurisée"</w:t>
      </w:r>
    </w:p>
    <w:p w14:paraId="055C4A6E" w14:textId="77777777" w:rsidR="008F6572" w:rsidRPr="00321CF2" w:rsidRDefault="008F6572" w:rsidP="008F6572">
      <w:pPr>
        <w:pStyle w:val="headingb"/>
        <w:rPr>
          <w:rFonts w:cstheme="minorHAnsi"/>
          <w:color w:val="000000"/>
          <w:sz w:val="22"/>
          <w:szCs w:val="22"/>
        </w:rPr>
      </w:pPr>
      <w:r w:rsidRPr="00321CF2">
        <w:t>Question 11/20 – Agriculture numérique: de l'agriculture et de la production intelligentes à une consommation sûre et sécurisée</w:t>
      </w:r>
    </w:p>
    <w:p w14:paraId="40A00A8B" w14:textId="77777777" w:rsidR="008F6572" w:rsidRPr="00321CF2" w:rsidRDefault="008F6572" w:rsidP="008F6572">
      <w:pPr>
        <w:pStyle w:val="Heading1"/>
        <w:rPr>
          <w:rFonts w:cstheme="minorHAnsi"/>
          <w:sz w:val="22"/>
          <w:szCs w:val="22"/>
        </w:rPr>
      </w:pPr>
      <w:r w:rsidRPr="00321CF2">
        <w:t>1</w:t>
      </w:r>
      <w:r w:rsidRPr="00321CF2">
        <w:tab/>
        <w:t>Motifs</w:t>
      </w:r>
    </w:p>
    <w:p w14:paraId="56C15342" w14:textId="77777777" w:rsidR="008F6572" w:rsidRPr="00321CF2" w:rsidRDefault="008F6572" w:rsidP="008F6572">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321CF2">
        <w:t>L'agriculture numérique, ses produits, sa chaîne d'approvisionnement, sa sûreté et sa sécurité (de la ferme à la consommation) sont redéfinis par la convergence de l'Internet des objets (IoT), de l'intelligence artificielle (IA), de la robotique, des jumeaux numériques, des environnements immersifs et d'autres technologies numériques émergentes. Ces innovations ouvrent de nouvelles possibilités en ce qui concerne l'agriculture intelligente et de précision, le partage d'informations sur les risques liés à la production agricole, l'agriculture écologique sobre en carbone, la traçabilité alimentaire, l'automatisation intelligente, l'analyse en temps réel dans l'ensemble de la chaîne de valeur (de la production et de la transformation à la distribution) et le développement agricole durable.</w:t>
      </w:r>
    </w:p>
    <w:p w14:paraId="51A3DFDF" w14:textId="77777777" w:rsidR="008F6572" w:rsidRPr="00321CF2" w:rsidRDefault="008F6572" w:rsidP="008F6572">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321CF2">
        <w:t>Dans ce contexte, l'application des technologies numériques émergentes, notamment de l'IoT, des jumeaux numériques et des environnements virtuels immersifs et intelligents, dans le domaine agricole suscite un intérêt croissant. En intégrant l'IoT, l'IA et d'autres technologies numériques émergentes dans l'agriculture numérique, et en dotant les systèmes de jumeaux numériques et de capacités d'expérience immersive, il est possible de répondre aux besoins des producteurs agricoles de partager des informations et des connaissances pertinentes sur les risques (y compris les ravageurs, les maladies des cultures et les menaces environnementales et climatiques) et de renforcer la sécurité, la sûreté et la résilience de la production agricole, et ainsi d'optimiser la productivité et d'améliorer la production et la transformation durables et de qualité des produits alimentaires et des produits agricoles, respectivement. L'utilisation de l'IoT, de l'IA, des jumeaux numériques, des mondes virtuels et des technologies immersives peut contribuer efficacement à faciliter la simulation, la prise de décisions, la formation et la collaboration entre diverses parties prenantes. Alors que les chaînes d'approvisionnement mondiales se complexifient et que les défis en matière de durabilité et de sécurité s'intensifient, ces évolutions peuvent offrir de nouvelles possibilités d'amélioration sur le plan de la production, de la sûreté, de la sécurité, de la résilience, de l'efficacité opérationnelle et de l'innovation.</w:t>
      </w:r>
    </w:p>
    <w:p w14:paraId="16D04023" w14:textId="77777777" w:rsidR="008F6572" w:rsidRPr="00321CF2" w:rsidRDefault="008F6572" w:rsidP="008F6572">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321CF2">
        <w:t>Malgré les progrès accomplis sur la voie du passage au numérique, les déploiements de technologies actuels dans l'agriculture numérique se heurtent à des limites en raison de l'absence de cadres partagés, d'interopérabilité technique, de protocoles d'échange de données sécurisés et de modèles d'architecture évolutifs, des éléments qui permettraient de répondre aux besoins de l'écosystème de l'agriculture numérique. Pour combler ces lacunes, il est manifestement nécessaire de fournir des efforts en matière de normalisation à l'échelle internationale en faveur du déploiement de systèmes d'agriculture numérique sécurisés, interopérables et parés pour l'avenir.</w:t>
      </w:r>
    </w:p>
    <w:p w14:paraId="4E393530" w14:textId="77777777" w:rsidR="008F6572" w:rsidRPr="00321CF2" w:rsidRDefault="008F6572" w:rsidP="008F6572">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321CF2">
        <w:t>Les Recommandations et Suppléments relevant de cette Question sont notamment les suivants:</w:t>
      </w:r>
    </w:p>
    <w:p w14:paraId="03BA4E4E" w14:textId="77777777" w:rsidR="008F6572" w:rsidRPr="00321CF2" w:rsidRDefault="008F6572" w:rsidP="008F6572">
      <w:pPr>
        <w:pStyle w:val="enumlev1"/>
        <w:rPr>
          <w:rFonts w:cstheme="minorHAnsi"/>
          <w:sz w:val="22"/>
          <w:szCs w:val="22"/>
        </w:rPr>
      </w:pPr>
      <w:r w:rsidRPr="00321CF2">
        <w:t>‒</w:t>
      </w:r>
      <w:r w:rsidRPr="00321CF2">
        <w:tab/>
        <w:t>Recommandations UIT-T Y.4218, Y.4482</w:t>
      </w:r>
    </w:p>
    <w:p w14:paraId="1D5AADFA" w14:textId="77777777" w:rsidR="008F6572" w:rsidRPr="00321CF2" w:rsidRDefault="008F6572" w:rsidP="008F6572">
      <w:pPr>
        <w:pStyle w:val="enumlev1"/>
        <w:rPr>
          <w:rFonts w:cstheme="minorHAnsi"/>
          <w:sz w:val="22"/>
          <w:szCs w:val="22"/>
        </w:rPr>
      </w:pPr>
      <w:r w:rsidRPr="00321CF2">
        <w:t>‒</w:t>
      </w:r>
      <w:r w:rsidRPr="00321CF2">
        <w:tab/>
        <w:t>Suppléments 76, 82, 83, 85 aux Recommandations UIT-T de la série Y</w:t>
      </w:r>
    </w:p>
    <w:p w14:paraId="3AD106AB" w14:textId="77777777" w:rsidR="008F6572" w:rsidRPr="00321CF2" w:rsidRDefault="008F6572" w:rsidP="008F6572">
      <w:pPr>
        <w:pStyle w:val="enumlev1"/>
        <w:rPr>
          <w:rFonts w:cstheme="minorHAnsi"/>
          <w:sz w:val="22"/>
          <w:szCs w:val="22"/>
        </w:rPr>
      </w:pPr>
      <w:r w:rsidRPr="00321CF2">
        <w:t>‒</w:t>
      </w:r>
      <w:r w:rsidRPr="00321CF2">
        <w:tab/>
        <w:t>Rapport technique UIT-T YSTR.DataModelling-Agri</w:t>
      </w:r>
    </w:p>
    <w:p w14:paraId="7FF9A675" w14:textId="77777777" w:rsidR="008F6572" w:rsidRPr="00321CF2" w:rsidRDefault="008F6572" w:rsidP="008F6572">
      <w:pPr>
        <w:pStyle w:val="Heading1"/>
        <w:rPr>
          <w:rFonts w:cstheme="minorHAnsi"/>
          <w:sz w:val="22"/>
          <w:szCs w:val="22"/>
        </w:rPr>
      </w:pPr>
      <w:r w:rsidRPr="00321CF2">
        <w:lastRenderedPageBreak/>
        <w:t>2</w:t>
      </w:r>
      <w:r w:rsidRPr="00321CF2">
        <w:tab/>
        <w:t>Question</w:t>
      </w:r>
    </w:p>
    <w:p w14:paraId="2773DCA1" w14:textId="77777777" w:rsidR="008F6572" w:rsidRPr="00321CF2" w:rsidRDefault="008F6572" w:rsidP="008F6572">
      <w:pPr>
        <w:tabs>
          <w:tab w:val="clear" w:pos="794"/>
          <w:tab w:val="clear" w:pos="1191"/>
          <w:tab w:val="clear" w:pos="1588"/>
          <w:tab w:val="clear" w:pos="1985"/>
          <w:tab w:val="left" w:pos="709"/>
        </w:tabs>
        <w:overflowPunct/>
        <w:autoSpaceDE/>
        <w:autoSpaceDN/>
        <w:adjustRightInd/>
        <w:textAlignment w:val="auto"/>
        <w:rPr>
          <w:rFonts w:eastAsiaTheme="minorEastAsia" w:cstheme="minorHAnsi"/>
          <w:sz w:val="22"/>
          <w:szCs w:val="22"/>
        </w:rPr>
      </w:pPr>
      <w:r w:rsidRPr="00321CF2">
        <w:t>Les sujets à étudier sont notamment les suivants (la liste n'est pas exhaustive):</w:t>
      </w:r>
    </w:p>
    <w:p w14:paraId="22E3C55C" w14:textId="77777777" w:rsidR="008F6572" w:rsidRPr="00321CF2" w:rsidRDefault="008F6572" w:rsidP="008F6572">
      <w:pPr>
        <w:pStyle w:val="enumlev1"/>
        <w:rPr>
          <w:rFonts w:cstheme="minorHAnsi"/>
          <w:sz w:val="22"/>
          <w:szCs w:val="22"/>
        </w:rPr>
      </w:pPr>
      <w:r w:rsidRPr="00321CF2">
        <w:t>–</w:t>
      </w:r>
      <w:r w:rsidRPr="00321CF2">
        <w:tab/>
        <w:t>Quel(le)s sont les exigences, les capacités, les cas d'utilisation et les modèles architecturaux pour l'agriculture numérique (de la ferme à la consommation) tirant parti de l'IoT, de l'IA, de la robotique collaborative, des jumeaux numériques, des mondes virtuels, des environnements immersifs et d'autres technologies numériques émergentes?</w:t>
      </w:r>
    </w:p>
    <w:p w14:paraId="17172F18" w14:textId="77777777" w:rsidR="008F6572" w:rsidRPr="00321CF2" w:rsidRDefault="008F6572" w:rsidP="008F6572">
      <w:pPr>
        <w:pStyle w:val="enumlev1"/>
        <w:rPr>
          <w:rFonts w:cstheme="minorHAnsi"/>
          <w:sz w:val="22"/>
          <w:szCs w:val="22"/>
        </w:rPr>
      </w:pPr>
      <w:r w:rsidRPr="00321CF2">
        <w:t>–</w:t>
      </w:r>
      <w:r w:rsidRPr="00321CF2">
        <w:tab/>
        <w:t>Quel(le)s exigences fonctionnelles, modèles de données et spécifications d'interface applicables aux dispositifs, plates-formes et applications de l'agriculture numérique utilisés dans l'ensemble de la chaîne de valeur sont nécessaires pour pouvoir améliorer les produits, la chaîne d'approvisionnement, la sûreté et la sécurité?</w:t>
      </w:r>
    </w:p>
    <w:p w14:paraId="6F7668EF" w14:textId="77777777" w:rsidR="008F6572" w:rsidRPr="00321CF2" w:rsidRDefault="008F6572" w:rsidP="008F6572">
      <w:pPr>
        <w:pStyle w:val="enumlev1"/>
        <w:rPr>
          <w:rFonts w:cstheme="minorHAnsi"/>
          <w:sz w:val="22"/>
          <w:szCs w:val="22"/>
        </w:rPr>
      </w:pPr>
      <w:r w:rsidRPr="00321CF2">
        <w:t>–</w:t>
      </w:r>
      <w:r w:rsidRPr="00321CF2">
        <w:tab/>
        <w:t>Quel(le)s sont les exigences, les capacités, les cas d'utilisation et le modèle architectural en matière d'interopérabilité et d'interfonctionnement de l'agriculture numérique?</w:t>
      </w:r>
    </w:p>
    <w:p w14:paraId="2CA48206" w14:textId="77777777" w:rsidR="008F6572" w:rsidRPr="00321CF2" w:rsidRDefault="008F6572" w:rsidP="008F6572">
      <w:pPr>
        <w:pStyle w:val="enumlev1"/>
        <w:rPr>
          <w:rFonts w:cstheme="minorHAnsi"/>
          <w:sz w:val="22"/>
          <w:szCs w:val="22"/>
        </w:rPr>
      </w:pPr>
      <w:r w:rsidRPr="00321CF2">
        <w:t>–</w:t>
      </w:r>
      <w:r w:rsidRPr="00321CF2">
        <w:tab/>
        <w:t>Quelles sont les lacunes en matière de normalisation qui entravent le déploiement d'une agriculture numérique parée pour l'avenir, et comment peut-on y remédier au moyen de Recommandations UIT-T?</w:t>
      </w:r>
    </w:p>
    <w:p w14:paraId="3E1CFAEB" w14:textId="77777777" w:rsidR="008F6572" w:rsidRPr="00321CF2" w:rsidRDefault="008F6572" w:rsidP="008F6572">
      <w:pPr>
        <w:pStyle w:val="enumlev1"/>
        <w:rPr>
          <w:rFonts w:cstheme="minorHAnsi"/>
          <w:sz w:val="22"/>
          <w:szCs w:val="22"/>
        </w:rPr>
      </w:pPr>
      <w:r w:rsidRPr="00321CF2">
        <w:t>–</w:t>
      </w:r>
      <w:r w:rsidRPr="00321CF2">
        <w:tab/>
        <w:t>Avec quelles autres organisations de normalisation, institutions des Nations Unies et forums du secteur privé convient-il de collaborer pour trouver des solutions harmonisées et interopérables?</w:t>
      </w:r>
    </w:p>
    <w:p w14:paraId="78D2E1EF" w14:textId="77777777" w:rsidR="008F6572" w:rsidRPr="00321CF2" w:rsidRDefault="008F6572" w:rsidP="00321CF2">
      <w:pPr>
        <w:pStyle w:val="Heading1"/>
        <w:rPr>
          <w:rFonts w:cstheme="minorHAnsi"/>
          <w:sz w:val="22"/>
          <w:szCs w:val="22"/>
        </w:rPr>
      </w:pPr>
      <w:r w:rsidRPr="00321CF2">
        <w:t>3</w:t>
      </w:r>
      <w:r w:rsidRPr="00321CF2">
        <w:tab/>
        <w:t>Tâches</w:t>
      </w:r>
    </w:p>
    <w:p w14:paraId="4D32827D" w14:textId="77777777" w:rsidR="008F6572" w:rsidRPr="00321CF2" w:rsidRDefault="008F6572" w:rsidP="008F6572">
      <w:pPr>
        <w:keepNext/>
        <w:keepLines/>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321CF2">
        <w:t>Les tâches sont notamment les suivantes (la liste n'est pas exhaustive):</w:t>
      </w:r>
    </w:p>
    <w:p w14:paraId="25C4C835" w14:textId="77777777" w:rsidR="008F6572" w:rsidRPr="00321CF2" w:rsidRDefault="008F6572" w:rsidP="008F6572">
      <w:pPr>
        <w:pStyle w:val="enumlev1"/>
        <w:rPr>
          <w:rFonts w:cstheme="minorHAnsi"/>
          <w:sz w:val="22"/>
          <w:szCs w:val="22"/>
        </w:rPr>
      </w:pPr>
      <w:r w:rsidRPr="00321CF2">
        <w:t>–</w:t>
      </w:r>
      <w:r w:rsidRPr="00321CF2">
        <w:tab/>
        <w:t>Élaborer, en fonction des besoins, des Recommandations, des Rapports, des lignes directrices ou des Suppléments relatifs à l'agriculture numérique, en tenant compte des aspects suivants:</w:t>
      </w:r>
    </w:p>
    <w:p w14:paraId="09416815" w14:textId="18C1B53A"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C</w:t>
      </w:r>
      <w:r w:rsidRPr="00321CF2">
        <w:t>as d'utilisation, bonnes pratiques et modèles de déploiement pour l'agriculture numérique, les chaînes de valeur intelligentes et les environnements agricoles immersifs</w:t>
      </w:r>
      <w:r w:rsidR="00B1655B" w:rsidRPr="00321CF2">
        <w:t>.</w:t>
      </w:r>
    </w:p>
    <w:p w14:paraId="2D42A467" w14:textId="1D93D0BB"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C</w:t>
      </w:r>
      <w:r w:rsidRPr="00321CF2">
        <w:t>adres et modèles architecturaux pour l'intégration des technologies numériques émergentes telles que l'IoT, l'IA, la robotique et les technologies de jumeaux numériques dans l'agriculture et les chaînes de valeur intelligentes</w:t>
      </w:r>
      <w:r w:rsidR="00B1655B" w:rsidRPr="00321CF2">
        <w:t>.</w:t>
      </w:r>
    </w:p>
    <w:p w14:paraId="70A9D4CA" w14:textId="5FAF675A"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E</w:t>
      </w:r>
      <w:r w:rsidRPr="00321CF2">
        <w:t>xigences fonctionnelles, modèles de données et spécifications d'interface pour les dispositifs, plates-formes et applications de l'agriculture numérique</w:t>
      </w:r>
      <w:r w:rsidR="00B1655B" w:rsidRPr="00321CF2">
        <w:t>.</w:t>
      </w:r>
    </w:p>
    <w:p w14:paraId="3E552D43" w14:textId="55535547"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M</w:t>
      </w:r>
      <w:r w:rsidRPr="00321CF2">
        <w:t>écanismes permettant d'assurer la traçabilité de bout en bout, la surveillance en temps réel et l'échange sécurisé de données dans l'ensemble des chaînes d'approvisionnement agricole et alimentaire</w:t>
      </w:r>
      <w:r w:rsidR="00B1655B" w:rsidRPr="00321CF2">
        <w:t>.</w:t>
      </w:r>
    </w:p>
    <w:p w14:paraId="64B6421F" w14:textId="5E89DD19"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M</w:t>
      </w:r>
      <w:r w:rsidRPr="00321CF2">
        <w:t>éthode de construction d'une représentation des connaissances pour l'agriculture numérique portant sur l'analyse, l'exploitation et l'application complète des mégadonnées agricoles</w:t>
      </w:r>
      <w:r w:rsidR="00B1655B" w:rsidRPr="00321CF2">
        <w:t>.</w:t>
      </w:r>
    </w:p>
    <w:p w14:paraId="3F1396D9" w14:textId="50D4F6DD"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E</w:t>
      </w:r>
      <w:r w:rsidRPr="00321CF2">
        <w:t>xigences techniques et protocoles pour les mondes virtuels et les systèmes immersifs, y compris la formation à distance, la collaboration virtuelle et les environnements de simulation</w:t>
      </w:r>
      <w:r w:rsidR="00B1655B" w:rsidRPr="00321CF2">
        <w:t>.</w:t>
      </w:r>
    </w:p>
    <w:p w14:paraId="6D8ED8C6" w14:textId="0B5EB929"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E</w:t>
      </w:r>
      <w:r w:rsidRPr="00321CF2">
        <w:t>xigences d'interopérabilité au niveau du système</w:t>
      </w:r>
      <w:r w:rsidR="00B1655B" w:rsidRPr="00321CF2">
        <w:t>.</w:t>
      </w:r>
    </w:p>
    <w:p w14:paraId="1C1F0AE2" w14:textId="1DD59FC2" w:rsidR="008F6572" w:rsidRPr="00321CF2" w:rsidRDefault="008F6572" w:rsidP="008F6572">
      <w:pPr>
        <w:pStyle w:val="enumlev2"/>
        <w:rPr>
          <w:rFonts w:eastAsiaTheme="minorEastAsia"/>
        </w:rPr>
      </w:pPr>
      <w:r w:rsidRPr="00321CF2">
        <w:rPr>
          <w:rFonts w:eastAsiaTheme="minorEastAsia"/>
        </w:rPr>
        <w:t>•</w:t>
      </w:r>
      <w:r w:rsidRPr="00321CF2">
        <w:tab/>
      </w:r>
      <w:r w:rsidR="00B1655B" w:rsidRPr="00321CF2">
        <w:t>É</w:t>
      </w:r>
      <w:r w:rsidRPr="00321CF2">
        <w:t>valuation des coûts et des avantages de l'agriculture numérique</w:t>
      </w:r>
      <w:r w:rsidR="00B1655B" w:rsidRPr="00321CF2">
        <w:t>.</w:t>
      </w:r>
    </w:p>
    <w:p w14:paraId="6DF149C1" w14:textId="3E1A7961" w:rsidR="008F6572" w:rsidRPr="00321CF2" w:rsidRDefault="008F6572" w:rsidP="00B1655B">
      <w:pPr>
        <w:pStyle w:val="enumlev2"/>
        <w:keepNext/>
        <w:keepLines/>
        <w:rPr>
          <w:rFonts w:eastAsiaTheme="minorEastAsia" w:cstheme="minorHAnsi"/>
          <w:sz w:val="22"/>
          <w:szCs w:val="22"/>
        </w:rPr>
      </w:pPr>
      <w:r w:rsidRPr="00321CF2">
        <w:rPr>
          <w:rFonts w:eastAsiaTheme="minorEastAsia"/>
        </w:rPr>
        <w:lastRenderedPageBreak/>
        <w:t>•</w:t>
      </w:r>
      <w:r w:rsidRPr="00321CF2">
        <w:tab/>
      </w:r>
      <w:r w:rsidR="00B1655B" w:rsidRPr="00321CF2">
        <w:t>C</w:t>
      </w:r>
      <w:r w:rsidRPr="00321CF2">
        <w:t>ollaboration et harmonisation avec d'autres organismes de normalisation, entités des Nations Unies, forums et consortiums, afin de contribuer aux efforts déployés à l'échelle mondiale pour moderniser l'infrastructure numérique et renforcer la résilience.</w:t>
      </w:r>
    </w:p>
    <w:p w14:paraId="5CA76028" w14:textId="77777777" w:rsidR="008F6572" w:rsidRPr="00321CF2" w:rsidRDefault="008F6572" w:rsidP="008F6572">
      <w:pPr>
        <w:pStyle w:val="enumlev1"/>
        <w:rPr>
          <w:rFonts w:eastAsiaTheme="minorEastAsia" w:cstheme="minorHAnsi"/>
          <w:sz w:val="22"/>
          <w:szCs w:val="22"/>
        </w:rPr>
      </w:pPr>
      <w:r w:rsidRPr="00321CF2">
        <w:t>–</w:t>
      </w:r>
      <w:r w:rsidRPr="00321CF2">
        <w:tab/>
        <w:t>Tenir à jour et améliorer les Recommandations et les textes non normatifs relevant de la Question, notamment les suivants:</w:t>
      </w:r>
    </w:p>
    <w:p w14:paraId="1C20BFDE" w14:textId="3BBBBA9B" w:rsidR="008F6572" w:rsidRPr="00321CF2" w:rsidRDefault="00B1655B" w:rsidP="008F6572">
      <w:pPr>
        <w:pStyle w:val="enumlev2"/>
        <w:rPr>
          <w:rFonts w:cstheme="minorHAnsi"/>
          <w:sz w:val="22"/>
          <w:szCs w:val="22"/>
        </w:rPr>
      </w:pPr>
      <w:r w:rsidRPr="00321CF2">
        <w:rPr>
          <w:rFonts w:eastAsiaTheme="minorEastAsia"/>
        </w:rPr>
        <w:t>•</w:t>
      </w:r>
      <w:r w:rsidR="008F6572" w:rsidRPr="00321CF2">
        <w:tab/>
        <w:t>Recommandations UIT-T Y.4218, Y.4482</w:t>
      </w:r>
    </w:p>
    <w:p w14:paraId="2F6D5941" w14:textId="16AED38C" w:rsidR="008F6572" w:rsidRPr="00321CF2" w:rsidRDefault="00B1655B" w:rsidP="008F6572">
      <w:pPr>
        <w:pStyle w:val="enumlev2"/>
        <w:rPr>
          <w:rFonts w:cstheme="minorHAnsi"/>
          <w:sz w:val="22"/>
          <w:szCs w:val="22"/>
        </w:rPr>
      </w:pPr>
      <w:r w:rsidRPr="00321CF2">
        <w:rPr>
          <w:rFonts w:eastAsiaTheme="minorEastAsia"/>
        </w:rPr>
        <w:t>•</w:t>
      </w:r>
      <w:r w:rsidR="008F6572" w:rsidRPr="00321CF2">
        <w:tab/>
        <w:t>Suppléments 76, 82, 83, 85 aux Recommandations UIT-T de la série Y</w:t>
      </w:r>
    </w:p>
    <w:p w14:paraId="1105CF88" w14:textId="48452719" w:rsidR="008F6572" w:rsidRPr="00321CF2" w:rsidRDefault="00B1655B" w:rsidP="008F6572">
      <w:pPr>
        <w:pStyle w:val="enumlev2"/>
        <w:rPr>
          <w:rFonts w:cstheme="minorHAnsi"/>
          <w:sz w:val="22"/>
          <w:szCs w:val="22"/>
        </w:rPr>
      </w:pPr>
      <w:r w:rsidRPr="00321CF2">
        <w:rPr>
          <w:rFonts w:eastAsiaTheme="minorEastAsia"/>
        </w:rPr>
        <w:t>•</w:t>
      </w:r>
      <w:r w:rsidR="008F6572" w:rsidRPr="00321CF2">
        <w:tab/>
        <w:t>Rapport technique UIT-T YSTR.DataModelling-Agri</w:t>
      </w:r>
    </w:p>
    <w:p w14:paraId="26F761BC" w14:textId="77777777" w:rsidR="008F6572" w:rsidRPr="00321CF2" w:rsidRDefault="008F6572" w:rsidP="008F6572">
      <w:pPr>
        <w:pStyle w:val="enumlev1"/>
        <w:rPr>
          <w:rFonts w:eastAsiaTheme="minorEastAsia" w:cstheme="minorHAnsi"/>
          <w:sz w:val="22"/>
          <w:szCs w:val="22"/>
        </w:rPr>
      </w:pPr>
      <w:r w:rsidRPr="00321CF2">
        <w:t>–</w:t>
      </w:r>
      <w:r w:rsidRPr="00321CF2">
        <w:tab/>
        <w:t>Assurer la collaboration nécessaire pour les activités communes dans ce domaine, au sein de l'UIT et entre l'UIT-T et d'autres organismes de normalisation, entités des Nations Unies, consortiums et forums compétents.</w:t>
      </w:r>
    </w:p>
    <w:p w14:paraId="7B6D2E27" w14:textId="77777777" w:rsidR="008F6572" w:rsidRPr="00321CF2" w:rsidRDefault="008F6572" w:rsidP="008F6572">
      <w:pPr>
        <w:pStyle w:val="enumlev1"/>
        <w:rPr>
          <w:rFonts w:eastAsiaTheme="minorEastAsia" w:cstheme="minorHAnsi"/>
          <w:sz w:val="22"/>
          <w:szCs w:val="22"/>
        </w:rPr>
      </w:pPr>
      <w:r w:rsidRPr="00321CF2">
        <w:t>–</w:t>
      </w:r>
      <w:r w:rsidRPr="00321CF2">
        <w:tab/>
        <w:t>Étude d'autres sujets s'il y a lieu, en fonction des contributions.</w:t>
      </w:r>
    </w:p>
    <w:p w14:paraId="26908B9A" w14:textId="77777777" w:rsidR="008F6572" w:rsidRPr="00321CF2" w:rsidRDefault="008F6572" w:rsidP="008F6572">
      <w:pPr>
        <w:pStyle w:val="enumlev1"/>
        <w:rPr>
          <w:rFonts w:eastAsiaTheme="minorEastAsia" w:cstheme="minorHAnsi"/>
          <w:sz w:val="22"/>
          <w:szCs w:val="22"/>
        </w:rPr>
      </w:pPr>
      <w:r w:rsidRPr="00321CF2">
        <w:t>–</w:t>
      </w:r>
      <w:r w:rsidRPr="00321CF2">
        <w:tab/>
        <w:t>Mener des activités dans le domaine de l'intelligence artificielle dans le respect des dispositions établies, y compris la Résolution 214.</w:t>
      </w:r>
    </w:p>
    <w:p w14:paraId="1248491F" w14:textId="275B3CB9" w:rsidR="008F6572" w:rsidRPr="00321CF2" w:rsidRDefault="008F6572" w:rsidP="008F6572">
      <w:pPr>
        <w:tabs>
          <w:tab w:val="clear" w:pos="794"/>
          <w:tab w:val="clear" w:pos="1191"/>
          <w:tab w:val="clear" w:pos="1588"/>
          <w:tab w:val="clear" w:pos="1985"/>
        </w:tabs>
        <w:overflowPunct/>
        <w:autoSpaceDE/>
        <w:autoSpaceDN/>
        <w:adjustRightInd/>
        <w:textAlignment w:val="auto"/>
        <w:rPr>
          <w:rFonts w:eastAsiaTheme="minorEastAsia" w:cstheme="minorHAnsi"/>
          <w:color w:val="000000"/>
          <w:sz w:val="22"/>
          <w:szCs w:val="22"/>
        </w:rPr>
      </w:pPr>
      <w:r w:rsidRPr="00321CF2">
        <w:t xml:space="preserve">L'état actuel d'avancement des travaux au titre de la présente Question est indiqué dans le programme de travail de la CE 20: </w:t>
      </w:r>
      <w:hyperlink r:id="rId10" w:history="1">
        <w:r w:rsidRPr="00321CF2">
          <w:rPr>
            <w:rStyle w:val="Hyperlink"/>
          </w:rPr>
          <w:t>https://www.itu.int/ITU-T/workprog/wp_search.aspx?sp=18&amp;q=11/20</w:t>
        </w:r>
      </w:hyperlink>
      <w:r w:rsidRPr="00321CF2">
        <w:t>.</w:t>
      </w:r>
      <w:hyperlink r:id="rId11" w:history="1"/>
    </w:p>
    <w:p w14:paraId="7A29EA3F" w14:textId="77777777" w:rsidR="008F6572" w:rsidRPr="00321CF2" w:rsidRDefault="008F6572" w:rsidP="008F6572">
      <w:pPr>
        <w:pStyle w:val="Heading1"/>
        <w:rPr>
          <w:rFonts w:cstheme="minorHAnsi"/>
          <w:sz w:val="22"/>
          <w:szCs w:val="22"/>
        </w:rPr>
      </w:pPr>
      <w:r w:rsidRPr="00321CF2">
        <w:t>4</w:t>
      </w:r>
      <w:r w:rsidRPr="00321CF2">
        <w:tab/>
        <w:t>Relations</w:t>
      </w:r>
    </w:p>
    <w:p w14:paraId="350C77BC" w14:textId="77777777" w:rsidR="008F6572" w:rsidRPr="00321CF2" w:rsidRDefault="008F6572" w:rsidP="008F6572">
      <w:pPr>
        <w:pStyle w:val="headingb"/>
        <w:rPr>
          <w:rFonts w:eastAsiaTheme="minorEastAsia" w:cstheme="minorHAnsi"/>
          <w:sz w:val="22"/>
          <w:szCs w:val="22"/>
        </w:rPr>
      </w:pPr>
      <w:r w:rsidRPr="00321CF2">
        <w:t>Recommandations:</w:t>
      </w:r>
    </w:p>
    <w:p w14:paraId="3A5A4316" w14:textId="77777777" w:rsidR="008F6572" w:rsidRPr="00321CF2" w:rsidRDefault="008F6572" w:rsidP="008F6572">
      <w:pPr>
        <w:pStyle w:val="enumlev1"/>
        <w:rPr>
          <w:rFonts w:cstheme="minorHAnsi"/>
          <w:sz w:val="22"/>
          <w:szCs w:val="22"/>
        </w:rPr>
      </w:pPr>
      <w:r w:rsidRPr="00321CF2">
        <w:t>–</w:t>
      </w:r>
      <w:r w:rsidRPr="00321CF2">
        <w:tab/>
        <w:t>Recommandations de la série Y.4000, notamment les Recommandations Y.4218 et Y.4482</w:t>
      </w:r>
    </w:p>
    <w:p w14:paraId="33CC6A06" w14:textId="77777777" w:rsidR="008F6572" w:rsidRPr="00321CF2" w:rsidRDefault="008F6572" w:rsidP="008F6572">
      <w:pPr>
        <w:pStyle w:val="headingb"/>
        <w:rPr>
          <w:rFonts w:eastAsiaTheme="minorEastAsia" w:cstheme="minorHAnsi"/>
          <w:sz w:val="22"/>
          <w:szCs w:val="22"/>
        </w:rPr>
      </w:pPr>
      <w:r w:rsidRPr="00321CF2">
        <w:t>Questions:</w:t>
      </w:r>
    </w:p>
    <w:p w14:paraId="440C4983" w14:textId="77777777" w:rsidR="008F6572" w:rsidRPr="00321CF2" w:rsidRDefault="008F6572" w:rsidP="008F6572">
      <w:pPr>
        <w:pStyle w:val="enumlev1"/>
        <w:rPr>
          <w:rFonts w:eastAsiaTheme="minorEastAsia" w:cstheme="minorHAnsi"/>
          <w:sz w:val="22"/>
          <w:szCs w:val="22"/>
        </w:rPr>
      </w:pPr>
      <w:r w:rsidRPr="00321CF2">
        <w:t>–</w:t>
      </w:r>
      <w:r w:rsidRPr="00321CF2">
        <w:tab/>
        <w:t>Toutes les Questions confiées à la CE 20 de l'UIT-T</w:t>
      </w:r>
    </w:p>
    <w:p w14:paraId="266CFE8F" w14:textId="77777777" w:rsidR="008F6572" w:rsidRPr="00321CF2" w:rsidRDefault="008F6572" w:rsidP="008F6572">
      <w:pPr>
        <w:pStyle w:val="headingb"/>
        <w:rPr>
          <w:rFonts w:eastAsiaTheme="minorEastAsia" w:cstheme="minorHAnsi"/>
          <w:sz w:val="22"/>
          <w:szCs w:val="22"/>
        </w:rPr>
      </w:pPr>
      <w:r w:rsidRPr="00321CF2">
        <w:t>Commissions d'études:</w:t>
      </w:r>
    </w:p>
    <w:p w14:paraId="3E6E70DE" w14:textId="77777777" w:rsidR="008F6572" w:rsidRPr="00321CF2" w:rsidRDefault="008F6572" w:rsidP="008F6572">
      <w:pPr>
        <w:pStyle w:val="enumlev1"/>
        <w:rPr>
          <w:rFonts w:eastAsiaTheme="minorEastAsia" w:cstheme="minorHAnsi"/>
          <w:sz w:val="22"/>
          <w:szCs w:val="22"/>
        </w:rPr>
      </w:pPr>
      <w:r w:rsidRPr="00321CF2">
        <w:t>–</w:t>
      </w:r>
      <w:r w:rsidRPr="00321CF2">
        <w:tab/>
        <w:t>CE 5 de l'UIT-T</w:t>
      </w:r>
    </w:p>
    <w:p w14:paraId="2DECC1FA" w14:textId="77777777" w:rsidR="008F6572" w:rsidRPr="00321CF2" w:rsidRDefault="008F6572" w:rsidP="008F6572">
      <w:pPr>
        <w:pStyle w:val="enumlev1"/>
        <w:rPr>
          <w:rFonts w:eastAsiaTheme="minorEastAsia" w:cstheme="minorHAnsi"/>
          <w:sz w:val="22"/>
          <w:szCs w:val="22"/>
        </w:rPr>
      </w:pPr>
      <w:r w:rsidRPr="00321CF2">
        <w:t>–</w:t>
      </w:r>
      <w:r w:rsidRPr="00321CF2">
        <w:tab/>
        <w:t>CE 11 de l'UIT-T</w:t>
      </w:r>
    </w:p>
    <w:p w14:paraId="6EDA58AD" w14:textId="77777777" w:rsidR="008F6572" w:rsidRPr="00321CF2" w:rsidRDefault="008F6572" w:rsidP="008F6572">
      <w:pPr>
        <w:pStyle w:val="enumlev1"/>
        <w:rPr>
          <w:rFonts w:eastAsiaTheme="minorEastAsia" w:cstheme="minorHAnsi"/>
          <w:sz w:val="22"/>
          <w:szCs w:val="22"/>
        </w:rPr>
      </w:pPr>
      <w:r w:rsidRPr="00321CF2">
        <w:t>–</w:t>
      </w:r>
      <w:r w:rsidRPr="00321CF2">
        <w:tab/>
        <w:t>CE 13 de l'UIT-T</w:t>
      </w:r>
    </w:p>
    <w:p w14:paraId="4988E247" w14:textId="77777777" w:rsidR="008F6572" w:rsidRPr="00321CF2" w:rsidRDefault="008F6572" w:rsidP="008F6572">
      <w:pPr>
        <w:pStyle w:val="enumlev1"/>
        <w:rPr>
          <w:rFonts w:eastAsiaTheme="minorEastAsia" w:cstheme="minorHAnsi"/>
          <w:sz w:val="22"/>
          <w:szCs w:val="22"/>
        </w:rPr>
      </w:pPr>
      <w:r w:rsidRPr="00321CF2">
        <w:t>–</w:t>
      </w:r>
      <w:r w:rsidRPr="00321CF2">
        <w:tab/>
        <w:t>CE 17 de l'UIT-T</w:t>
      </w:r>
    </w:p>
    <w:p w14:paraId="235D9A55" w14:textId="77777777" w:rsidR="008F6572" w:rsidRPr="00321CF2" w:rsidRDefault="008F6572" w:rsidP="008F6572">
      <w:pPr>
        <w:pStyle w:val="enumlev1"/>
        <w:rPr>
          <w:rFonts w:eastAsiaTheme="minorEastAsia" w:cstheme="minorHAnsi"/>
          <w:sz w:val="22"/>
          <w:szCs w:val="22"/>
        </w:rPr>
      </w:pPr>
      <w:r w:rsidRPr="00321CF2">
        <w:t>–</w:t>
      </w:r>
      <w:r w:rsidRPr="00321CF2">
        <w:tab/>
        <w:t>CE 21 de l'UIT-T</w:t>
      </w:r>
    </w:p>
    <w:p w14:paraId="58F66EDE" w14:textId="77777777" w:rsidR="008F6572" w:rsidRPr="00321CF2" w:rsidRDefault="008F6572" w:rsidP="008F6572">
      <w:pPr>
        <w:pStyle w:val="headingb"/>
        <w:rPr>
          <w:rFonts w:eastAsiaTheme="minorEastAsia" w:cstheme="minorHAnsi"/>
          <w:sz w:val="22"/>
          <w:szCs w:val="22"/>
        </w:rPr>
      </w:pPr>
      <w:r w:rsidRPr="00321CF2">
        <w:t>Autres organismes:</w:t>
      </w:r>
    </w:p>
    <w:p w14:paraId="01081923" w14:textId="77777777" w:rsidR="008F6572" w:rsidRPr="00321CF2" w:rsidRDefault="008F6572" w:rsidP="008F6572">
      <w:pPr>
        <w:pStyle w:val="enumlev1"/>
        <w:rPr>
          <w:rFonts w:eastAsiaTheme="minorEastAsia" w:cstheme="minorHAnsi"/>
          <w:sz w:val="22"/>
          <w:szCs w:val="22"/>
        </w:rPr>
      </w:pPr>
      <w:r w:rsidRPr="00321CF2">
        <w:t>–</w:t>
      </w:r>
      <w:r w:rsidRPr="00321CF2">
        <w:tab/>
        <w:t>ISO/TC 23</w:t>
      </w:r>
    </w:p>
    <w:p w14:paraId="2EB90911" w14:textId="77777777" w:rsidR="008F6572" w:rsidRPr="00321CF2" w:rsidRDefault="008F6572" w:rsidP="008F6572">
      <w:pPr>
        <w:pStyle w:val="enumlev1"/>
        <w:rPr>
          <w:rFonts w:eastAsiaTheme="minorEastAsia" w:cstheme="minorHAnsi"/>
          <w:sz w:val="22"/>
          <w:szCs w:val="22"/>
        </w:rPr>
      </w:pPr>
      <w:r w:rsidRPr="00321CF2">
        <w:t>–</w:t>
      </w:r>
      <w:r w:rsidRPr="00321CF2">
        <w:tab/>
        <w:t>ISO/TC 34</w:t>
      </w:r>
    </w:p>
    <w:p w14:paraId="0B9D913F" w14:textId="77777777" w:rsidR="008F6572" w:rsidRPr="00085686" w:rsidRDefault="008F6572" w:rsidP="008F6572">
      <w:pPr>
        <w:pStyle w:val="enumlev1"/>
        <w:rPr>
          <w:rFonts w:eastAsiaTheme="minorEastAsia" w:cstheme="minorHAnsi"/>
          <w:sz w:val="22"/>
          <w:szCs w:val="22"/>
          <w:lang w:val="pt-BR"/>
        </w:rPr>
      </w:pPr>
      <w:r w:rsidRPr="00085686">
        <w:rPr>
          <w:lang w:val="pt-BR"/>
        </w:rPr>
        <w:t>–</w:t>
      </w:r>
      <w:r w:rsidRPr="00085686">
        <w:rPr>
          <w:lang w:val="pt-BR"/>
        </w:rPr>
        <w:tab/>
        <w:t>ISO/TC 347</w:t>
      </w:r>
    </w:p>
    <w:p w14:paraId="36D9C21E" w14:textId="77777777" w:rsidR="008F6572" w:rsidRPr="00085686" w:rsidRDefault="008F6572" w:rsidP="008F6572">
      <w:pPr>
        <w:pStyle w:val="enumlev1"/>
        <w:rPr>
          <w:rFonts w:eastAsiaTheme="minorEastAsia" w:cstheme="minorHAnsi"/>
          <w:sz w:val="22"/>
          <w:szCs w:val="22"/>
          <w:lang w:val="pt-BR"/>
        </w:rPr>
      </w:pPr>
      <w:r w:rsidRPr="00085686">
        <w:rPr>
          <w:lang w:val="pt-BR"/>
        </w:rPr>
        <w:t>–</w:t>
      </w:r>
      <w:r w:rsidRPr="00085686">
        <w:rPr>
          <w:lang w:val="pt-BR"/>
        </w:rPr>
        <w:tab/>
        <w:t>ISO/CEI JTC1/SC42</w:t>
      </w:r>
    </w:p>
    <w:p w14:paraId="5AF8B8C6" w14:textId="77777777" w:rsidR="008F6572" w:rsidRPr="00321CF2" w:rsidRDefault="008F6572" w:rsidP="008F6572">
      <w:pPr>
        <w:pStyle w:val="enumlev1"/>
        <w:rPr>
          <w:rFonts w:eastAsiaTheme="minorEastAsia" w:cstheme="minorHAnsi"/>
          <w:sz w:val="22"/>
          <w:szCs w:val="22"/>
        </w:rPr>
      </w:pPr>
      <w:r w:rsidRPr="00321CF2">
        <w:t>–</w:t>
      </w:r>
      <w:r w:rsidRPr="00321CF2">
        <w:tab/>
        <w:t>ISO/CEI JTC1/SC41</w:t>
      </w:r>
    </w:p>
    <w:p w14:paraId="12D56B2F" w14:textId="77777777" w:rsidR="008F6572" w:rsidRPr="00321CF2" w:rsidRDefault="008F6572" w:rsidP="008F6572">
      <w:pPr>
        <w:pStyle w:val="enumlev1"/>
        <w:rPr>
          <w:rFonts w:eastAsiaTheme="minorEastAsia" w:cstheme="minorHAnsi"/>
          <w:sz w:val="22"/>
          <w:szCs w:val="22"/>
        </w:rPr>
      </w:pPr>
      <w:r w:rsidRPr="00321CF2">
        <w:t>–</w:t>
      </w:r>
      <w:r w:rsidRPr="00321CF2">
        <w:tab/>
        <w:t>Activité conjointe de coordination sur l'Internet des objets, les jumeaux numériques et les villes et communautés intelligentes et durables (JCA-IoT, DT et SC&amp;C)</w:t>
      </w:r>
    </w:p>
    <w:p w14:paraId="76B5E69F" w14:textId="77777777" w:rsidR="00321CF2" w:rsidRPr="00321CF2" w:rsidRDefault="00321CF2" w:rsidP="008F6572">
      <w:pPr>
        <w:pStyle w:val="enumlev1"/>
      </w:pPr>
      <w:r w:rsidRPr="00321CF2">
        <w:br w:type="page"/>
      </w:r>
    </w:p>
    <w:p w14:paraId="207DA917" w14:textId="407C2C22" w:rsidR="008F6572" w:rsidRPr="00321CF2" w:rsidRDefault="008F6572" w:rsidP="008F6572">
      <w:pPr>
        <w:pStyle w:val="enumlev1"/>
        <w:rPr>
          <w:rFonts w:eastAsiaTheme="minorEastAsia" w:cstheme="minorHAnsi"/>
          <w:sz w:val="22"/>
          <w:szCs w:val="22"/>
        </w:rPr>
      </w:pPr>
      <w:r w:rsidRPr="00321CF2">
        <w:lastRenderedPageBreak/>
        <w:t>–</w:t>
      </w:r>
      <w:r w:rsidRPr="00321CF2">
        <w:tab/>
        <w:t>JCA-MV</w:t>
      </w:r>
    </w:p>
    <w:p w14:paraId="0FCCA7FB" w14:textId="77777777" w:rsidR="008F6572" w:rsidRPr="00321CF2" w:rsidRDefault="008F6572" w:rsidP="008F6572">
      <w:pPr>
        <w:pStyle w:val="enumlev1"/>
        <w:rPr>
          <w:rFonts w:eastAsiaTheme="minorEastAsia" w:cstheme="minorHAnsi"/>
          <w:sz w:val="22"/>
          <w:szCs w:val="22"/>
        </w:rPr>
      </w:pPr>
      <w:r w:rsidRPr="00321CF2">
        <w:t>–</w:t>
      </w:r>
      <w:r w:rsidRPr="00321CF2">
        <w:tab/>
        <w:t>FAO</w:t>
      </w:r>
    </w:p>
    <w:p w14:paraId="39550CBE" w14:textId="77777777" w:rsidR="008F6572" w:rsidRPr="00321CF2" w:rsidRDefault="008F6572" w:rsidP="008F6572">
      <w:pPr>
        <w:pStyle w:val="enumlev1"/>
        <w:rPr>
          <w:rFonts w:eastAsiaTheme="minorEastAsia" w:cstheme="minorHAnsi"/>
          <w:sz w:val="22"/>
          <w:szCs w:val="22"/>
        </w:rPr>
      </w:pPr>
      <w:r w:rsidRPr="00321CF2">
        <w:t>–</w:t>
      </w:r>
      <w:r w:rsidRPr="00321CF2">
        <w:tab/>
        <w:t>PAM</w:t>
      </w:r>
    </w:p>
    <w:p w14:paraId="0ED6B695" w14:textId="77777777" w:rsidR="008F6572" w:rsidRPr="00321CF2" w:rsidRDefault="008F6572" w:rsidP="008F6572">
      <w:pPr>
        <w:pStyle w:val="enumlev1"/>
        <w:rPr>
          <w:rFonts w:eastAsiaTheme="minorEastAsia" w:cstheme="minorHAnsi"/>
          <w:sz w:val="22"/>
          <w:szCs w:val="22"/>
        </w:rPr>
      </w:pPr>
      <w:r w:rsidRPr="00321CF2">
        <w:t>–</w:t>
      </w:r>
      <w:r w:rsidRPr="00321CF2">
        <w:tab/>
        <w:t>FIDA</w:t>
      </w:r>
    </w:p>
    <w:p w14:paraId="5E2738A3" w14:textId="77777777" w:rsidR="008F6572" w:rsidRPr="00321CF2" w:rsidRDefault="008F6572" w:rsidP="008F6572">
      <w:pPr>
        <w:pStyle w:val="headingb"/>
        <w:rPr>
          <w:rFonts w:eastAsiaTheme="minorEastAsia" w:cstheme="minorHAnsi"/>
          <w:sz w:val="22"/>
          <w:szCs w:val="22"/>
        </w:rPr>
      </w:pPr>
      <w:r w:rsidRPr="00321CF2">
        <w:t>Grandes orientations du SMSI:</w:t>
      </w:r>
    </w:p>
    <w:p w14:paraId="21B49C22" w14:textId="77777777" w:rsidR="008F6572" w:rsidRPr="00321CF2" w:rsidRDefault="008F6572" w:rsidP="008F6572">
      <w:pPr>
        <w:pStyle w:val="enumlev1"/>
        <w:rPr>
          <w:rFonts w:eastAsiaTheme="minorEastAsia" w:cstheme="minorHAnsi"/>
          <w:sz w:val="22"/>
          <w:szCs w:val="22"/>
        </w:rPr>
      </w:pPr>
      <w:r w:rsidRPr="00321CF2">
        <w:t>–</w:t>
      </w:r>
      <w:r w:rsidRPr="00321CF2">
        <w:tab/>
        <w:t>C2, C3, C6, C7 et C11</w:t>
      </w:r>
    </w:p>
    <w:p w14:paraId="28D692CE" w14:textId="77777777" w:rsidR="008F6572" w:rsidRPr="00321CF2" w:rsidRDefault="008F6572" w:rsidP="008F6572">
      <w:pPr>
        <w:pStyle w:val="headingb"/>
        <w:rPr>
          <w:rFonts w:eastAsiaTheme="minorEastAsia" w:cstheme="minorHAnsi"/>
          <w:sz w:val="22"/>
          <w:szCs w:val="22"/>
        </w:rPr>
      </w:pPr>
      <w:r w:rsidRPr="00321CF2">
        <w:t>Objectifs de développement durable:</w:t>
      </w:r>
    </w:p>
    <w:p w14:paraId="4ACAA321" w14:textId="77777777" w:rsidR="008F6572" w:rsidRPr="00321CF2" w:rsidRDefault="008F6572" w:rsidP="008F6572">
      <w:pPr>
        <w:pStyle w:val="enumlev1"/>
        <w:rPr>
          <w:rFonts w:eastAsiaTheme="minorEastAsia" w:cstheme="minorHAnsi"/>
          <w:sz w:val="22"/>
          <w:szCs w:val="22"/>
        </w:rPr>
      </w:pPr>
      <w:r w:rsidRPr="00321CF2">
        <w:t>–</w:t>
      </w:r>
      <w:r w:rsidRPr="00321CF2">
        <w:tab/>
        <w:t>2, 9, 11, 13, 14 et 15</w:t>
      </w:r>
    </w:p>
    <w:p w14:paraId="693C5ABE" w14:textId="77777777" w:rsidR="008F6572" w:rsidRPr="00321CF2" w:rsidRDefault="008F6572">
      <w:pPr>
        <w:jc w:val="center"/>
      </w:pPr>
      <w:r w:rsidRPr="00321CF2">
        <w:t>______________</w:t>
      </w:r>
    </w:p>
    <w:sectPr w:rsidR="008F6572" w:rsidRPr="00321CF2" w:rsidSect="00A15179">
      <w:headerReference w:type="default" r:id="rId12"/>
      <w:footerReference w:type="first" r:id="rId1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128FB3AD"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609579A9" w:rsidR="00697BC1" w:rsidRPr="00697BC1" w:rsidRDefault="00D36A8D"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C924FB">
      <w:rPr>
        <w:noProof/>
        <w:sz w:val="18"/>
        <w:szCs w:val="16"/>
      </w:rPr>
      <w:t>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686"/>
    <w:rsid w:val="00085F5A"/>
    <w:rsid w:val="000A11F9"/>
    <w:rsid w:val="000B0D96"/>
    <w:rsid w:val="000B59D8"/>
    <w:rsid w:val="000C1F6B"/>
    <w:rsid w:val="000C25CC"/>
    <w:rsid w:val="000C56BE"/>
    <w:rsid w:val="001026FD"/>
    <w:rsid w:val="001077FD"/>
    <w:rsid w:val="00115DD7"/>
    <w:rsid w:val="00167472"/>
    <w:rsid w:val="00167F92"/>
    <w:rsid w:val="00173738"/>
    <w:rsid w:val="001B79A3"/>
    <w:rsid w:val="001D0823"/>
    <w:rsid w:val="002152A3"/>
    <w:rsid w:val="0023667A"/>
    <w:rsid w:val="002937DB"/>
    <w:rsid w:val="002E395D"/>
    <w:rsid w:val="00307FB4"/>
    <w:rsid w:val="003131F0"/>
    <w:rsid w:val="00321CF2"/>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157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8F6572"/>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1655B"/>
    <w:rsid w:val="00B27B41"/>
    <w:rsid w:val="00B42659"/>
    <w:rsid w:val="00B46F2D"/>
    <w:rsid w:val="00B60868"/>
    <w:rsid w:val="00B8573E"/>
    <w:rsid w:val="00BB24C0"/>
    <w:rsid w:val="00BD6ECF"/>
    <w:rsid w:val="00C26F2E"/>
    <w:rsid w:val="00C302E3"/>
    <w:rsid w:val="00C41B89"/>
    <w:rsid w:val="00C45376"/>
    <w:rsid w:val="00C9028F"/>
    <w:rsid w:val="00C924FB"/>
    <w:rsid w:val="00CA0416"/>
    <w:rsid w:val="00CB1125"/>
    <w:rsid w:val="00CB4E80"/>
    <w:rsid w:val="00CD042E"/>
    <w:rsid w:val="00CF2560"/>
    <w:rsid w:val="00CF5B46"/>
    <w:rsid w:val="00D46B68"/>
    <w:rsid w:val="00D542A5"/>
    <w:rsid w:val="00DC3D47"/>
    <w:rsid w:val="00DD77DA"/>
    <w:rsid w:val="00E06C61"/>
    <w:rsid w:val="00E13DB3"/>
    <w:rsid w:val="00E16331"/>
    <w:rsid w:val="00E2408B"/>
    <w:rsid w:val="00E616F5"/>
    <w:rsid w:val="00E62CEA"/>
    <w:rsid w:val="00E72AE1"/>
    <w:rsid w:val="00ED6A7A"/>
    <w:rsid w:val="00EE4C36"/>
    <w:rsid w:val="00EF6A23"/>
    <w:rsid w:val="00F346CE"/>
    <w:rsid w:val="00F34F98"/>
    <w:rsid w:val="00F40540"/>
    <w:rsid w:val="00F67402"/>
    <w:rsid w:val="00F75F0A"/>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Reasons">
    <w:name w:val="Reasons"/>
    <w:basedOn w:val="Normal"/>
    <w:qFormat/>
    <w:rsid w:val="008F657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p=18&amp;q=11/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ITU-T/workprog/wp_search.aspx?sp=18&amp;q=11/20"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10438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2026-04-08T14:22:00Z</dcterms:created>
  <dcterms:modified xsi:type="dcterms:W3CDTF">2026-04-08T14:22:00Z</dcterms:modified>
</cp:coreProperties>
</file>