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4646B6E6"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CB7F24">
              <w:rPr>
                <w:rFonts w:cstheme="minorHAnsi" w:hint="eastAsia"/>
                <w:szCs w:val="22"/>
                <w:lang w:eastAsia="zh-CN"/>
              </w:rPr>
              <w:t>2</w:t>
            </w:r>
            <w:r>
              <w:rPr>
                <w:rFonts w:cstheme="minorHAnsi" w:hint="eastAsia"/>
                <w:szCs w:val="22"/>
                <w:lang w:eastAsia="zh-CN"/>
              </w:rPr>
              <w:t>月</w:t>
            </w:r>
            <w:r w:rsidR="00CB7F24">
              <w:rPr>
                <w:rFonts w:cstheme="minorHAnsi" w:hint="eastAsia"/>
                <w:szCs w:val="22"/>
                <w:lang w:eastAsia="zh-CN"/>
              </w:rPr>
              <w:t>16</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A129C1">
            <w:pPr>
              <w:pStyle w:val="Tabletext"/>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686" w:type="dxa"/>
            <w:gridSpan w:val="2"/>
          </w:tcPr>
          <w:p w14:paraId="1DD8F13F" w14:textId="4594B1C1"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CB7F24">
              <w:rPr>
                <w:rFonts w:cstheme="minorHAnsi" w:hint="eastAsia"/>
                <w:b/>
                <w:szCs w:val="22"/>
                <w:lang w:eastAsia="zh-CN"/>
              </w:rPr>
              <w:t>117</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527DE922" w:rsidR="00C87A03" w:rsidRPr="003D69B8" w:rsidRDefault="00CB7F24" w:rsidP="002F750E">
            <w:pPr>
              <w:pStyle w:val="Tabletext"/>
              <w:ind w:firstLine="23"/>
              <w:rPr>
                <w:rFonts w:cstheme="minorHAnsi"/>
                <w:szCs w:val="22"/>
                <w:lang w:eastAsia="zh-CN"/>
              </w:rPr>
            </w:pPr>
            <w:r w:rsidRPr="003D69B8">
              <w:rPr>
                <w:rFonts w:cstheme="minorHAnsi"/>
                <w:szCs w:val="22"/>
                <w:lang w:eastAsia="zh-CN"/>
              </w:rPr>
              <w:t>SG</w:t>
            </w:r>
            <w:r>
              <w:rPr>
                <w:rFonts w:cstheme="minorHAnsi" w:hint="eastAsia"/>
                <w:szCs w:val="22"/>
                <w:lang w:eastAsia="zh-CN"/>
              </w:rPr>
              <w:t>20</w:t>
            </w:r>
            <w:r w:rsidRPr="003D69B8">
              <w:rPr>
                <w:rFonts w:cstheme="minorHAnsi"/>
                <w:szCs w:val="22"/>
                <w:lang w:eastAsia="zh-CN"/>
              </w:rPr>
              <w:t>/</w:t>
            </w:r>
            <w:r>
              <w:rPr>
                <w:rFonts w:cstheme="minorHAnsi" w:hint="eastAsia"/>
                <w:szCs w:val="22"/>
                <w:lang w:eastAsia="zh-CN"/>
              </w:rPr>
              <w:t>CB</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56A3640E" w14:textId="77777777" w:rsidR="00CB7F24" w:rsidRPr="00147EE9" w:rsidRDefault="00CB7F24" w:rsidP="00CB7F24">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proofErr w:type="gramStart"/>
            <w:r w:rsidRPr="00147EE9">
              <w:rPr>
                <w:rFonts w:eastAsiaTheme="minorEastAsia" w:cstheme="minorHAnsi" w:hint="eastAsia"/>
                <w:szCs w:val="22"/>
                <w:lang w:eastAsia="zh-CN"/>
              </w:rPr>
              <w:t>国际电联各成员国主管部门；</w:t>
            </w:r>
            <w:proofErr w:type="gramEnd"/>
          </w:p>
          <w:p w14:paraId="554262A6" w14:textId="77777777" w:rsidR="00CB7F24" w:rsidRPr="000430FF" w:rsidRDefault="00CB7F24" w:rsidP="00CB7F24">
            <w:pPr>
              <w:pStyle w:val="Tabletext"/>
              <w:tabs>
                <w:tab w:val="clear" w:pos="284"/>
                <w:tab w:val="clear" w:pos="567"/>
                <w:tab w:val="left" w:pos="572"/>
                <w:tab w:val="left" w:pos="627"/>
              </w:tabs>
              <w:spacing w:after="0"/>
              <w:ind w:left="430" w:hanging="373"/>
              <w:rPr>
                <w:rFonts w:eastAsiaTheme="minorEastAsia" w:cs="Calibr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proofErr w:type="gramEnd"/>
          </w:p>
          <w:p w14:paraId="6ECF53EB" w14:textId="77777777" w:rsidR="00CB7F24" w:rsidRPr="00A57F24" w:rsidRDefault="00CB7F24" w:rsidP="00CB7F24">
            <w:pPr>
              <w:pStyle w:val="Tabletext"/>
              <w:ind w:left="283" w:hanging="283"/>
              <w:rPr>
                <w:rFonts w:cstheme="minorHAnsi"/>
                <w:szCs w:val="22"/>
                <w:lang w:eastAsia="zh-CN"/>
              </w:rPr>
            </w:pPr>
            <w:r w:rsidRPr="00A57F24">
              <w:rPr>
                <w:b/>
                <w:bCs/>
                <w:szCs w:val="22"/>
                <w:lang w:val="zh-CN" w:eastAsia="zh-CN"/>
              </w:rPr>
              <w:t>抄送：</w:t>
            </w:r>
          </w:p>
          <w:p w14:paraId="22D34181" w14:textId="77777777" w:rsidR="00CB7F24" w:rsidRPr="00A57F24" w:rsidRDefault="00CB7F24" w:rsidP="00CB7F24">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w:t>
            </w:r>
            <w:proofErr w:type="gramStart"/>
            <w:r w:rsidRPr="00A57F24">
              <w:rPr>
                <w:szCs w:val="22"/>
                <w:lang w:val="zh-CN" w:eastAsia="zh-CN"/>
              </w:rPr>
              <w:t>T</w:t>
            </w:r>
            <w:r w:rsidRPr="00A57F24">
              <w:rPr>
                <w:szCs w:val="22"/>
                <w:lang w:val="zh-CN" w:eastAsia="zh-CN"/>
              </w:rPr>
              <w:t>部门成员</w:t>
            </w:r>
            <w:r w:rsidRPr="00A57F24">
              <w:rPr>
                <w:rFonts w:hint="eastAsia"/>
                <w:szCs w:val="22"/>
                <w:lang w:val="zh-CN" w:eastAsia="zh-CN"/>
              </w:rPr>
              <w:t>；</w:t>
            </w:r>
            <w:proofErr w:type="gramEnd"/>
          </w:p>
          <w:p w14:paraId="1D84B154" w14:textId="77777777" w:rsidR="00CB7F24" w:rsidRPr="00A57F24" w:rsidRDefault="00CB7F24" w:rsidP="00CB7F24">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ITU-</w:t>
            </w:r>
            <w:proofErr w:type="gramStart"/>
            <w:r w:rsidRPr="00A57F24">
              <w:rPr>
                <w:szCs w:val="22"/>
                <w:lang w:val="zh-CN" w:eastAsia="zh-CN"/>
              </w:rPr>
              <w:t>T</w:t>
            </w:r>
            <w:r w:rsidRPr="00A57F24">
              <w:rPr>
                <w:szCs w:val="22"/>
                <w:lang w:val="zh-CN" w:eastAsia="zh-CN"/>
              </w:rPr>
              <w:t>第</w:t>
            </w:r>
            <w:r>
              <w:rPr>
                <w:rFonts w:hint="eastAsia"/>
                <w:szCs w:val="22"/>
                <w:lang w:eastAsia="zh-CN"/>
              </w:rPr>
              <w:t>20</w:t>
            </w:r>
            <w:r w:rsidRPr="00A57F24">
              <w:rPr>
                <w:szCs w:val="22"/>
                <w:lang w:val="zh-CN" w:eastAsia="zh-CN"/>
              </w:rPr>
              <w:t>研究组</w:t>
            </w:r>
            <w:r w:rsidRPr="00A57F24">
              <w:rPr>
                <w:rFonts w:hint="eastAsia"/>
                <w:szCs w:val="22"/>
                <w:lang w:val="zh-CN" w:eastAsia="zh-CN"/>
              </w:rPr>
              <w:t>部门</w:t>
            </w:r>
            <w:r w:rsidRPr="00A57F24">
              <w:rPr>
                <w:szCs w:val="22"/>
                <w:lang w:val="zh-CN" w:eastAsia="zh-CN"/>
              </w:rPr>
              <w:t>准成员；</w:t>
            </w:r>
            <w:proofErr w:type="gramEnd"/>
          </w:p>
          <w:p w14:paraId="0693B797" w14:textId="77777777" w:rsidR="00CB7F24" w:rsidRPr="00A57F24" w:rsidRDefault="00CB7F24" w:rsidP="00CB7F24">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892532">
              <w:rPr>
                <w:rFonts w:cstheme="minorHAnsi"/>
                <w:szCs w:val="22"/>
                <w:lang w:eastAsia="zh-CN"/>
              </w:rPr>
              <w:t>国际</w:t>
            </w:r>
            <w:r w:rsidRPr="00A57F24">
              <w:rPr>
                <w:szCs w:val="22"/>
                <w:lang w:val="zh-CN" w:eastAsia="zh-CN"/>
              </w:rPr>
              <w:t>电联学术成员；</w:t>
            </w:r>
            <w:proofErr w:type="gramEnd"/>
          </w:p>
          <w:p w14:paraId="6BF6C7B0" w14:textId="77777777" w:rsidR="00CB7F24" w:rsidRPr="00A57F24" w:rsidRDefault="00CB7F24" w:rsidP="00CB7F24">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t>ITU</w:t>
            </w:r>
            <w:r w:rsidRPr="00A57F24">
              <w:rPr>
                <w:szCs w:val="22"/>
                <w:lang w:val="zh-CN" w:eastAsia="zh-CN"/>
              </w:rPr>
              <w:t>-</w:t>
            </w:r>
            <w:proofErr w:type="gramStart"/>
            <w:r w:rsidRPr="00A57F24">
              <w:rPr>
                <w:szCs w:val="22"/>
                <w:lang w:val="zh-CN" w:eastAsia="zh-CN"/>
              </w:rPr>
              <w:t>T</w:t>
            </w:r>
            <w:r w:rsidRPr="00A57F24">
              <w:rPr>
                <w:szCs w:val="22"/>
                <w:lang w:val="zh-CN" w:eastAsia="zh-CN"/>
              </w:rPr>
              <w:t>第</w:t>
            </w:r>
            <w:r>
              <w:rPr>
                <w:rFonts w:hint="eastAsia"/>
                <w:szCs w:val="22"/>
                <w:lang w:eastAsia="zh-CN"/>
              </w:rPr>
              <w:t>20</w:t>
            </w:r>
            <w:r w:rsidRPr="00A57F24">
              <w:rPr>
                <w:szCs w:val="22"/>
                <w:lang w:val="zh-CN" w:eastAsia="zh-CN"/>
              </w:rPr>
              <w:t>研究组正副主席；</w:t>
            </w:r>
            <w:proofErr w:type="gramEnd"/>
          </w:p>
          <w:p w14:paraId="75578EBD" w14:textId="77777777" w:rsidR="00CB7F24" w:rsidRPr="00A57F24" w:rsidRDefault="00CB7F24" w:rsidP="00CB7F24">
            <w:pPr>
              <w:pStyle w:val="Tabletext"/>
              <w:tabs>
                <w:tab w:val="clear" w:pos="284"/>
                <w:tab w:val="clear" w:pos="567"/>
                <w:tab w:val="left" w:pos="430"/>
                <w:tab w:val="left" w:pos="627"/>
              </w:tabs>
              <w:spacing w:after="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roofErr w:type="gramEnd"/>
          </w:p>
          <w:p w14:paraId="33CA4446" w14:textId="3B0BE6C4" w:rsidR="0038260B" w:rsidRPr="007B10DD" w:rsidRDefault="00CB7F24" w:rsidP="00CB7F24">
            <w:pPr>
              <w:pStyle w:val="Tabletext"/>
              <w:tabs>
                <w:tab w:val="clear" w:pos="284"/>
                <w:tab w:val="clear" w:pos="567"/>
                <w:tab w:val="left" w:pos="430"/>
                <w:tab w:val="left" w:pos="627"/>
              </w:tabs>
              <w:spacing w:after="0"/>
              <w:ind w:left="430" w:hanging="336"/>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tc>
      </w:tr>
      <w:bookmarkEnd w:id="0"/>
      <w:tr w:rsidR="00CB7F24" w:rsidRPr="003D69B8" w14:paraId="2419CB4B" w14:textId="77777777" w:rsidTr="00666DD6">
        <w:trPr>
          <w:cantSplit/>
          <w:trHeight w:val="221"/>
        </w:trPr>
        <w:tc>
          <w:tcPr>
            <w:tcW w:w="1134" w:type="dxa"/>
          </w:tcPr>
          <w:p w14:paraId="22993216" w14:textId="6F40941A" w:rsidR="00CB7F24" w:rsidRPr="003D69B8" w:rsidRDefault="00CB7F24" w:rsidP="00CB7F24">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686" w:type="dxa"/>
            <w:gridSpan w:val="2"/>
          </w:tcPr>
          <w:p w14:paraId="6A233FF2" w14:textId="38E6A08C" w:rsidR="00CB7F24" w:rsidRPr="00983374" w:rsidRDefault="00CB7F24" w:rsidP="00CB7F24">
            <w:pPr>
              <w:pStyle w:val="Tabletext"/>
              <w:ind w:firstLine="23"/>
              <w:rPr>
                <w:lang w:eastAsia="zh-CN"/>
              </w:rPr>
            </w:pPr>
            <w:r w:rsidRPr="00EC3E05">
              <w:rPr>
                <w:rFonts w:cstheme="minorHAnsi"/>
                <w:szCs w:val="22"/>
              </w:rPr>
              <w:t xml:space="preserve">+41 22 730 </w:t>
            </w:r>
            <w:r w:rsidRPr="00EC3E05">
              <w:t>6</w:t>
            </w:r>
            <w:r>
              <w:rPr>
                <w:rFonts w:hint="eastAsia"/>
                <w:lang w:eastAsia="zh-CN"/>
              </w:rPr>
              <w:t>301</w:t>
            </w:r>
          </w:p>
        </w:tc>
        <w:tc>
          <w:tcPr>
            <w:tcW w:w="5245" w:type="dxa"/>
            <w:gridSpan w:val="2"/>
            <w:vMerge/>
          </w:tcPr>
          <w:p w14:paraId="65590B77" w14:textId="77777777" w:rsidR="00CB7F24" w:rsidRPr="003D69B8" w:rsidRDefault="00CB7F24" w:rsidP="00CB7F24">
            <w:pPr>
              <w:pStyle w:val="Tabletext"/>
              <w:ind w:left="283" w:hanging="283"/>
              <w:rPr>
                <w:rFonts w:cstheme="minorHAnsi"/>
                <w:szCs w:val="22"/>
              </w:rPr>
            </w:pPr>
          </w:p>
        </w:tc>
      </w:tr>
      <w:tr w:rsidR="00CB7F24" w:rsidRPr="003D69B8" w14:paraId="029CC34E" w14:textId="77777777" w:rsidTr="00666DD6">
        <w:trPr>
          <w:cantSplit/>
          <w:trHeight w:val="282"/>
        </w:trPr>
        <w:tc>
          <w:tcPr>
            <w:tcW w:w="1134" w:type="dxa"/>
          </w:tcPr>
          <w:p w14:paraId="0C98C7C7" w14:textId="3C6543B7" w:rsidR="00CB7F24" w:rsidRPr="003D69B8" w:rsidRDefault="00CB7F24" w:rsidP="00CB7F24">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686" w:type="dxa"/>
            <w:gridSpan w:val="2"/>
          </w:tcPr>
          <w:p w14:paraId="5C34D45D" w14:textId="4DB881B7" w:rsidR="00CB7F24" w:rsidRPr="003D69B8" w:rsidRDefault="00CB7F24" w:rsidP="00CB7F24">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CB7F24" w:rsidRPr="003D69B8" w:rsidRDefault="00CB7F24" w:rsidP="00CB7F24">
            <w:pPr>
              <w:pStyle w:val="Tabletext"/>
              <w:ind w:left="283" w:hanging="283"/>
              <w:rPr>
                <w:rFonts w:cstheme="minorHAnsi"/>
                <w:szCs w:val="22"/>
              </w:rPr>
            </w:pPr>
          </w:p>
        </w:tc>
      </w:tr>
      <w:tr w:rsidR="00CB7F24" w:rsidRPr="003D69B8" w14:paraId="130ED457" w14:textId="77777777" w:rsidTr="0016174E">
        <w:trPr>
          <w:cantSplit/>
          <w:trHeight w:val="1749"/>
        </w:trPr>
        <w:tc>
          <w:tcPr>
            <w:tcW w:w="1134" w:type="dxa"/>
          </w:tcPr>
          <w:p w14:paraId="7E3458C0" w14:textId="45371EC0" w:rsidR="00CB7F24" w:rsidRPr="003D69B8" w:rsidRDefault="00CB7F24" w:rsidP="00CB7F24">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686" w:type="dxa"/>
            <w:gridSpan w:val="2"/>
          </w:tcPr>
          <w:p w14:paraId="393DAFA4" w14:textId="6EA38B22" w:rsidR="00CB7F24" w:rsidRPr="003D69B8" w:rsidRDefault="00CB7F24" w:rsidP="00CB7F24">
            <w:pPr>
              <w:pStyle w:val="Tabletext"/>
              <w:ind w:firstLine="23"/>
              <w:rPr>
                <w:rFonts w:cstheme="minorHAnsi"/>
                <w:szCs w:val="22"/>
              </w:rPr>
            </w:pPr>
            <w:hyperlink r:id="rId12" w:history="1">
              <w:r w:rsidRPr="00DB75DE">
                <w:rPr>
                  <w:rStyle w:val="Hyperlink"/>
                  <w:rFonts w:cstheme="minorHAnsi"/>
                  <w:szCs w:val="22"/>
                </w:rPr>
                <w:t>tsbsg</w:t>
              </w:r>
              <w:r w:rsidRPr="00DB75DE">
                <w:rPr>
                  <w:rStyle w:val="Hyperlink"/>
                  <w:rFonts w:cstheme="minorHAnsi" w:hint="eastAsia"/>
                  <w:szCs w:val="22"/>
                  <w:lang w:eastAsia="zh-CN"/>
                </w:rPr>
                <w:t>20</w:t>
              </w:r>
              <w:r w:rsidRPr="00DB75DE">
                <w:rPr>
                  <w:rStyle w:val="Hyperlink"/>
                  <w:rFonts w:cstheme="minorHAnsi"/>
                  <w:szCs w:val="22"/>
                </w:rPr>
                <w:t>@itu.int</w:t>
              </w:r>
            </w:hyperlink>
          </w:p>
        </w:tc>
        <w:tc>
          <w:tcPr>
            <w:tcW w:w="5245" w:type="dxa"/>
            <w:gridSpan w:val="2"/>
            <w:vMerge/>
          </w:tcPr>
          <w:p w14:paraId="0E880404" w14:textId="77777777" w:rsidR="00CB7F24" w:rsidRPr="003D69B8" w:rsidRDefault="00CB7F24" w:rsidP="00CB7F24">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12800DCF" w:rsidR="00951309" w:rsidRPr="005F1929" w:rsidRDefault="00CB7F24" w:rsidP="00FA0A8E">
            <w:pPr>
              <w:pStyle w:val="Tabletext"/>
              <w:spacing w:before="120" w:after="0"/>
              <w:ind w:firstLine="37"/>
              <w:rPr>
                <w:rFonts w:cstheme="minorHAnsi"/>
                <w:b/>
                <w:bCs/>
                <w:szCs w:val="22"/>
                <w:lang w:eastAsia="zh-CN"/>
              </w:rPr>
            </w:pPr>
            <w:r>
              <w:rPr>
                <w:b/>
                <w:bCs/>
                <w:color w:val="000000"/>
                <w:lang w:val="zh-CN" w:eastAsia="zh-CN"/>
              </w:rPr>
              <w:t>第</w:t>
            </w:r>
            <w:r>
              <w:rPr>
                <w:b/>
                <w:bCs/>
                <w:color w:val="000000"/>
                <w:lang w:val="zh-CN" w:eastAsia="zh-CN"/>
              </w:rPr>
              <w:t>11/20</w:t>
            </w:r>
            <w:r>
              <w:rPr>
                <w:b/>
                <w:bCs/>
                <w:color w:val="000000"/>
                <w:lang w:val="zh-CN" w:eastAsia="zh-CN"/>
              </w:rPr>
              <w:t>号新课题的职责范围</w:t>
            </w:r>
          </w:p>
        </w:tc>
      </w:tr>
    </w:tbl>
    <w:p w14:paraId="77290EF7" w14:textId="77777777" w:rsidR="00BD2921" w:rsidRPr="00BD2921" w:rsidRDefault="00BD2921" w:rsidP="00BD2921">
      <w:pPr>
        <w:spacing w:before="240" w:after="120"/>
        <w:rPr>
          <w:rFonts w:ascii="Calibri" w:hAnsi="Calibri"/>
          <w:szCs w:val="22"/>
          <w:lang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3BAD38B8" w14:textId="77777777" w:rsidR="00CB7F24" w:rsidRPr="009C52C1" w:rsidRDefault="00CB7F24" w:rsidP="00CB7F24">
      <w:pPr>
        <w:spacing w:before="0"/>
        <w:rPr>
          <w:szCs w:val="22"/>
          <w:lang w:eastAsia="zh-CN"/>
        </w:rPr>
      </w:pPr>
      <w:r>
        <w:rPr>
          <w:lang w:val="zh-CN" w:eastAsia="zh-CN"/>
        </w:rPr>
        <w:t>1</w:t>
      </w:r>
      <w:r>
        <w:rPr>
          <w:lang w:val="zh-CN" w:eastAsia="zh-CN"/>
        </w:rPr>
        <w:tab/>
      </w:r>
      <w:r w:rsidRPr="00DD01B8">
        <w:rPr>
          <w:rFonts w:hint="eastAsia"/>
          <w:lang w:val="zh-CN" w:eastAsia="zh-CN"/>
        </w:rPr>
        <w:t>应</w:t>
      </w:r>
      <w:r w:rsidRPr="00DD01B8">
        <w:rPr>
          <w:rFonts w:hint="eastAsia"/>
          <w:lang w:val="zh-CN" w:eastAsia="zh-CN"/>
        </w:rPr>
        <w:t>ITU-T</w:t>
      </w:r>
      <w:r w:rsidRPr="00DD01B8">
        <w:rPr>
          <w:rFonts w:hint="eastAsia"/>
          <w:lang w:val="zh-CN" w:eastAsia="zh-CN"/>
        </w:rPr>
        <w:t>第</w:t>
      </w:r>
      <w:r w:rsidRPr="00DD01B8">
        <w:rPr>
          <w:rFonts w:hint="eastAsia"/>
          <w:lang w:val="zh-CN" w:eastAsia="zh-CN"/>
        </w:rPr>
        <w:t>20</w:t>
      </w:r>
      <w:r w:rsidRPr="00DD01B8">
        <w:rPr>
          <w:rFonts w:hint="eastAsia"/>
          <w:lang w:val="zh-CN" w:eastAsia="zh-CN"/>
        </w:rPr>
        <w:t>研究组（</w:t>
      </w:r>
      <w:r w:rsidRPr="00DD01B8">
        <w:rPr>
          <w:rFonts w:ascii="STKaiti" w:eastAsia="STKaiti" w:hAnsi="STKaiti" w:hint="eastAsia"/>
          <w:lang w:val="zh-CN" w:eastAsia="zh-CN"/>
        </w:rPr>
        <w:t>物联网、数字孪生与可持续智慧城市和社区</w:t>
      </w:r>
      <w:r w:rsidRPr="00DD01B8">
        <w:rPr>
          <w:rFonts w:hint="eastAsia"/>
          <w:lang w:val="zh-CN" w:eastAsia="zh-CN"/>
        </w:rPr>
        <w:t>）主席的请求，我荣幸地通知您，根据第</w:t>
      </w:r>
      <w:r w:rsidRPr="00DD01B8">
        <w:rPr>
          <w:rFonts w:hint="eastAsia"/>
          <w:lang w:val="zh-CN" w:eastAsia="zh-CN"/>
        </w:rPr>
        <w:t>1</w:t>
      </w:r>
      <w:r w:rsidRPr="00DD01B8">
        <w:rPr>
          <w:rFonts w:hint="eastAsia"/>
          <w:lang w:val="zh-CN" w:eastAsia="zh-CN"/>
        </w:rPr>
        <w:t>号决议（</w:t>
      </w:r>
      <w:r w:rsidRPr="00DD01B8">
        <w:rPr>
          <w:rFonts w:hint="eastAsia"/>
          <w:lang w:val="zh-CN" w:eastAsia="zh-CN"/>
        </w:rPr>
        <w:t>2022</w:t>
      </w:r>
      <w:r w:rsidRPr="00DD01B8">
        <w:rPr>
          <w:rFonts w:hint="eastAsia"/>
          <w:lang w:val="zh-CN" w:eastAsia="zh-CN"/>
        </w:rPr>
        <w:t>年，日内瓦，修订版）第</w:t>
      </w:r>
      <w:r w:rsidRPr="00DD01B8">
        <w:rPr>
          <w:rFonts w:hint="eastAsia"/>
          <w:lang w:val="zh-CN" w:eastAsia="zh-CN"/>
        </w:rPr>
        <w:t>7</w:t>
      </w:r>
      <w:r w:rsidRPr="00DD01B8">
        <w:rPr>
          <w:rFonts w:hint="eastAsia"/>
          <w:lang w:val="zh-CN" w:eastAsia="zh-CN"/>
        </w:rPr>
        <w:t>节第</w:t>
      </w:r>
      <w:r w:rsidRPr="00DD01B8">
        <w:rPr>
          <w:rFonts w:hint="eastAsia"/>
          <w:lang w:val="zh-CN" w:eastAsia="zh-CN"/>
        </w:rPr>
        <w:t>7.2.2</w:t>
      </w:r>
      <w:r w:rsidRPr="00DD01B8">
        <w:rPr>
          <w:rFonts w:hint="eastAsia"/>
          <w:lang w:val="zh-CN" w:eastAsia="zh-CN"/>
        </w:rPr>
        <w:t>段的规定，与会各方协商一致做出以下决定：</w:t>
      </w:r>
    </w:p>
    <w:p w14:paraId="7F65CA60" w14:textId="77777777" w:rsidR="00CB7F24" w:rsidRPr="009C52C1" w:rsidRDefault="00CB7F24" w:rsidP="00CB7F24">
      <w:pPr>
        <w:pStyle w:val="enumlev1"/>
        <w:tabs>
          <w:tab w:val="clear" w:pos="794"/>
          <w:tab w:val="clear" w:pos="1191"/>
          <w:tab w:val="clear" w:pos="1588"/>
          <w:tab w:val="clear" w:pos="1985"/>
        </w:tabs>
        <w:spacing w:before="0"/>
        <w:ind w:left="812" w:hanging="812"/>
        <w:rPr>
          <w:szCs w:val="22"/>
          <w:lang w:eastAsia="zh-CN"/>
        </w:rPr>
      </w:pPr>
      <w:r>
        <w:rPr>
          <w:lang w:val="zh-CN" w:eastAsia="zh-CN"/>
        </w:rPr>
        <w:t>–</w:t>
      </w:r>
      <w:r>
        <w:rPr>
          <w:lang w:val="zh-CN" w:eastAsia="zh-CN"/>
        </w:rPr>
        <w:tab/>
      </w:r>
      <w:r w:rsidRPr="00DD01B8">
        <w:rPr>
          <w:rFonts w:hint="eastAsia"/>
          <w:lang w:val="zh-CN" w:eastAsia="zh-CN"/>
        </w:rPr>
        <w:t>该研究组</w:t>
      </w:r>
      <w:r>
        <w:rPr>
          <w:rFonts w:hint="eastAsia"/>
          <w:lang w:val="zh-CN" w:eastAsia="zh-CN"/>
        </w:rPr>
        <w:t>于</w:t>
      </w:r>
      <w:r w:rsidRPr="00DD01B8">
        <w:rPr>
          <w:rFonts w:hint="eastAsia"/>
          <w:lang w:val="zh-CN" w:eastAsia="zh-CN"/>
        </w:rPr>
        <w:t>2025</w:t>
      </w:r>
      <w:r w:rsidRPr="00DD01B8">
        <w:rPr>
          <w:rFonts w:hint="eastAsia"/>
          <w:lang w:val="zh-CN" w:eastAsia="zh-CN"/>
        </w:rPr>
        <w:t>年</w:t>
      </w:r>
      <w:r w:rsidRPr="00DD01B8">
        <w:rPr>
          <w:rFonts w:hint="eastAsia"/>
          <w:lang w:val="zh-CN" w:eastAsia="zh-CN"/>
        </w:rPr>
        <w:t>9</w:t>
      </w:r>
      <w:r w:rsidRPr="00DD01B8">
        <w:rPr>
          <w:rFonts w:hint="eastAsia"/>
          <w:lang w:val="zh-CN" w:eastAsia="zh-CN"/>
        </w:rPr>
        <w:t>月</w:t>
      </w:r>
      <w:r w:rsidRPr="00DD01B8">
        <w:rPr>
          <w:rFonts w:hint="eastAsia"/>
          <w:lang w:val="zh-CN" w:eastAsia="zh-CN"/>
        </w:rPr>
        <w:t>15</w:t>
      </w:r>
      <w:r w:rsidRPr="00DD01B8">
        <w:rPr>
          <w:rFonts w:hint="eastAsia"/>
          <w:lang w:val="zh-CN" w:eastAsia="zh-CN"/>
        </w:rPr>
        <w:t>日至</w:t>
      </w:r>
      <w:r w:rsidRPr="00DD01B8">
        <w:rPr>
          <w:rFonts w:hint="eastAsia"/>
          <w:lang w:val="zh-CN" w:eastAsia="zh-CN"/>
        </w:rPr>
        <w:t>25</w:t>
      </w:r>
      <w:r w:rsidRPr="00DD01B8">
        <w:rPr>
          <w:rFonts w:hint="eastAsia"/>
          <w:lang w:val="zh-CN" w:eastAsia="zh-CN"/>
        </w:rPr>
        <w:t>日在日内瓦举行的会议上同意设立一个新的第</w:t>
      </w:r>
      <w:r w:rsidRPr="00DD01B8">
        <w:rPr>
          <w:rFonts w:hint="eastAsia"/>
          <w:lang w:val="zh-CN" w:eastAsia="zh-CN"/>
        </w:rPr>
        <w:t>11/20</w:t>
      </w:r>
      <w:r w:rsidRPr="00DD01B8">
        <w:rPr>
          <w:rFonts w:hint="eastAsia"/>
          <w:lang w:val="zh-CN" w:eastAsia="zh-CN"/>
        </w:rPr>
        <w:t>号课题“</w:t>
      </w:r>
      <w:r w:rsidRPr="00DD01B8">
        <w:rPr>
          <w:rFonts w:ascii="STKaiti" w:eastAsia="STKaiti" w:hAnsi="STKaiti" w:hint="eastAsia"/>
          <w:lang w:val="zh-CN" w:eastAsia="zh-CN"/>
        </w:rPr>
        <w:t>数字农业：从智慧农场和生产到安全</w:t>
      </w:r>
      <w:r>
        <w:rPr>
          <w:rFonts w:ascii="STKaiti" w:eastAsia="STKaiti" w:hAnsi="STKaiti" w:hint="eastAsia"/>
          <w:lang w:val="zh-CN" w:eastAsia="zh-CN"/>
        </w:rPr>
        <w:t>稳妥的</w:t>
      </w:r>
      <w:r w:rsidRPr="00DD01B8">
        <w:rPr>
          <w:rFonts w:ascii="STKaiti" w:eastAsia="STKaiti" w:hAnsi="STKaiti" w:hint="eastAsia"/>
          <w:lang w:val="zh-CN" w:eastAsia="zh-CN"/>
        </w:rPr>
        <w:t>消费</w:t>
      </w:r>
      <w:r w:rsidRPr="00DD01B8">
        <w:rPr>
          <w:rFonts w:hint="eastAsia"/>
          <w:lang w:val="zh-CN" w:eastAsia="zh-CN"/>
        </w:rPr>
        <w:t>”。</w:t>
      </w:r>
    </w:p>
    <w:p w14:paraId="7F11B56A" w14:textId="77777777" w:rsidR="00CB7F24" w:rsidRPr="009C52C1" w:rsidRDefault="00CB7F24" w:rsidP="00CB7F24">
      <w:pPr>
        <w:spacing w:before="0"/>
        <w:rPr>
          <w:szCs w:val="22"/>
          <w:lang w:eastAsia="zh-CN"/>
        </w:rPr>
      </w:pPr>
      <w:r>
        <w:rPr>
          <w:lang w:val="zh-CN" w:eastAsia="zh-CN"/>
        </w:rPr>
        <w:t>2</w:t>
      </w:r>
      <w:r>
        <w:rPr>
          <w:lang w:val="zh-CN" w:eastAsia="zh-CN"/>
        </w:rPr>
        <w:tab/>
      </w:r>
      <w:r>
        <w:rPr>
          <w:lang w:val="zh-CN" w:eastAsia="zh-CN"/>
        </w:rPr>
        <w:t>电信标准化顾问组（</w:t>
      </w:r>
      <w:r>
        <w:rPr>
          <w:lang w:val="zh-CN" w:eastAsia="zh-CN"/>
        </w:rPr>
        <w:t>TSAG</w:t>
      </w:r>
      <w:r>
        <w:rPr>
          <w:lang w:val="zh-CN" w:eastAsia="zh-CN"/>
        </w:rPr>
        <w:t>）</w:t>
      </w:r>
      <w:r>
        <w:rPr>
          <w:rFonts w:hint="eastAsia"/>
          <w:lang w:val="zh-CN" w:eastAsia="zh-CN"/>
        </w:rPr>
        <w:t>于</w:t>
      </w:r>
      <w:r>
        <w:rPr>
          <w:lang w:val="zh-CN" w:eastAsia="zh-CN"/>
        </w:rPr>
        <w:t>2026</w:t>
      </w:r>
      <w:r>
        <w:rPr>
          <w:lang w:val="zh-CN" w:eastAsia="zh-CN"/>
        </w:rPr>
        <w:t>年</w:t>
      </w:r>
      <w:r>
        <w:rPr>
          <w:lang w:val="zh-CN" w:eastAsia="zh-CN"/>
        </w:rPr>
        <w:t>1</w:t>
      </w:r>
      <w:r>
        <w:rPr>
          <w:lang w:val="zh-CN" w:eastAsia="zh-CN"/>
        </w:rPr>
        <w:t>月</w:t>
      </w:r>
      <w:r>
        <w:rPr>
          <w:lang w:val="zh-CN" w:eastAsia="zh-CN"/>
        </w:rPr>
        <w:t>26</w:t>
      </w:r>
      <w:r>
        <w:rPr>
          <w:lang w:val="zh-CN" w:eastAsia="zh-CN"/>
        </w:rPr>
        <w:t>日至</w:t>
      </w:r>
      <w:r>
        <w:rPr>
          <w:lang w:val="zh-CN" w:eastAsia="zh-CN"/>
        </w:rPr>
        <w:t>30</w:t>
      </w:r>
      <w:r>
        <w:rPr>
          <w:lang w:val="zh-CN" w:eastAsia="zh-CN"/>
        </w:rPr>
        <w:t>日在日内瓦举行的会议上，批准了</w:t>
      </w:r>
      <w:r>
        <w:rPr>
          <w:lang w:val="zh-CN" w:eastAsia="zh-CN"/>
        </w:rPr>
        <w:t>ITU-T</w:t>
      </w:r>
      <w:r>
        <w:rPr>
          <w:lang w:val="zh-CN" w:eastAsia="zh-CN"/>
        </w:rPr>
        <w:t>第</w:t>
      </w:r>
      <w:r>
        <w:rPr>
          <w:lang w:val="zh-CN" w:eastAsia="zh-CN"/>
        </w:rPr>
        <w:t>20</w:t>
      </w:r>
      <w:r>
        <w:rPr>
          <w:lang w:val="zh-CN" w:eastAsia="zh-CN"/>
        </w:rPr>
        <w:t>研究组提出的第</w:t>
      </w:r>
      <w:r>
        <w:rPr>
          <w:lang w:val="zh-CN" w:eastAsia="zh-CN"/>
        </w:rPr>
        <w:t>11/20</w:t>
      </w:r>
      <w:r>
        <w:rPr>
          <w:lang w:val="zh-CN" w:eastAsia="zh-CN"/>
        </w:rPr>
        <w:t>号新课题的职责范围。</w:t>
      </w:r>
    </w:p>
    <w:p w14:paraId="65699D1D" w14:textId="77777777" w:rsidR="00CB7F24" w:rsidRDefault="00CB7F24" w:rsidP="00CB7F24">
      <w:pPr>
        <w:rPr>
          <w:rFonts w:ascii="Calibri" w:hAnsi="Calibri"/>
          <w:lang w:val="zh-CN" w:eastAsia="zh-CN"/>
        </w:rPr>
      </w:pPr>
      <w:r>
        <w:rPr>
          <w:lang w:val="zh-CN" w:eastAsia="zh-CN"/>
        </w:rPr>
        <w:t>3</w:t>
      </w:r>
      <w:r>
        <w:rPr>
          <w:lang w:val="zh-CN" w:eastAsia="zh-CN"/>
        </w:rPr>
        <w:tab/>
      </w:r>
      <w:r w:rsidRPr="00DD01B8">
        <w:rPr>
          <w:b/>
          <w:bCs/>
          <w:lang w:val="zh-CN" w:eastAsia="zh-CN"/>
        </w:rPr>
        <w:t>附件</w:t>
      </w:r>
      <w:r w:rsidRPr="00DD01B8">
        <w:rPr>
          <w:b/>
          <w:bCs/>
          <w:lang w:val="zh-CN" w:eastAsia="zh-CN"/>
        </w:rPr>
        <w:t>1</w:t>
      </w:r>
      <w:r>
        <w:rPr>
          <w:lang w:val="zh-CN" w:eastAsia="zh-CN"/>
        </w:rPr>
        <w:t>包含第</w:t>
      </w:r>
      <w:r>
        <w:rPr>
          <w:lang w:val="zh-CN" w:eastAsia="zh-CN"/>
        </w:rPr>
        <w:t>11/20</w:t>
      </w:r>
      <w:r>
        <w:rPr>
          <w:lang w:val="zh-CN" w:eastAsia="zh-CN"/>
        </w:rPr>
        <w:t>号新课题的案文。</w:t>
      </w:r>
    </w:p>
    <w:p w14:paraId="01255E69" w14:textId="58916A17" w:rsidR="00BD2921" w:rsidRPr="00BD2921" w:rsidRDefault="00BD2921" w:rsidP="00BD2921">
      <w:pPr>
        <w:rPr>
          <w:rFonts w:ascii="Calibri" w:hAnsi="Calibri"/>
          <w:lang w:eastAsia="zh-CN"/>
        </w:rPr>
      </w:pPr>
      <w:r w:rsidRPr="00BD2921">
        <w:rPr>
          <w:rFonts w:ascii="Calibri" w:hAnsi="Calibri" w:hint="eastAsia"/>
          <w:lang w:eastAsia="zh-CN"/>
        </w:rPr>
        <w:t>顺致敬意！</w:t>
      </w:r>
    </w:p>
    <w:p w14:paraId="11A39121" w14:textId="77777777" w:rsidR="00BD2921" w:rsidRPr="00BD2921" w:rsidRDefault="00BD2921" w:rsidP="009B1224">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7D26CFB9">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p w14:paraId="4B034E32" w14:textId="2687A5CE" w:rsidR="00BD2921" w:rsidRPr="00BD2921" w:rsidRDefault="00BD2921" w:rsidP="00BD2921">
      <w:pPr>
        <w:spacing w:before="1080"/>
        <w:rPr>
          <w:rFonts w:ascii="Calibri" w:hAnsi="Calibri"/>
          <w:b/>
          <w:bCs/>
          <w:lang w:eastAsia="zh-CN"/>
        </w:rPr>
      </w:pPr>
      <w:r w:rsidRPr="00BD2921">
        <w:rPr>
          <w:rFonts w:ascii="Calibri" w:hAnsi="Calibri" w:hint="eastAsia"/>
          <w:b/>
          <w:bCs/>
          <w:lang w:eastAsia="zh-CN"/>
        </w:rPr>
        <w:t>附件：</w:t>
      </w:r>
      <w:r w:rsidR="00CB7F24">
        <w:rPr>
          <w:rFonts w:ascii="Calibri" w:hAnsi="Calibri" w:hint="eastAsia"/>
          <w:b/>
          <w:bCs/>
          <w:lang w:eastAsia="zh-CN"/>
        </w:rPr>
        <w:t>1</w:t>
      </w:r>
      <w:r w:rsidRPr="00BD2921">
        <w:rPr>
          <w:rFonts w:ascii="Calibri" w:hAnsi="Calibri" w:hint="eastAsia"/>
          <w:b/>
          <w:bCs/>
          <w:lang w:eastAsia="zh-CN"/>
        </w:rPr>
        <w:t>件</w:t>
      </w:r>
      <w:r w:rsidRPr="00BD2921">
        <w:rPr>
          <w:rFonts w:ascii="Calibri" w:hAnsi="Calibri"/>
          <w:b/>
          <w:bCs/>
          <w:lang w:eastAsia="zh-CN"/>
        </w:rPr>
        <w:br w:type="page"/>
      </w:r>
    </w:p>
    <w:p w14:paraId="269B0A97" w14:textId="77177ADB" w:rsidR="00CB7F24" w:rsidRDefault="00341C75" w:rsidP="008B7DA7">
      <w:pPr>
        <w:keepNext/>
        <w:keepLines/>
        <w:tabs>
          <w:tab w:val="center" w:pos="5102"/>
          <w:tab w:val="left" w:pos="6095"/>
          <w:tab w:val="left" w:pos="6960"/>
        </w:tabs>
        <w:spacing w:before="240"/>
        <w:outlineLvl w:val="1"/>
        <w:rPr>
          <w:b/>
          <w:bCs/>
          <w:lang w:val="zh-CN" w:eastAsia="zh-CN"/>
        </w:rPr>
      </w:pPr>
      <w:r>
        <w:rPr>
          <w:b/>
          <w:bCs/>
          <w:sz w:val="28"/>
          <w:szCs w:val="28"/>
          <w:lang w:val="zh-CN" w:eastAsia="zh-CN"/>
        </w:rPr>
        <w:lastRenderedPageBreak/>
        <w:tab/>
      </w:r>
      <w:r>
        <w:rPr>
          <w:b/>
          <w:bCs/>
          <w:sz w:val="28"/>
          <w:szCs w:val="28"/>
          <w:lang w:val="zh-CN" w:eastAsia="zh-CN"/>
        </w:rPr>
        <w:tab/>
      </w:r>
      <w:r>
        <w:rPr>
          <w:b/>
          <w:bCs/>
          <w:sz w:val="28"/>
          <w:szCs w:val="28"/>
          <w:lang w:val="zh-CN" w:eastAsia="zh-CN"/>
        </w:rPr>
        <w:tab/>
      </w:r>
      <w:r>
        <w:rPr>
          <w:b/>
          <w:bCs/>
          <w:sz w:val="28"/>
          <w:szCs w:val="28"/>
          <w:lang w:val="zh-CN" w:eastAsia="zh-CN"/>
        </w:rPr>
        <w:tab/>
      </w:r>
      <w:r>
        <w:rPr>
          <w:b/>
          <w:bCs/>
          <w:sz w:val="28"/>
          <w:szCs w:val="28"/>
          <w:lang w:val="zh-CN" w:eastAsia="zh-CN"/>
        </w:rPr>
        <w:tab/>
      </w:r>
      <w:r w:rsidR="00CB7F24" w:rsidRPr="00CB7F24">
        <w:rPr>
          <w:rFonts w:hint="eastAsia"/>
          <w:b/>
          <w:bCs/>
          <w:sz w:val="28"/>
          <w:szCs w:val="28"/>
          <w:lang w:val="zh-CN" w:eastAsia="zh-CN"/>
        </w:rPr>
        <w:t>附件：</w:t>
      </w:r>
      <w:r>
        <w:rPr>
          <w:b/>
          <w:bCs/>
          <w:sz w:val="28"/>
          <w:szCs w:val="28"/>
          <w:lang w:val="zh-CN" w:eastAsia="zh-CN"/>
        </w:rPr>
        <w:tab/>
      </w:r>
      <w:r w:rsidR="008B7DA7">
        <w:rPr>
          <w:b/>
          <w:bCs/>
          <w:sz w:val="28"/>
          <w:szCs w:val="28"/>
          <w:lang w:val="zh-CN" w:eastAsia="zh-CN"/>
        </w:rPr>
        <w:tab/>
      </w:r>
      <w:r w:rsidR="00CB7F24">
        <w:rPr>
          <w:b/>
          <w:bCs/>
          <w:sz w:val="28"/>
          <w:szCs w:val="28"/>
          <w:lang w:val="zh-CN" w:eastAsia="zh-CN"/>
        </w:rPr>
        <w:br/>
      </w:r>
      <w:r w:rsidR="00CB7F24" w:rsidRPr="00CB7F24">
        <w:rPr>
          <w:rFonts w:hint="eastAsia"/>
          <w:b/>
          <w:bCs/>
          <w:sz w:val="28"/>
          <w:szCs w:val="28"/>
          <w:lang w:val="zh-CN" w:eastAsia="zh-CN"/>
        </w:rPr>
        <w:t>新课题“数字农业：从智慧农场和生产到安全稳妥的消费”的</w:t>
      </w:r>
      <w:r w:rsidR="00CB7F24">
        <w:rPr>
          <w:b/>
          <w:bCs/>
          <w:sz w:val="28"/>
          <w:szCs w:val="28"/>
          <w:lang w:val="zh-CN" w:eastAsia="zh-CN"/>
        </w:rPr>
        <w:br/>
      </w:r>
      <w:r w:rsidR="00CB7F24" w:rsidRPr="00CB7F24">
        <w:rPr>
          <w:rFonts w:hint="eastAsia"/>
          <w:b/>
          <w:bCs/>
          <w:sz w:val="28"/>
          <w:szCs w:val="28"/>
          <w:lang w:val="zh-CN" w:eastAsia="zh-CN"/>
        </w:rPr>
        <w:t>职责范围</w:t>
      </w:r>
    </w:p>
    <w:p w14:paraId="24F1FAAE" w14:textId="77777777" w:rsidR="00CB7F24" w:rsidRPr="00685D51" w:rsidRDefault="00CB7F24" w:rsidP="00CB7F24">
      <w:pPr>
        <w:pStyle w:val="Headingb"/>
        <w:rPr>
          <w:lang w:eastAsia="zh-CN"/>
        </w:rPr>
      </w:pPr>
      <w:r>
        <w:rPr>
          <w:rFonts w:hint="eastAsia"/>
          <w:lang w:eastAsia="zh-CN"/>
        </w:rPr>
        <w:t>第</w:t>
      </w:r>
      <w:r>
        <w:rPr>
          <w:rFonts w:hint="eastAsia"/>
          <w:lang w:eastAsia="zh-CN"/>
        </w:rPr>
        <w:t>11/20</w:t>
      </w:r>
      <w:r>
        <w:rPr>
          <w:rFonts w:hint="eastAsia"/>
          <w:lang w:eastAsia="zh-CN"/>
        </w:rPr>
        <w:t>号课题</w:t>
      </w:r>
      <w:r>
        <w:rPr>
          <w:rFonts w:hint="eastAsia"/>
          <w:lang w:eastAsia="zh-CN"/>
        </w:rPr>
        <w:t xml:space="preserve"> - </w:t>
      </w:r>
      <w:r w:rsidRPr="006A0594">
        <w:rPr>
          <w:rFonts w:hint="eastAsia"/>
          <w:lang w:eastAsia="zh-CN"/>
        </w:rPr>
        <w:t>数字农业：从智慧农场和生产到安全稳妥的消费</w:t>
      </w:r>
    </w:p>
    <w:p w14:paraId="722AA50C" w14:textId="77777777" w:rsidR="00CB7F24" w:rsidRPr="00685D51" w:rsidRDefault="00CB7F24" w:rsidP="00CB7F24">
      <w:pPr>
        <w:keepNext/>
        <w:keepLines/>
        <w:spacing w:before="160"/>
        <w:ind w:left="794" w:hanging="794"/>
        <w:outlineLvl w:val="2"/>
        <w:rPr>
          <w:rFonts w:cstheme="minorHAnsi"/>
          <w:b/>
          <w:szCs w:val="22"/>
          <w:lang w:eastAsia="zh-CN"/>
        </w:rPr>
      </w:pPr>
      <w:r>
        <w:rPr>
          <w:b/>
          <w:bCs/>
          <w:lang w:val="zh-CN" w:eastAsia="zh-CN"/>
        </w:rPr>
        <w:t>1</w:t>
      </w:r>
      <w:r>
        <w:rPr>
          <w:b/>
          <w:bCs/>
          <w:lang w:val="zh-CN" w:eastAsia="zh-CN"/>
        </w:rPr>
        <w:tab/>
      </w:r>
      <w:r>
        <w:rPr>
          <w:b/>
          <w:bCs/>
          <w:lang w:val="zh-CN" w:eastAsia="zh-CN"/>
        </w:rPr>
        <w:t>目的</w:t>
      </w:r>
    </w:p>
    <w:p w14:paraId="690AB445" w14:textId="77777777" w:rsidR="00CB7F24" w:rsidRPr="00685D51" w:rsidRDefault="00CB7F24" w:rsidP="00CB7F24">
      <w:pPr>
        <w:ind w:firstLineChars="200" w:firstLine="440"/>
        <w:rPr>
          <w:rFonts w:eastAsiaTheme="minorEastAsia" w:cstheme="minorHAnsi"/>
          <w:szCs w:val="22"/>
          <w:lang w:eastAsia="zh-CN"/>
        </w:rPr>
      </w:pPr>
      <w:r>
        <w:rPr>
          <w:lang w:val="zh-CN" w:eastAsia="zh-CN"/>
        </w:rPr>
        <w:t>物联网（</w:t>
      </w:r>
      <w:r>
        <w:rPr>
          <w:lang w:val="zh-CN" w:eastAsia="zh-CN"/>
        </w:rPr>
        <w:t>IoT</w:t>
      </w:r>
      <w:r>
        <w:rPr>
          <w:lang w:val="zh-CN" w:eastAsia="zh-CN"/>
        </w:rPr>
        <w:t>）、人工智能（</w:t>
      </w:r>
      <w:r>
        <w:rPr>
          <w:lang w:val="zh-CN" w:eastAsia="zh-CN"/>
        </w:rPr>
        <w:t>AI</w:t>
      </w:r>
      <w:r>
        <w:rPr>
          <w:lang w:val="zh-CN" w:eastAsia="zh-CN"/>
        </w:rPr>
        <w:t>）、机器人技术、数字孪生、沉浸式环境</w:t>
      </w:r>
      <w:r>
        <w:rPr>
          <w:rFonts w:hint="eastAsia"/>
          <w:lang w:val="zh-CN" w:eastAsia="zh-CN"/>
        </w:rPr>
        <w:t>及其它</w:t>
      </w:r>
      <w:r>
        <w:rPr>
          <w:lang w:val="zh-CN" w:eastAsia="zh-CN"/>
        </w:rPr>
        <w:t>新兴数字技术的融合正在重塑数字农业及其产品、供应链、安全性和保障性（即从农场到消费）这些创新正在释放精准智慧农业、农业生产风险信息共享、低碳生态农业、食品溯源、智能自动化、从生产加工到配送全价值链实时分析等新能力</w:t>
      </w:r>
      <w:r>
        <w:rPr>
          <w:rFonts w:hint="eastAsia"/>
          <w:lang w:val="zh-CN" w:eastAsia="zh-CN"/>
        </w:rPr>
        <w:t>，并</w:t>
      </w:r>
      <w:r>
        <w:rPr>
          <w:lang w:val="zh-CN" w:eastAsia="zh-CN"/>
        </w:rPr>
        <w:t>推动农业</w:t>
      </w:r>
      <w:r>
        <w:rPr>
          <w:rFonts w:hint="eastAsia"/>
          <w:lang w:val="zh-CN" w:eastAsia="zh-CN"/>
        </w:rPr>
        <w:t>的</w:t>
      </w:r>
      <w:r>
        <w:rPr>
          <w:lang w:val="zh-CN" w:eastAsia="zh-CN"/>
        </w:rPr>
        <w:t>可持续发展。</w:t>
      </w:r>
    </w:p>
    <w:p w14:paraId="5AB29F18" w14:textId="77777777" w:rsidR="00CB7F24" w:rsidRPr="00685D51" w:rsidRDefault="00CB7F24" w:rsidP="00CB7F24">
      <w:pPr>
        <w:ind w:firstLineChars="200" w:firstLine="440"/>
        <w:rPr>
          <w:rFonts w:eastAsiaTheme="minorEastAsia" w:cstheme="minorHAnsi"/>
          <w:szCs w:val="22"/>
          <w:lang w:eastAsia="zh-CN"/>
        </w:rPr>
      </w:pPr>
      <w:r>
        <w:rPr>
          <w:lang w:val="zh-CN" w:eastAsia="zh-CN"/>
        </w:rPr>
        <w:t>在此背景下，人们对物联网、数字孪生以及沉浸式和智能虚拟环境</w:t>
      </w:r>
      <w:r>
        <w:rPr>
          <w:rFonts w:hint="eastAsia"/>
          <w:lang w:val="zh-CN" w:eastAsia="zh-CN"/>
        </w:rPr>
        <w:t>等</w:t>
      </w:r>
      <w:r>
        <w:rPr>
          <w:lang w:val="zh-CN" w:eastAsia="zh-CN"/>
        </w:rPr>
        <w:t>新兴数字技术在农业领域的应用越来越感兴趣。通过将物联网、人工智能和其他新兴数字技术融入数字农业，并为这些系统配备数字孪生和沉浸式体验能力，这些系统旨在满足农业生产者在共享风险相关信息和知识（包括病虫害和作物疾病、环境和气候威胁）方面的需求，增强农业生产的</w:t>
      </w:r>
      <w:r>
        <w:rPr>
          <w:rFonts w:hint="eastAsia"/>
          <w:lang w:val="zh-CN" w:eastAsia="zh-CN"/>
        </w:rPr>
        <w:t>稳妥行、</w:t>
      </w:r>
      <w:r>
        <w:rPr>
          <w:lang w:val="zh-CN" w:eastAsia="zh-CN"/>
        </w:rPr>
        <w:t>安全性和</w:t>
      </w:r>
      <w:r>
        <w:rPr>
          <w:rFonts w:hint="eastAsia"/>
          <w:lang w:val="zh-CN" w:eastAsia="zh-CN"/>
        </w:rPr>
        <w:t>韧性</w:t>
      </w:r>
      <w:r>
        <w:rPr>
          <w:lang w:val="zh-CN" w:eastAsia="zh-CN"/>
        </w:rPr>
        <w:t>，</w:t>
      </w:r>
      <w:r>
        <w:rPr>
          <w:rFonts w:hint="eastAsia"/>
          <w:lang w:val="zh-CN" w:eastAsia="zh-CN"/>
        </w:rPr>
        <w:t>提高劳动</w:t>
      </w:r>
      <w:r>
        <w:rPr>
          <w:lang w:val="zh-CN" w:eastAsia="zh-CN"/>
        </w:rPr>
        <w:t>生产</w:t>
      </w:r>
      <w:r>
        <w:rPr>
          <w:rFonts w:hint="eastAsia"/>
          <w:lang w:val="zh-CN" w:eastAsia="zh-CN"/>
        </w:rPr>
        <w:t>力</w:t>
      </w:r>
      <w:r>
        <w:rPr>
          <w:lang w:val="zh-CN" w:eastAsia="zh-CN"/>
        </w:rPr>
        <w:t>，同时</w:t>
      </w:r>
      <w:r>
        <w:rPr>
          <w:rFonts w:hint="eastAsia"/>
          <w:lang w:val="zh-CN" w:eastAsia="zh-CN"/>
        </w:rPr>
        <w:t>相应地改进</w:t>
      </w:r>
      <w:r>
        <w:rPr>
          <w:lang w:val="zh-CN" w:eastAsia="zh-CN"/>
        </w:rPr>
        <w:t>食品和农产品的可持续质量生产和加工。物联网、人工智能、数字孪生、虚拟世界和沉浸式技术的使用可作为有效</w:t>
      </w:r>
      <w:r>
        <w:rPr>
          <w:rFonts w:hint="eastAsia"/>
          <w:lang w:val="zh-CN" w:eastAsia="zh-CN"/>
        </w:rPr>
        <w:t>的</w:t>
      </w:r>
      <w:r>
        <w:rPr>
          <w:lang w:val="zh-CN" w:eastAsia="zh-CN"/>
        </w:rPr>
        <w:t>工具</w:t>
      </w:r>
      <w:r>
        <w:rPr>
          <w:rFonts w:hint="eastAsia"/>
          <w:lang w:val="zh-CN" w:eastAsia="zh-CN"/>
        </w:rPr>
        <w:t>，</w:t>
      </w:r>
      <w:r>
        <w:rPr>
          <w:lang w:val="zh-CN" w:eastAsia="zh-CN"/>
        </w:rPr>
        <w:t>支持不同利益攸关方之间</w:t>
      </w:r>
      <w:r>
        <w:rPr>
          <w:rFonts w:hint="eastAsia"/>
          <w:lang w:val="zh-CN" w:eastAsia="zh-CN"/>
        </w:rPr>
        <w:t>的</w:t>
      </w:r>
      <w:r>
        <w:rPr>
          <w:lang w:val="zh-CN" w:eastAsia="zh-CN"/>
        </w:rPr>
        <w:t>模拟、决策、培训和协作。随着全球供应链变得日益复杂、可持续性与安全</w:t>
      </w:r>
      <w:r>
        <w:rPr>
          <w:rFonts w:hint="eastAsia"/>
          <w:lang w:val="zh-CN" w:eastAsia="zh-CN"/>
        </w:rPr>
        <w:t>性</w:t>
      </w:r>
      <w:r>
        <w:rPr>
          <w:lang w:val="zh-CN" w:eastAsia="zh-CN"/>
        </w:rPr>
        <w:t>挑战不断加剧，这些技术的发展为</w:t>
      </w:r>
      <w:r>
        <w:rPr>
          <w:rFonts w:hint="eastAsia"/>
          <w:lang w:val="zh-CN" w:eastAsia="zh-CN"/>
        </w:rPr>
        <w:t>改进</w:t>
      </w:r>
      <w:r>
        <w:rPr>
          <w:lang w:val="zh-CN" w:eastAsia="zh-CN"/>
        </w:rPr>
        <w:t>生产、安全性、保障性、</w:t>
      </w:r>
      <w:r>
        <w:rPr>
          <w:rFonts w:hint="eastAsia"/>
          <w:lang w:val="zh-CN" w:eastAsia="zh-CN"/>
        </w:rPr>
        <w:t>韧性</w:t>
      </w:r>
      <w:r>
        <w:rPr>
          <w:lang w:val="zh-CN" w:eastAsia="zh-CN"/>
        </w:rPr>
        <w:t>、运营效率和创新提供了新的途径。</w:t>
      </w:r>
    </w:p>
    <w:p w14:paraId="118E485E" w14:textId="77777777" w:rsidR="00CB7F24" w:rsidRPr="00685D51" w:rsidRDefault="00CB7F24" w:rsidP="00CB7F24">
      <w:pPr>
        <w:ind w:firstLineChars="200" w:firstLine="440"/>
        <w:rPr>
          <w:rFonts w:eastAsiaTheme="minorEastAsia" w:cstheme="minorHAnsi"/>
          <w:szCs w:val="22"/>
          <w:lang w:eastAsia="zh-CN"/>
        </w:rPr>
      </w:pPr>
      <w:r>
        <w:rPr>
          <w:lang w:val="zh-CN" w:eastAsia="zh-CN"/>
        </w:rPr>
        <w:t>尽管数字化取得了进展，但由于缺乏共享框架、技术互</w:t>
      </w:r>
      <w:r>
        <w:rPr>
          <w:rFonts w:hint="eastAsia"/>
          <w:lang w:val="zh-CN" w:eastAsia="zh-CN"/>
        </w:rPr>
        <w:t>操</w:t>
      </w:r>
      <w:r>
        <w:rPr>
          <w:lang w:val="zh-CN" w:eastAsia="zh-CN"/>
        </w:rPr>
        <w:t>作性、安全的数据交换协议和可扩展的架构模型，当前数字农业的部署面临诸多局限，难以满足数字农业生态系统的需求。为了</w:t>
      </w:r>
      <w:r>
        <w:rPr>
          <w:rFonts w:hint="eastAsia"/>
          <w:lang w:val="zh-CN" w:eastAsia="zh-CN"/>
        </w:rPr>
        <w:t>缩小</w:t>
      </w:r>
      <w:r>
        <w:rPr>
          <w:lang w:val="zh-CN" w:eastAsia="zh-CN"/>
        </w:rPr>
        <w:t>这些差距，显然需要开展国际标准化工作，以支持部署安全、可互</w:t>
      </w:r>
      <w:r>
        <w:rPr>
          <w:rFonts w:hint="eastAsia"/>
          <w:lang w:val="zh-CN" w:eastAsia="zh-CN"/>
        </w:rPr>
        <w:t>操</w:t>
      </w:r>
      <w:r>
        <w:rPr>
          <w:lang w:val="zh-CN" w:eastAsia="zh-CN"/>
        </w:rPr>
        <w:t>作和面向未来的数字农业系统。</w:t>
      </w:r>
    </w:p>
    <w:p w14:paraId="1A7B002A" w14:textId="77777777" w:rsidR="00CB7F24" w:rsidRPr="00685D51" w:rsidRDefault="00CB7F24" w:rsidP="00CB7F24">
      <w:pPr>
        <w:ind w:firstLineChars="200" w:firstLine="440"/>
        <w:rPr>
          <w:rFonts w:eastAsiaTheme="minorEastAsia" w:cstheme="minorHAnsi"/>
          <w:szCs w:val="22"/>
          <w:lang w:eastAsia="zh-CN"/>
        </w:rPr>
      </w:pPr>
      <w:r>
        <w:rPr>
          <w:lang w:val="zh-CN" w:eastAsia="zh-CN"/>
        </w:rPr>
        <w:t>本课题负责的建议书和增补包括：</w:t>
      </w:r>
    </w:p>
    <w:p w14:paraId="7BC1FFB4" w14:textId="27FE5FDA" w:rsidR="00CB7F24" w:rsidRPr="008B7DA7" w:rsidRDefault="00CB7F24" w:rsidP="00CB7F24">
      <w:pPr>
        <w:pStyle w:val="enumlev1"/>
        <w:tabs>
          <w:tab w:val="clear" w:pos="794"/>
          <w:tab w:val="clear" w:pos="1191"/>
        </w:tabs>
        <w:ind w:left="851" w:hanging="851"/>
        <w:rPr>
          <w:rFonts w:cstheme="minorHAnsi"/>
          <w:szCs w:val="22"/>
          <w:lang w:val="fr-CH" w:eastAsia="zh-CN"/>
        </w:rPr>
      </w:pPr>
      <w:r w:rsidRPr="008B7DA7">
        <w:rPr>
          <w:lang w:val="fr-CH" w:eastAsia="zh-CN"/>
        </w:rPr>
        <w:t>‒</w:t>
      </w:r>
      <w:r w:rsidRPr="008B7DA7">
        <w:rPr>
          <w:lang w:val="fr-CH" w:eastAsia="zh-CN"/>
        </w:rPr>
        <w:tab/>
        <w:t>ITU-T Y.4218</w:t>
      </w:r>
      <w:r>
        <w:rPr>
          <w:lang w:val="zh-CN" w:eastAsia="zh-CN"/>
        </w:rPr>
        <w:t>、</w:t>
      </w:r>
      <w:r w:rsidRPr="008B7DA7">
        <w:rPr>
          <w:lang w:val="fr-CH" w:eastAsia="zh-CN"/>
        </w:rPr>
        <w:t>Y.4482</w:t>
      </w:r>
      <w:r>
        <w:rPr>
          <w:lang w:val="zh-CN" w:eastAsia="zh-CN"/>
        </w:rPr>
        <w:t>建议书</w:t>
      </w:r>
    </w:p>
    <w:p w14:paraId="5C7BA249" w14:textId="4DD28E3B" w:rsidR="00CB7F24" w:rsidRPr="008B7DA7" w:rsidRDefault="00CB7F24" w:rsidP="00CB7F24">
      <w:pPr>
        <w:pStyle w:val="enumlev1"/>
        <w:tabs>
          <w:tab w:val="clear" w:pos="794"/>
          <w:tab w:val="clear" w:pos="1191"/>
        </w:tabs>
        <w:ind w:left="851" w:hanging="851"/>
        <w:rPr>
          <w:rFonts w:cstheme="minorHAnsi"/>
          <w:szCs w:val="22"/>
          <w:lang w:val="fr-CH" w:eastAsia="zh-CN"/>
        </w:rPr>
      </w:pPr>
      <w:r w:rsidRPr="008B7DA7">
        <w:rPr>
          <w:lang w:val="fr-CH" w:eastAsia="zh-CN"/>
        </w:rPr>
        <w:t>‒</w:t>
      </w:r>
      <w:r w:rsidRPr="008B7DA7">
        <w:rPr>
          <w:lang w:val="fr-CH" w:eastAsia="zh-CN"/>
        </w:rPr>
        <w:tab/>
        <w:t>ITU-T Y</w:t>
      </w:r>
      <w:r>
        <w:rPr>
          <w:lang w:val="zh-CN" w:eastAsia="zh-CN"/>
        </w:rPr>
        <w:t>系列增补</w:t>
      </w:r>
      <w:r w:rsidRPr="008B7DA7">
        <w:rPr>
          <w:lang w:val="fr-CH" w:eastAsia="zh-CN"/>
        </w:rPr>
        <w:t>76</w:t>
      </w:r>
      <w:r>
        <w:rPr>
          <w:lang w:val="zh-CN" w:eastAsia="zh-CN"/>
        </w:rPr>
        <w:t>、</w:t>
      </w:r>
      <w:r w:rsidRPr="008B7DA7">
        <w:rPr>
          <w:lang w:val="fr-CH" w:eastAsia="zh-CN"/>
        </w:rPr>
        <w:t>82</w:t>
      </w:r>
      <w:r>
        <w:rPr>
          <w:lang w:val="zh-CN" w:eastAsia="zh-CN"/>
        </w:rPr>
        <w:t>、</w:t>
      </w:r>
      <w:r w:rsidRPr="008B7DA7">
        <w:rPr>
          <w:lang w:val="fr-CH" w:eastAsia="zh-CN"/>
        </w:rPr>
        <w:t>83</w:t>
      </w:r>
      <w:r>
        <w:rPr>
          <w:lang w:val="zh-CN" w:eastAsia="zh-CN"/>
        </w:rPr>
        <w:t>、</w:t>
      </w:r>
      <w:r w:rsidRPr="008B7DA7">
        <w:rPr>
          <w:lang w:val="fr-CH" w:eastAsia="zh-CN"/>
        </w:rPr>
        <w:t>85</w:t>
      </w:r>
    </w:p>
    <w:p w14:paraId="0E0DBB24" w14:textId="276950FE" w:rsidR="00CB7F24" w:rsidRPr="008B7DA7" w:rsidRDefault="00CB7F24" w:rsidP="00CB7F24">
      <w:pPr>
        <w:pStyle w:val="enumlev1"/>
        <w:tabs>
          <w:tab w:val="clear" w:pos="794"/>
          <w:tab w:val="clear" w:pos="1191"/>
        </w:tabs>
        <w:ind w:left="851" w:hanging="851"/>
        <w:rPr>
          <w:rFonts w:cstheme="minorHAnsi"/>
          <w:szCs w:val="22"/>
          <w:lang w:val="fr-CH" w:eastAsia="zh-CN"/>
        </w:rPr>
      </w:pPr>
      <w:r w:rsidRPr="008B7DA7">
        <w:rPr>
          <w:lang w:val="fr-CH" w:eastAsia="zh-CN"/>
        </w:rPr>
        <w:t>‒</w:t>
      </w:r>
      <w:r w:rsidRPr="008B7DA7">
        <w:rPr>
          <w:lang w:val="fr-CH" w:eastAsia="zh-CN"/>
        </w:rPr>
        <w:tab/>
        <w:t xml:space="preserve">ITU-T </w:t>
      </w:r>
      <w:r w:rsidRPr="008B7DA7">
        <w:rPr>
          <w:rFonts w:cstheme="minorHAnsi"/>
          <w:szCs w:val="22"/>
          <w:lang w:val="fr-CH"/>
        </w:rPr>
        <w:t>YSTR.DataModelling-Agri</w:t>
      </w:r>
    </w:p>
    <w:p w14:paraId="3FD107C7" w14:textId="77777777" w:rsidR="00CB7F24" w:rsidRPr="008B7DA7" w:rsidRDefault="00CB7F24" w:rsidP="00CB7F24">
      <w:pPr>
        <w:keepNext/>
        <w:keepLines/>
        <w:spacing w:before="160"/>
        <w:ind w:left="794" w:hanging="794"/>
        <w:outlineLvl w:val="2"/>
        <w:rPr>
          <w:rFonts w:cstheme="minorHAnsi"/>
          <w:b/>
          <w:szCs w:val="22"/>
          <w:lang w:val="fr-CH" w:eastAsia="zh-CN"/>
        </w:rPr>
      </w:pPr>
      <w:r w:rsidRPr="008B7DA7">
        <w:rPr>
          <w:b/>
          <w:bCs/>
          <w:lang w:val="fr-CH" w:eastAsia="zh-CN"/>
        </w:rPr>
        <w:t>2</w:t>
      </w:r>
      <w:r w:rsidRPr="008B7DA7">
        <w:rPr>
          <w:b/>
          <w:bCs/>
          <w:lang w:val="fr-CH" w:eastAsia="zh-CN"/>
        </w:rPr>
        <w:tab/>
      </w:r>
      <w:r>
        <w:rPr>
          <w:b/>
          <w:bCs/>
          <w:lang w:val="zh-CN" w:eastAsia="zh-CN"/>
        </w:rPr>
        <w:t>课题</w:t>
      </w:r>
    </w:p>
    <w:p w14:paraId="512443DE" w14:textId="77777777" w:rsidR="00CB7F24" w:rsidRPr="008B7DA7" w:rsidRDefault="00CB7F24" w:rsidP="00CB7F24">
      <w:pPr>
        <w:tabs>
          <w:tab w:val="clear" w:pos="794"/>
          <w:tab w:val="clear" w:pos="1191"/>
          <w:tab w:val="clear" w:pos="1588"/>
          <w:tab w:val="clear" w:pos="1985"/>
          <w:tab w:val="left" w:pos="709"/>
        </w:tabs>
        <w:overflowPunct/>
        <w:autoSpaceDE/>
        <w:autoSpaceDN/>
        <w:adjustRightInd/>
        <w:ind w:firstLineChars="200" w:firstLine="440"/>
        <w:textAlignment w:val="auto"/>
        <w:rPr>
          <w:rFonts w:eastAsiaTheme="minorEastAsia" w:cstheme="minorHAnsi"/>
          <w:szCs w:val="22"/>
          <w:lang w:val="fr-CH" w:eastAsia="zh-CN"/>
        </w:rPr>
      </w:pPr>
      <w:r>
        <w:rPr>
          <w:lang w:val="zh-CN" w:eastAsia="zh-CN"/>
        </w:rPr>
        <w:t>研究项目包括</w:t>
      </w:r>
      <w:r w:rsidRPr="008B7DA7">
        <w:rPr>
          <w:lang w:val="fr-CH" w:eastAsia="zh-CN"/>
        </w:rPr>
        <w:t>，</w:t>
      </w:r>
      <w:r>
        <w:rPr>
          <w:lang w:val="zh-CN" w:eastAsia="zh-CN"/>
        </w:rPr>
        <w:t>但不限于</w:t>
      </w:r>
      <w:r w:rsidRPr="008B7DA7">
        <w:rPr>
          <w:lang w:val="fr-CH" w:eastAsia="zh-CN"/>
        </w:rPr>
        <w:t>：</w:t>
      </w:r>
    </w:p>
    <w:p w14:paraId="774C8F09" w14:textId="61B26531" w:rsidR="00CB7F24" w:rsidRPr="008B7DA7" w:rsidRDefault="00CB7F24" w:rsidP="00CB7F24">
      <w:pPr>
        <w:tabs>
          <w:tab w:val="clear" w:pos="794"/>
        </w:tabs>
        <w:ind w:left="851" w:hanging="851"/>
        <w:rPr>
          <w:rFonts w:cstheme="minorHAnsi"/>
          <w:szCs w:val="22"/>
          <w:lang w:val="fr-CH" w:eastAsia="zh-CN"/>
        </w:rPr>
      </w:pPr>
      <w:r>
        <w:rPr>
          <w:lang w:val="zh-CN" w:eastAsia="zh-CN"/>
        </w:rPr>
        <w:t>–</w:t>
      </w:r>
      <w:r>
        <w:rPr>
          <w:lang w:val="zh-CN" w:eastAsia="zh-CN"/>
        </w:rPr>
        <w:tab/>
      </w:r>
      <w:r>
        <w:rPr>
          <w:lang w:val="zh-CN" w:eastAsia="zh-CN"/>
        </w:rPr>
        <w:t>在数字农业（即从农场到消费）中，使用物联网（</w:t>
      </w:r>
      <w:r>
        <w:rPr>
          <w:lang w:val="zh-CN" w:eastAsia="zh-CN"/>
        </w:rPr>
        <w:t>IoT</w:t>
      </w:r>
      <w:r>
        <w:rPr>
          <w:lang w:val="zh-CN" w:eastAsia="zh-CN"/>
        </w:rPr>
        <w:t>）、人工智能（</w:t>
      </w:r>
      <w:r>
        <w:rPr>
          <w:lang w:val="zh-CN" w:eastAsia="zh-CN"/>
        </w:rPr>
        <w:t>AI</w:t>
      </w:r>
      <w:r>
        <w:rPr>
          <w:lang w:val="zh-CN" w:eastAsia="zh-CN"/>
        </w:rPr>
        <w:t>）、协作机器人、数字孪生、虚拟世界与沉浸式环境以及其他新兴数字技术有哪些要求、能力、用例和架构模型？</w:t>
      </w:r>
    </w:p>
    <w:p w14:paraId="4F1841FB" w14:textId="360A37C0" w:rsidR="00CB7F24" w:rsidRPr="008B7DA7" w:rsidRDefault="00CB7F24" w:rsidP="00CB7F24">
      <w:pPr>
        <w:tabs>
          <w:tab w:val="clear" w:pos="794"/>
        </w:tabs>
        <w:ind w:left="851" w:hanging="851"/>
        <w:rPr>
          <w:rFonts w:cstheme="minorHAnsi"/>
          <w:szCs w:val="22"/>
          <w:lang w:val="fr-CH" w:eastAsia="zh-CN"/>
        </w:rPr>
      </w:pPr>
      <w:r>
        <w:rPr>
          <w:lang w:val="zh-CN" w:eastAsia="zh-CN"/>
        </w:rPr>
        <w:t>–</w:t>
      </w:r>
      <w:r>
        <w:rPr>
          <w:lang w:val="zh-CN" w:eastAsia="zh-CN"/>
        </w:rPr>
        <w:tab/>
      </w:r>
      <w:r>
        <w:rPr>
          <w:lang w:eastAsia="zh-CN"/>
        </w:rPr>
        <w:t>为提升产品品质、优化供应链、增强安全保障</w:t>
      </w:r>
      <w:r>
        <w:rPr>
          <w:lang w:val="zh-CN" w:eastAsia="zh-CN"/>
        </w:rPr>
        <w:t>，数字农业设备、平台和应用在整个价值链中</w:t>
      </w:r>
      <w:r>
        <w:rPr>
          <w:lang w:eastAsia="zh-CN"/>
        </w:rPr>
        <w:t>应</w:t>
      </w:r>
      <w:r>
        <w:rPr>
          <w:lang w:val="zh-CN" w:eastAsia="zh-CN"/>
        </w:rPr>
        <w:t>满足哪些功能要求、数据模型和接口规范？</w:t>
      </w:r>
    </w:p>
    <w:p w14:paraId="70A821CF" w14:textId="2717F491" w:rsidR="00CB7F24" w:rsidRPr="008B7DA7" w:rsidRDefault="00CB7F24" w:rsidP="00CB7F24">
      <w:pPr>
        <w:tabs>
          <w:tab w:val="clear" w:pos="794"/>
        </w:tabs>
        <w:ind w:left="851" w:hanging="851"/>
        <w:rPr>
          <w:rFonts w:cstheme="minorHAnsi"/>
          <w:szCs w:val="22"/>
          <w:lang w:val="fr-CH" w:eastAsia="zh-CN"/>
        </w:rPr>
      </w:pPr>
      <w:r>
        <w:rPr>
          <w:lang w:val="zh-CN" w:eastAsia="zh-CN"/>
        </w:rPr>
        <w:t>–</w:t>
      </w:r>
      <w:r>
        <w:rPr>
          <w:lang w:val="zh-CN" w:eastAsia="zh-CN"/>
        </w:rPr>
        <w:tab/>
      </w:r>
      <w:r>
        <w:rPr>
          <w:lang w:val="zh-CN" w:eastAsia="zh-CN"/>
        </w:rPr>
        <w:t>数字农业互</w:t>
      </w:r>
      <w:r>
        <w:rPr>
          <w:rFonts w:hint="eastAsia"/>
          <w:lang w:val="zh-CN" w:eastAsia="zh-CN"/>
        </w:rPr>
        <w:t>操</w:t>
      </w:r>
      <w:r>
        <w:rPr>
          <w:lang w:val="zh-CN" w:eastAsia="zh-CN"/>
        </w:rPr>
        <w:t>作性和互通的要求、能力、用例和架构是什么？</w:t>
      </w:r>
    </w:p>
    <w:p w14:paraId="7D25E40D" w14:textId="01A15F69" w:rsidR="00CB7F24" w:rsidRPr="008B7DA7" w:rsidRDefault="00CB7F24" w:rsidP="00CB7F24">
      <w:pPr>
        <w:tabs>
          <w:tab w:val="clear" w:pos="794"/>
        </w:tabs>
        <w:ind w:left="851" w:hanging="851"/>
        <w:rPr>
          <w:rFonts w:cstheme="minorHAnsi"/>
          <w:szCs w:val="22"/>
          <w:lang w:val="fr-CH" w:eastAsia="zh-CN"/>
        </w:rPr>
      </w:pPr>
      <w:r>
        <w:rPr>
          <w:lang w:val="zh-CN" w:eastAsia="zh-CN"/>
        </w:rPr>
        <w:t>–</w:t>
      </w:r>
      <w:r>
        <w:rPr>
          <w:lang w:val="zh-CN" w:eastAsia="zh-CN"/>
        </w:rPr>
        <w:tab/>
      </w:r>
      <w:r>
        <w:rPr>
          <w:lang w:val="zh-CN" w:eastAsia="zh-CN"/>
        </w:rPr>
        <w:t>在部署面向未来的数字农业方面存在哪些标准化差距，如何通过</w:t>
      </w:r>
      <w:r>
        <w:rPr>
          <w:lang w:val="zh-CN" w:eastAsia="zh-CN"/>
        </w:rPr>
        <w:t>ITU-T</w:t>
      </w:r>
      <w:r>
        <w:rPr>
          <w:lang w:val="zh-CN" w:eastAsia="zh-CN"/>
        </w:rPr>
        <w:t>建议书</w:t>
      </w:r>
      <w:r>
        <w:rPr>
          <w:rFonts w:hint="eastAsia"/>
          <w:lang w:val="zh-CN" w:eastAsia="zh-CN"/>
        </w:rPr>
        <w:t>加以</w:t>
      </w:r>
      <w:r>
        <w:rPr>
          <w:lang w:val="zh-CN" w:eastAsia="zh-CN"/>
        </w:rPr>
        <w:t>解决？</w:t>
      </w:r>
    </w:p>
    <w:p w14:paraId="31AACF9E" w14:textId="78E08E66" w:rsidR="00CB7F24" w:rsidRPr="008B7DA7" w:rsidRDefault="00CB7F24" w:rsidP="00CB7F24">
      <w:pPr>
        <w:tabs>
          <w:tab w:val="clear" w:pos="794"/>
        </w:tabs>
        <w:ind w:left="851" w:hanging="851"/>
        <w:rPr>
          <w:rFonts w:cstheme="minorHAnsi"/>
          <w:szCs w:val="22"/>
          <w:lang w:val="fr-CH" w:eastAsia="zh-CN"/>
        </w:rPr>
      </w:pPr>
      <w:r>
        <w:rPr>
          <w:lang w:val="zh-CN" w:eastAsia="zh-CN"/>
        </w:rPr>
        <w:t>–</w:t>
      </w:r>
      <w:r>
        <w:rPr>
          <w:lang w:val="zh-CN" w:eastAsia="zh-CN"/>
        </w:rPr>
        <w:tab/>
      </w:r>
      <w:r>
        <w:rPr>
          <w:lang w:val="zh-CN" w:eastAsia="zh-CN"/>
        </w:rPr>
        <w:t>应与哪些标准制定组织（</w:t>
      </w:r>
      <w:r>
        <w:rPr>
          <w:lang w:val="zh-CN" w:eastAsia="zh-CN"/>
        </w:rPr>
        <w:t>SDO</w:t>
      </w:r>
      <w:r>
        <w:rPr>
          <w:lang w:val="zh-CN" w:eastAsia="zh-CN"/>
        </w:rPr>
        <w:t>）、联合国机构和行业论坛开展协作，以确保解决方案的协调统一和可互</w:t>
      </w:r>
      <w:r>
        <w:rPr>
          <w:rFonts w:hint="eastAsia"/>
          <w:lang w:val="zh-CN" w:eastAsia="zh-CN"/>
        </w:rPr>
        <w:t>操</w:t>
      </w:r>
      <w:r>
        <w:rPr>
          <w:lang w:val="zh-CN" w:eastAsia="zh-CN"/>
        </w:rPr>
        <w:t>作性？</w:t>
      </w:r>
    </w:p>
    <w:p w14:paraId="00EBB4D9" w14:textId="77777777" w:rsidR="00CB7F24" w:rsidRPr="008B7DA7" w:rsidRDefault="00CB7F24" w:rsidP="00CB7F24">
      <w:pPr>
        <w:keepNext/>
        <w:keepLines/>
        <w:spacing w:before="160"/>
        <w:ind w:left="794" w:hanging="794"/>
        <w:outlineLvl w:val="2"/>
        <w:rPr>
          <w:rFonts w:cstheme="minorHAnsi"/>
          <w:b/>
          <w:szCs w:val="22"/>
          <w:lang w:val="fr-CH" w:eastAsia="zh-CN"/>
        </w:rPr>
      </w:pPr>
      <w:r>
        <w:rPr>
          <w:b/>
          <w:bCs/>
          <w:lang w:val="zh-CN" w:eastAsia="zh-CN"/>
        </w:rPr>
        <w:t>3</w:t>
      </w:r>
      <w:r>
        <w:rPr>
          <w:b/>
          <w:bCs/>
          <w:lang w:val="zh-CN" w:eastAsia="zh-CN"/>
        </w:rPr>
        <w:tab/>
      </w:r>
      <w:r>
        <w:rPr>
          <w:rFonts w:hint="eastAsia"/>
          <w:b/>
          <w:bCs/>
          <w:lang w:val="zh-CN" w:eastAsia="zh-CN"/>
        </w:rPr>
        <w:t>任务</w:t>
      </w:r>
    </w:p>
    <w:p w14:paraId="6D859124" w14:textId="77777777" w:rsidR="00CB7F24" w:rsidRPr="008B7DA7" w:rsidRDefault="00CB7F24" w:rsidP="00CB7F24">
      <w:pPr>
        <w:keepNext/>
        <w:keepLines/>
        <w:tabs>
          <w:tab w:val="clear" w:pos="794"/>
          <w:tab w:val="clear" w:pos="1191"/>
          <w:tab w:val="clear" w:pos="1588"/>
          <w:tab w:val="clear" w:pos="1985"/>
        </w:tabs>
        <w:overflowPunct/>
        <w:autoSpaceDE/>
        <w:autoSpaceDN/>
        <w:adjustRightInd/>
        <w:ind w:firstLineChars="200" w:firstLine="440"/>
        <w:textAlignment w:val="auto"/>
        <w:rPr>
          <w:rFonts w:eastAsiaTheme="minorEastAsia" w:cstheme="minorHAnsi"/>
          <w:szCs w:val="22"/>
          <w:lang w:val="fr-CH" w:eastAsia="zh-CN"/>
        </w:rPr>
      </w:pPr>
      <w:r>
        <w:rPr>
          <w:lang w:val="zh-CN" w:eastAsia="zh-CN"/>
        </w:rPr>
        <w:t>任务包括、但不限于：</w:t>
      </w:r>
    </w:p>
    <w:p w14:paraId="381E07A5" w14:textId="3F786694" w:rsidR="00CB7F24" w:rsidRPr="008B7DA7" w:rsidRDefault="00CB7F24" w:rsidP="00CB7F24">
      <w:pPr>
        <w:tabs>
          <w:tab w:val="clear" w:pos="794"/>
        </w:tabs>
        <w:ind w:left="851" w:hanging="851"/>
        <w:rPr>
          <w:rFonts w:cstheme="minorHAnsi"/>
          <w:szCs w:val="22"/>
          <w:lang w:val="fr-CH" w:eastAsia="zh-CN"/>
        </w:rPr>
      </w:pPr>
      <w:r>
        <w:rPr>
          <w:lang w:val="zh-CN" w:eastAsia="zh-CN"/>
        </w:rPr>
        <w:t>–</w:t>
      </w:r>
      <w:r>
        <w:rPr>
          <w:lang w:val="zh-CN" w:eastAsia="zh-CN"/>
        </w:rPr>
        <w:tab/>
      </w:r>
      <w:r>
        <w:rPr>
          <w:lang w:val="zh-CN" w:eastAsia="zh-CN"/>
        </w:rPr>
        <w:t>酌情为数字农业制定建议书、报告、增补和导则，涵盖：</w:t>
      </w:r>
    </w:p>
    <w:p w14:paraId="731803CE" w14:textId="77777777" w:rsidR="00CB7F24" w:rsidRPr="008B7DA7" w:rsidRDefault="00CB7F24" w:rsidP="00CB7F24">
      <w:pPr>
        <w:pStyle w:val="enumlev2"/>
        <w:tabs>
          <w:tab w:val="clear" w:pos="794"/>
          <w:tab w:val="clear" w:pos="1191"/>
        </w:tabs>
        <w:ind w:left="1276" w:hanging="482"/>
        <w:rPr>
          <w:rFonts w:eastAsiaTheme="minorEastAsia" w:cstheme="minorHAnsi"/>
          <w:szCs w:val="22"/>
          <w:lang w:val="fr-CH" w:eastAsia="zh-CN"/>
        </w:rPr>
      </w:pPr>
      <w:r w:rsidRPr="00685D51">
        <w:rPr>
          <w:rFonts w:eastAsiaTheme="minorEastAsia" w:cstheme="minorHAnsi"/>
          <w:szCs w:val="22"/>
          <w:lang w:val="zh-CN" w:eastAsia="zh-CN"/>
        </w:rPr>
        <w:t>•</w:t>
      </w:r>
      <w:r>
        <w:rPr>
          <w:lang w:val="zh-CN" w:eastAsia="zh-CN"/>
        </w:rPr>
        <w:tab/>
      </w:r>
      <w:r>
        <w:rPr>
          <w:lang w:val="zh-CN" w:eastAsia="zh-CN"/>
        </w:rPr>
        <w:t>数字农业、智慧价值链和沉浸式农业环境的用例、最佳做法和部署模型</w:t>
      </w:r>
      <w:r>
        <w:rPr>
          <w:rFonts w:hint="eastAsia"/>
          <w:lang w:val="zh-CN" w:eastAsia="zh-CN"/>
        </w:rPr>
        <w:t>；</w:t>
      </w:r>
    </w:p>
    <w:p w14:paraId="7B56DEE2" w14:textId="77777777" w:rsidR="00CB7F24" w:rsidRPr="008B7DA7" w:rsidRDefault="00CB7F24" w:rsidP="00CB7F24">
      <w:pPr>
        <w:pStyle w:val="enumlev2"/>
        <w:tabs>
          <w:tab w:val="clear" w:pos="794"/>
          <w:tab w:val="clear" w:pos="1191"/>
        </w:tabs>
        <w:ind w:left="1276" w:hanging="482"/>
        <w:rPr>
          <w:rFonts w:eastAsiaTheme="minorEastAsia" w:cstheme="minorHAnsi"/>
          <w:szCs w:val="22"/>
          <w:lang w:val="fr-CH" w:eastAsia="zh-CN"/>
        </w:rPr>
      </w:pPr>
      <w:r w:rsidRPr="00685D51">
        <w:rPr>
          <w:rFonts w:eastAsiaTheme="minorEastAsia" w:cstheme="minorHAnsi"/>
          <w:szCs w:val="22"/>
          <w:lang w:val="zh-CN" w:eastAsia="zh-CN"/>
        </w:rPr>
        <w:lastRenderedPageBreak/>
        <w:t>•</w:t>
      </w:r>
      <w:r>
        <w:rPr>
          <w:lang w:val="zh-CN" w:eastAsia="zh-CN"/>
        </w:rPr>
        <w:tab/>
      </w:r>
      <w:r>
        <w:rPr>
          <w:lang w:val="zh-CN" w:eastAsia="zh-CN"/>
        </w:rPr>
        <w:t>将物联网、人工智能、机器人和数字孪生技术等新兴数字技术融入农业和智慧价值链的框架和架构模型</w:t>
      </w:r>
      <w:r>
        <w:rPr>
          <w:rFonts w:hint="eastAsia"/>
          <w:lang w:val="zh-CN" w:eastAsia="zh-CN"/>
        </w:rPr>
        <w:t>；</w:t>
      </w:r>
    </w:p>
    <w:p w14:paraId="4EB1776A" w14:textId="77777777" w:rsidR="00CB7F24" w:rsidRPr="008B7DA7" w:rsidRDefault="00CB7F24" w:rsidP="00CB7F24">
      <w:pPr>
        <w:pStyle w:val="enumlev2"/>
        <w:tabs>
          <w:tab w:val="clear" w:pos="794"/>
          <w:tab w:val="clear" w:pos="1191"/>
        </w:tabs>
        <w:ind w:left="1276" w:hanging="482"/>
        <w:rPr>
          <w:rFonts w:eastAsiaTheme="minorEastAsia" w:cstheme="minorHAnsi"/>
          <w:szCs w:val="22"/>
          <w:lang w:val="fr-CH" w:eastAsia="zh-CN"/>
        </w:rPr>
      </w:pPr>
      <w:r w:rsidRPr="00685D51">
        <w:rPr>
          <w:rFonts w:eastAsiaTheme="minorEastAsia" w:cstheme="minorHAnsi"/>
          <w:szCs w:val="22"/>
          <w:lang w:val="zh-CN" w:eastAsia="zh-CN"/>
        </w:rPr>
        <w:t>•</w:t>
      </w:r>
      <w:r>
        <w:rPr>
          <w:lang w:val="zh-CN" w:eastAsia="zh-CN"/>
        </w:rPr>
        <w:tab/>
      </w:r>
      <w:r>
        <w:rPr>
          <w:lang w:val="zh-CN" w:eastAsia="zh-CN"/>
        </w:rPr>
        <w:t>数字农业设备、平台和应用的功能要求、数据模型和接口规范</w:t>
      </w:r>
      <w:r>
        <w:rPr>
          <w:rFonts w:hint="eastAsia"/>
          <w:lang w:val="zh-CN" w:eastAsia="zh-CN"/>
        </w:rPr>
        <w:t>；</w:t>
      </w:r>
    </w:p>
    <w:p w14:paraId="093F0C55" w14:textId="77777777" w:rsidR="00CB7F24" w:rsidRPr="008B7DA7" w:rsidRDefault="00CB7F24" w:rsidP="00CB7F24">
      <w:pPr>
        <w:pStyle w:val="enumlev2"/>
        <w:tabs>
          <w:tab w:val="clear" w:pos="794"/>
          <w:tab w:val="clear" w:pos="1191"/>
        </w:tabs>
        <w:ind w:left="1276" w:hanging="482"/>
        <w:rPr>
          <w:rFonts w:eastAsiaTheme="minorEastAsia" w:cstheme="minorHAnsi"/>
          <w:szCs w:val="22"/>
          <w:lang w:val="fr-CH" w:eastAsia="zh-CN"/>
        </w:rPr>
      </w:pPr>
      <w:r w:rsidRPr="00685D51">
        <w:rPr>
          <w:rFonts w:eastAsiaTheme="minorEastAsia" w:cstheme="minorHAnsi"/>
          <w:szCs w:val="22"/>
          <w:lang w:val="zh-CN" w:eastAsia="zh-CN"/>
        </w:rPr>
        <w:t>•</w:t>
      </w:r>
      <w:r>
        <w:rPr>
          <w:lang w:val="zh-CN" w:eastAsia="zh-CN"/>
        </w:rPr>
        <w:tab/>
      </w:r>
      <w:r>
        <w:rPr>
          <w:rFonts w:hint="eastAsia"/>
          <w:lang w:val="zh-CN" w:eastAsia="zh-CN"/>
        </w:rPr>
        <w:t>在</w:t>
      </w:r>
      <w:r>
        <w:rPr>
          <w:lang w:val="zh-CN" w:eastAsia="zh-CN"/>
        </w:rPr>
        <w:t>整个农业和食品供应链中</w:t>
      </w:r>
      <w:r>
        <w:rPr>
          <w:rFonts w:hint="eastAsia"/>
          <w:lang w:val="zh-CN" w:eastAsia="zh-CN"/>
        </w:rPr>
        <w:t>实现</w:t>
      </w:r>
      <w:r>
        <w:rPr>
          <w:lang w:val="zh-CN" w:eastAsia="zh-CN"/>
        </w:rPr>
        <w:t>端到端可追溯性、实时监控和安全数据交换的机制</w:t>
      </w:r>
      <w:r>
        <w:rPr>
          <w:rFonts w:hint="eastAsia"/>
          <w:lang w:val="zh-CN" w:eastAsia="zh-CN"/>
        </w:rPr>
        <w:t>；</w:t>
      </w:r>
    </w:p>
    <w:p w14:paraId="52C8BECB" w14:textId="77777777" w:rsidR="00CB7F24" w:rsidRPr="008B7DA7" w:rsidRDefault="00CB7F24" w:rsidP="00CB7F24">
      <w:pPr>
        <w:pStyle w:val="enumlev2"/>
        <w:tabs>
          <w:tab w:val="clear" w:pos="794"/>
          <w:tab w:val="clear" w:pos="1191"/>
        </w:tabs>
        <w:ind w:left="1276" w:hanging="482"/>
        <w:rPr>
          <w:rFonts w:eastAsiaTheme="minorEastAsia" w:cstheme="minorHAnsi"/>
          <w:szCs w:val="22"/>
          <w:lang w:val="fr-CH" w:eastAsia="zh-CN"/>
        </w:rPr>
      </w:pPr>
      <w:r w:rsidRPr="00685D51">
        <w:rPr>
          <w:rFonts w:eastAsiaTheme="minorEastAsia" w:cstheme="minorHAnsi"/>
          <w:szCs w:val="22"/>
          <w:lang w:val="zh-CN" w:eastAsia="zh-CN"/>
        </w:rPr>
        <w:t>•</w:t>
      </w:r>
      <w:r>
        <w:rPr>
          <w:lang w:val="zh-CN" w:eastAsia="zh-CN"/>
        </w:rPr>
        <w:tab/>
      </w:r>
      <w:r>
        <w:rPr>
          <w:lang w:eastAsia="zh-CN"/>
        </w:rPr>
        <w:t>构建数字农业知识表征的方法论</w:t>
      </w:r>
      <w:r w:rsidRPr="008B7DA7">
        <w:rPr>
          <w:lang w:val="fr-CH" w:eastAsia="zh-CN"/>
        </w:rPr>
        <w:t>，</w:t>
      </w:r>
      <w:r>
        <w:rPr>
          <w:lang w:eastAsia="zh-CN"/>
        </w:rPr>
        <w:t>探索农业大数据的分析、挖掘与综合应用</w:t>
      </w:r>
      <w:r w:rsidRPr="008B7DA7">
        <w:rPr>
          <w:rFonts w:ascii="SimSun" w:hAnsi="SimSun" w:cs="SimSun" w:hint="eastAsia"/>
          <w:lang w:val="fr-CH" w:eastAsia="zh-CN"/>
        </w:rPr>
        <w:t>；</w:t>
      </w:r>
    </w:p>
    <w:p w14:paraId="7A4C4823" w14:textId="77777777" w:rsidR="00CB7F24" w:rsidRPr="008B7DA7" w:rsidRDefault="00CB7F24" w:rsidP="00CB7F24">
      <w:pPr>
        <w:pStyle w:val="enumlev2"/>
        <w:tabs>
          <w:tab w:val="clear" w:pos="794"/>
          <w:tab w:val="clear" w:pos="1191"/>
        </w:tabs>
        <w:ind w:left="1276" w:hanging="482"/>
        <w:rPr>
          <w:rFonts w:eastAsiaTheme="minorEastAsia" w:cstheme="minorHAnsi"/>
          <w:szCs w:val="22"/>
          <w:lang w:val="fr-CH" w:eastAsia="zh-CN"/>
        </w:rPr>
      </w:pPr>
      <w:r w:rsidRPr="00685D51">
        <w:rPr>
          <w:rFonts w:eastAsiaTheme="minorEastAsia" w:cstheme="minorHAnsi"/>
          <w:szCs w:val="22"/>
          <w:lang w:val="zh-CN" w:eastAsia="zh-CN"/>
        </w:rPr>
        <w:t>•</w:t>
      </w:r>
      <w:r>
        <w:rPr>
          <w:lang w:val="zh-CN" w:eastAsia="zh-CN"/>
        </w:rPr>
        <w:tab/>
      </w:r>
      <w:r>
        <w:rPr>
          <w:lang w:val="zh-CN" w:eastAsia="zh-CN"/>
        </w:rPr>
        <w:t>虚拟世界和沉浸式系统的技术要求和协议，包括远程培训、虚拟协作和模拟环境</w:t>
      </w:r>
      <w:r>
        <w:rPr>
          <w:rFonts w:hint="eastAsia"/>
          <w:lang w:val="zh-CN" w:eastAsia="zh-CN"/>
        </w:rPr>
        <w:t>；</w:t>
      </w:r>
    </w:p>
    <w:p w14:paraId="5B78511D" w14:textId="77777777" w:rsidR="00CB7F24" w:rsidRPr="008B7DA7" w:rsidRDefault="00CB7F24" w:rsidP="00CB7F24">
      <w:pPr>
        <w:pStyle w:val="enumlev2"/>
        <w:tabs>
          <w:tab w:val="clear" w:pos="794"/>
          <w:tab w:val="clear" w:pos="1191"/>
        </w:tabs>
        <w:ind w:left="1276" w:hanging="482"/>
        <w:rPr>
          <w:rFonts w:eastAsiaTheme="minorEastAsia" w:cstheme="minorHAnsi"/>
          <w:szCs w:val="22"/>
          <w:lang w:val="fr-CH" w:eastAsia="zh-CN"/>
        </w:rPr>
      </w:pPr>
      <w:r w:rsidRPr="00685D51">
        <w:rPr>
          <w:rFonts w:eastAsiaTheme="minorEastAsia" w:cstheme="minorHAnsi"/>
          <w:szCs w:val="22"/>
          <w:lang w:val="zh-CN" w:eastAsia="zh-CN"/>
        </w:rPr>
        <w:t>•</w:t>
      </w:r>
      <w:r>
        <w:rPr>
          <w:lang w:val="zh-CN" w:eastAsia="zh-CN"/>
        </w:rPr>
        <w:tab/>
      </w:r>
      <w:r>
        <w:rPr>
          <w:lang w:val="zh-CN" w:eastAsia="zh-CN"/>
        </w:rPr>
        <w:t>互</w:t>
      </w:r>
      <w:r>
        <w:rPr>
          <w:rFonts w:hint="eastAsia"/>
          <w:lang w:val="zh-CN" w:eastAsia="zh-CN"/>
        </w:rPr>
        <w:t>操</w:t>
      </w:r>
      <w:r>
        <w:rPr>
          <w:lang w:val="zh-CN" w:eastAsia="zh-CN"/>
        </w:rPr>
        <w:t>作性的系统级要求</w:t>
      </w:r>
      <w:r>
        <w:rPr>
          <w:rFonts w:hint="eastAsia"/>
          <w:lang w:val="zh-CN" w:eastAsia="zh-CN"/>
        </w:rPr>
        <w:t>；</w:t>
      </w:r>
    </w:p>
    <w:p w14:paraId="31CC9CAE" w14:textId="77777777" w:rsidR="00CB7F24" w:rsidRPr="008B7DA7" w:rsidRDefault="00CB7F24" w:rsidP="00CB7F24">
      <w:pPr>
        <w:pStyle w:val="enumlev2"/>
        <w:tabs>
          <w:tab w:val="clear" w:pos="794"/>
          <w:tab w:val="clear" w:pos="1191"/>
        </w:tabs>
        <w:ind w:left="1276" w:hanging="482"/>
        <w:rPr>
          <w:rFonts w:eastAsiaTheme="minorEastAsia" w:cstheme="minorHAnsi"/>
          <w:szCs w:val="22"/>
          <w:lang w:val="fr-CH" w:eastAsia="zh-CN"/>
        </w:rPr>
      </w:pPr>
      <w:r w:rsidRPr="00685D51">
        <w:rPr>
          <w:rFonts w:eastAsiaTheme="minorEastAsia" w:cstheme="minorHAnsi"/>
          <w:szCs w:val="22"/>
          <w:lang w:val="zh-CN" w:eastAsia="zh-CN"/>
        </w:rPr>
        <w:t>•</w:t>
      </w:r>
      <w:r>
        <w:rPr>
          <w:lang w:val="zh-CN" w:eastAsia="zh-CN"/>
        </w:rPr>
        <w:tab/>
      </w:r>
      <w:r>
        <w:rPr>
          <w:lang w:val="zh-CN" w:eastAsia="zh-CN"/>
        </w:rPr>
        <w:t>数字农业的成本和效益评估。</w:t>
      </w:r>
    </w:p>
    <w:p w14:paraId="11A37C35" w14:textId="77777777" w:rsidR="00CB7F24" w:rsidRPr="008B7DA7" w:rsidRDefault="00CB7F24" w:rsidP="00CB7F24">
      <w:pPr>
        <w:pStyle w:val="enumlev2"/>
        <w:tabs>
          <w:tab w:val="clear" w:pos="794"/>
          <w:tab w:val="clear" w:pos="1191"/>
        </w:tabs>
        <w:ind w:left="1276" w:hanging="482"/>
        <w:rPr>
          <w:rFonts w:eastAsiaTheme="minorEastAsia" w:cstheme="minorHAnsi"/>
          <w:szCs w:val="22"/>
          <w:lang w:val="fr-CH" w:eastAsia="zh-CN"/>
        </w:rPr>
      </w:pPr>
      <w:r w:rsidRPr="00685D51">
        <w:rPr>
          <w:rFonts w:eastAsiaTheme="minorEastAsia" w:cstheme="minorHAnsi"/>
          <w:szCs w:val="22"/>
          <w:lang w:val="zh-CN" w:eastAsia="zh-CN"/>
        </w:rPr>
        <w:t>•</w:t>
      </w:r>
      <w:r>
        <w:rPr>
          <w:lang w:val="zh-CN" w:eastAsia="zh-CN"/>
        </w:rPr>
        <w:tab/>
      </w:r>
      <w:r>
        <w:rPr>
          <w:lang w:val="zh-CN" w:eastAsia="zh-CN"/>
        </w:rPr>
        <w:t>与其他标准化机构、联合国实体、论坛和联盟的协作与协调一致，</w:t>
      </w:r>
      <w:r w:rsidRPr="00923C1B">
        <w:rPr>
          <w:rFonts w:hint="eastAsia"/>
          <w:lang w:val="zh-CN" w:eastAsia="zh-CN"/>
        </w:rPr>
        <w:t>为全球数字基础设施现代化及增强韧性的努力作出贡献。</w:t>
      </w:r>
    </w:p>
    <w:p w14:paraId="47E0AB2F" w14:textId="7B002106" w:rsidR="00CB7F24" w:rsidRPr="008B7DA7" w:rsidRDefault="00CB7F24" w:rsidP="00CB7F24">
      <w:pPr>
        <w:tabs>
          <w:tab w:val="clear" w:pos="794"/>
        </w:tabs>
        <w:ind w:left="851" w:hanging="851"/>
        <w:rPr>
          <w:rFonts w:eastAsiaTheme="minorEastAsia" w:cstheme="minorHAnsi"/>
          <w:szCs w:val="22"/>
          <w:lang w:val="fr-CH" w:eastAsia="zh-CN"/>
        </w:rPr>
      </w:pPr>
      <w:r>
        <w:rPr>
          <w:lang w:val="zh-CN" w:eastAsia="zh-CN"/>
        </w:rPr>
        <w:t>–</w:t>
      </w:r>
      <w:r>
        <w:rPr>
          <w:lang w:val="zh-CN" w:eastAsia="zh-CN"/>
        </w:rPr>
        <w:tab/>
      </w:r>
      <w:r>
        <w:rPr>
          <w:lang w:val="zh-CN" w:eastAsia="zh-CN"/>
        </w:rPr>
        <w:t>维护并完善本课题负责的建议书和非规范性案文，包括：</w:t>
      </w:r>
    </w:p>
    <w:p w14:paraId="1114112E" w14:textId="549D4158" w:rsidR="00CB7F24" w:rsidRPr="00CB7F24" w:rsidRDefault="00CB7F24" w:rsidP="00CB7F24">
      <w:pPr>
        <w:pStyle w:val="enumlev2"/>
        <w:tabs>
          <w:tab w:val="clear" w:pos="794"/>
          <w:tab w:val="clear" w:pos="1191"/>
        </w:tabs>
        <w:ind w:left="1276" w:hanging="482"/>
        <w:rPr>
          <w:lang w:val="zh-CN" w:eastAsia="zh-CN"/>
        </w:rPr>
      </w:pPr>
      <w:r w:rsidRPr="00CB7F24">
        <w:rPr>
          <w:lang w:val="zh-CN" w:eastAsia="zh-CN"/>
        </w:rPr>
        <w:t>‒</w:t>
      </w:r>
      <w:r w:rsidRPr="00CB7F24">
        <w:rPr>
          <w:lang w:val="zh-CN" w:eastAsia="zh-CN"/>
        </w:rPr>
        <w:tab/>
        <w:t>ITU-T Y.4218</w:t>
      </w:r>
      <w:r>
        <w:rPr>
          <w:lang w:val="zh-CN" w:eastAsia="zh-CN"/>
        </w:rPr>
        <w:t>、</w:t>
      </w:r>
      <w:r w:rsidRPr="00CB7F24">
        <w:rPr>
          <w:lang w:val="zh-CN" w:eastAsia="zh-CN"/>
        </w:rPr>
        <w:t>Y.4482</w:t>
      </w:r>
      <w:r>
        <w:rPr>
          <w:lang w:val="zh-CN" w:eastAsia="zh-CN"/>
        </w:rPr>
        <w:t>建议书</w:t>
      </w:r>
    </w:p>
    <w:p w14:paraId="49E3C2CA" w14:textId="572A335B" w:rsidR="00CB7F24" w:rsidRPr="00CB7F24" w:rsidRDefault="00CB7F24" w:rsidP="00CB7F24">
      <w:pPr>
        <w:pStyle w:val="enumlev2"/>
        <w:tabs>
          <w:tab w:val="clear" w:pos="794"/>
          <w:tab w:val="clear" w:pos="1191"/>
        </w:tabs>
        <w:ind w:left="1276" w:hanging="482"/>
        <w:rPr>
          <w:lang w:val="zh-CN" w:eastAsia="zh-CN"/>
        </w:rPr>
      </w:pPr>
      <w:r w:rsidRPr="00CB7F24">
        <w:rPr>
          <w:lang w:val="zh-CN" w:eastAsia="zh-CN"/>
        </w:rPr>
        <w:t>‒</w:t>
      </w:r>
      <w:r w:rsidRPr="00CB7F24">
        <w:rPr>
          <w:lang w:val="zh-CN" w:eastAsia="zh-CN"/>
        </w:rPr>
        <w:tab/>
        <w:t>ITU-T Y</w:t>
      </w:r>
      <w:r>
        <w:rPr>
          <w:lang w:val="zh-CN" w:eastAsia="zh-CN"/>
        </w:rPr>
        <w:t>系列增补</w:t>
      </w:r>
      <w:r w:rsidRPr="00CB7F24">
        <w:rPr>
          <w:lang w:val="zh-CN" w:eastAsia="zh-CN"/>
        </w:rPr>
        <w:t>76</w:t>
      </w:r>
      <w:r>
        <w:rPr>
          <w:lang w:val="zh-CN" w:eastAsia="zh-CN"/>
        </w:rPr>
        <w:t>、</w:t>
      </w:r>
      <w:r w:rsidRPr="00CB7F24">
        <w:rPr>
          <w:lang w:val="zh-CN" w:eastAsia="zh-CN"/>
        </w:rPr>
        <w:t>82</w:t>
      </w:r>
      <w:r>
        <w:rPr>
          <w:lang w:val="zh-CN" w:eastAsia="zh-CN"/>
        </w:rPr>
        <w:t>、</w:t>
      </w:r>
      <w:r w:rsidRPr="00CB7F24">
        <w:rPr>
          <w:lang w:val="zh-CN" w:eastAsia="zh-CN"/>
        </w:rPr>
        <w:t>83</w:t>
      </w:r>
      <w:r>
        <w:rPr>
          <w:lang w:val="zh-CN" w:eastAsia="zh-CN"/>
        </w:rPr>
        <w:t>、</w:t>
      </w:r>
      <w:r w:rsidRPr="00CB7F24">
        <w:rPr>
          <w:lang w:val="zh-CN" w:eastAsia="zh-CN"/>
        </w:rPr>
        <w:t>85</w:t>
      </w:r>
    </w:p>
    <w:p w14:paraId="41B4983F" w14:textId="1EDB9255" w:rsidR="00CB7F24" w:rsidRPr="00CB7F24" w:rsidRDefault="00CB7F24" w:rsidP="00CB7F24">
      <w:pPr>
        <w:pStyle w:val="enumlev2"/>
        <w:tabs>
          <w:tab w:val="clear" w:pos="794"/>
          <w:tab w:val="clear" w:pos="1191"/>
        </w:tabs>
        <w:ind w:left="1276" w:hanging="482"/>
        <w:rPr>
          <w:lang w:val="zh-CN" w:eastAsia="zh-CN"/>
        </w:rPr>
      </w:pPr>
      <w:r w:rsidRPr="00CB7F24">
        <w:rPr>
          <w:lang w:val="zh-CN" w:eastAsia="zh-CN"/>
        </w:rPr>
        <w:t>‒</w:t>
      </w:r>
      <w:r w:rsidRPr="00CB7F24">
        <w:rPr>
          <w:lang w:val="zh-CN" w:eastAsia="zh-CN"/>
        </w:rPr>
        <w:tab/>
        <w:t>ITU-T YSTR.DataModelling-Agri</w:t>
      </w:r>
    </w:p>
    <w:p w14:paraId="4841930F" w14:textId="47AF3059" w:rsidR="00CB7F24" w:rsidRPr="00685D51" w:rsidRDefault="00CB7F24" w:rsidP="00CB7F24">
      <w:pPr>
        <w:tabs>
          <w:tab w:val="clear" w:pos="794"/>
        </w:tabs>
        <w:ind w:left="851" w:hanging="851"/>
        <w:rPr>
          <w:rFonts w:eastAsiaTheme="minorEastAsia" w:cstheme="minorHAnsi"/>
          <w:szCs w:val="22"/>
          <w:lang w:eastAsia="zh-CN"/>
        </w:rPr>
      </w:pPr>
      <w:r w:rsidRPr="00CB7F24">
        <w:rPr>
          <w:lang w:eastAsia="zh-CN"/>
        </w:rPr>
        <w:t>–</w:t>
      </w:r>
      <w:r w:rsidRPr="00CB7F24">
        <w:rPr>
          <w:lang w:eastAsia="zh-CN"/>
        </w:rPr>
        <w:tab/>
      </w:r>
      <w:r>
        <w:rPr>
          <w:lang w:val="zh-CN" w:eastAsia="zh-CN"/>
        </w:rPr>
        <w:t>为国际电联内部以及</w:t>
      </w:r>
      <w:r w:rsidRPr="00CB7F24">
        <w:rPr>
          <w:lang w:eastAsia="zh-CN"/>
        </w:rPr>
        <w:t>ITU-T</w:t>
      </w:r>
      <w:r>
        <w:rPr>
          <w:lang w:val="zh-CN" w:eastAsia="zh-CN"/>
        </w:rPr>
        <w:t>与标准制定组织、联合国实体、联盟和论坛之间在此领域开展联合活动提供必要的协作。</w:t>
      </w:r>
    </w:p>
    <w:p w14:paraId="16B38F0D" w14:textId="46FE1AC9" w:rsidR="00CB7F24" w:rsidRPr="00685D51" w:rsidRDefault="00CB7F24" w:rsidP="00CB7F24">
      <w:pPr>
        <w:tabs>
          <w:tab w:val="clear" w:pos="794"/>
        </w:tabs>
        <w:ind w:left="851" w:hanging="851"/>
        <w:rPr>
          <w:rFonts w:eastAsiaTheme="minorEastAsia" w:cstheme="minorHAnsi"/>
          <w:szCs w:val="22"/>
          <w:lang w:eastAsia="zh-CN"/>
        </w:rPr>
      </w:pPr>
      <w:r>
        <w:rPr>
          <w:lang w:val="zh-CN" w:eastAsia="zh-CN"/>
        </w:rPr>
        <w:t>–</w:t>
      </w:r>
      <w:r>
        <w:rPr>
          <w:lang w:val="zh-CN" w:eastAsia="zh-CN"/>
        </w:rPr>
        <w:tab/>
      </w:r>
      <w:r>
        <w:rPr>
          <w:lang w:val="zh-CN" w:eastAsia="zh-CN"/>
        </w:rPr>
        <w:t>根据提交文稿情况，酌情研究其它议题。</w:t>
      </w:r>
    </w:p>
    <w:p w14:paraId="0183AF15" w14:textId="1534C3C8" w:rsidR="00CB7F24" w:rsidRPr="00685D51" w:rsidRDefault="00CB7F24" w:rsidP="00CB7F24">
      <w:pPr>
        <w:tabs>
          <w:tab w:val="clear" w:pos="794"/>
        </w:tabs>
        <w:ind w:left="851" w:hanging="851"/>
        <w:rPr>
          <w:rFonts w:eastAsiaTheme="minorEastAsia" w:cstheme="minorHAnsi"/>
          <w:szCs w:val="22"/>
          <w:lang w:eastAsia="zh-CN"/>
        </w:rPr>
      </w:pPr>
      <w:r>
        <w:rPr>
          <w:lang w:val="zh-CN" w:eastAsia="zh-CN"/>
        </w:rPr>
        <w:t>–</w:t>
      </w:r>
      <w:r>
        <w:rPr>
          <w:lang w:val="zh-CN" w:eastAsia="zh-CN"/>
        </w:rPr>
        <w:tab/>
      </w:r>
      <w:r>
        <w:rPr>
          <w:lang w:val="zh-CN" w:eastAsia="zh-CN"/>
        </w:rPr>
        <w:t>在人工智能领域开展的工作须符合既定条款，包括第</w:t>
      </w:r>
      <w:r>
        <w:rPr>
          <w:lang w:val="zh-CN" w:eastAsia="zh-CN"/>
        </w:rPr>
        <w:t>214</w:t>
      </w:r>
      <w:r>
        <w:rPr>
          <w:lang w:val="zh-CN" w:eastAsia="zh-CN"/>
        </w:rPr>
        <w:t>号决议。</w:t>
      </w:r>
    </w:p>
    <w:p w14:paraId="33E06570" w14:textId="77777777" w:rsidR="00CB7F24" w:rsidRPr="00685D51" w:rsidRDefault="00CB7F24" w:rsidP="00CB7F24">
      <w:pPr>
        <w:tabs>
          <w:tab w:val="clear" w:pos="794"/>
          <w:tab w:val="clear" w:pos="1191"/>
          <w:tab w:val="clear" w:pos="1588"/>
          <w:tab w:val="clear" w:pos="1985"/>
        </w:tabs>
        <w:overflowPunct/>
        <w:autoSpaceDE/>
        <w:autoSpaceDN/>
        <w:adjustRightInd/>
        <w:ind w:firstLineChars="200" w:firstLine="440"/>
        <w:textAlignment w:val="auto"/>
        <w:rPr>
          <w:rFonts w:eastAsiaTheme="minorEastAsia" w:cstheme="minorHAnsi"/>
          <w:color w:val="000000"/>
          <w:szCs w:val="22"/>
        </w:rPr>
      </w:pPr>
      <w:proofErr w:type="spellStart"/>
      <w:r>
        <w:rPr>
          <w:lang w:val="zh-CN"/>
        </w:rPr>
        <w:t>此课题的最新工作状况见第</w:t>
      </w:r>
      <w:proofErr w:type="spellEnd"/>
      <w:r w:rsidRPr="008C71EA">
        <w:t>20</w:t>
      </w:r>
      <w:r>
        <w:rPr>
          <w:lang w:val="zh-CN"/>
        </w:rPr>
        <w:t>研究组的工作计划</w:t>
      </w:r>
      <w:r w:rsidRPr="008C71EA">
        <w:t>（</w:t>
      </w:r>
      <w:hyperlink r:id="rId14" w:history="1">
        <w:r w:rsidRPr="00685D51">
          <w:rPr>
            <w:rFonts w:eastAsiaTheme="minorEastAsia" w:cstheme="minorHAnsi"/>
            <w:color w:val="0000FF"/>
            <w:szCs w:val="22"/>
            <w:u w:val="single"/>
            <w:lang w:val="en-US" w:eastAsia="ja-JP"/>
          </w:rPr>
          <w:t>https://www.itu.int/ITU-T/workprog/wp_search.aspx?sp=18&amp;q=11/20</w:t>
        </w:r>
      </w:hyperlink>
      <w:r w:rsidRPr="008C71EA">
        <w:t>）</w:t>
      </w:r>
      <w:r>
        <w:rPr>
          <w:lang w:val="zh-CN"/>
        </w:rPr>
        <w:t>。</w:t>
      </w:r>
      <w:hyperlink r:id="rId15" w:history="1"/>
    </w:p>
    <w:p w14:paraId="42A044FE" w14:textId="77777777" w:rsidR="00CB7F24" w:rsidRPr="00685D51" w:rsidRDefault="00CB7F24" w:rsidP="00CB7F24">
      <w:pPr>
        <w:keepNext/>
        <w:keepLines/>
        <w:spacing w:before="160"/>
        <w:ind w:left="794" w:hanging="794"/>
        <w:outlineLvl w:val="2"/>
        <w:rPr>
          <w:rFonts w:cstheme="minorHAnsi"/>
          <w:b/>
          <w:szCs w:val="22"/>
          <w:lang w:eastAsia="zh-CN"/>
        </w:rPr>
      </w:pPr>
      <w:r>
        <w:rPr>
          <w:b/>
          <w:bCs/>
          <w:lang w:val="zh-CN" w:eastAsia="zh-CN"/>
        </w:rPr>
        <w:t>4</w:t>
      </w:r>
      <w:r>
        <w:rPr>
          <w:b/>
          <w:bCs/>
          <w:lang w:val="zh-CN" w:eastAsia="zh-CN"/>
        </w:rPr>
        <w:tab/>
      </w:r>
      <w:r>
        <w:rPr>
          <w:b/>
          <w:bCs/>
          <w:lang w:val="zh-CN" w:eastAsia="zh-CN"/>
        </w:rPr>
        <w:t>关系</w:t>
      </w:r>
    </w:p>
    <w:p w14:paraId="1983984F" w14:textId="77777777" w:rsidR="00CB7F24" w:rsidRPr="00685D51" w:rsidRDefault="00CB7F24" w:rsidP="00CB7F24">
      <w:pPr>
        <w:keepNext/>
        <w:rPr>
          <w:rFonts w:eastAsiaTheme="minorEastAsia" w:cstheme="minorHAnsi"/>
          <w:b/>
          <w:szCs w:val="22"/>
          <w:lang w:eastAsia="zh-CN"/>
        </w:rPr>
      </w:pPr>
      <w:r>
        <w:rPr>
          <w:b/>
          <w:bCs/>
          <w:lang w:val="zh-CN" w:eastAsia="zh-CN"/>
        </w:rPr>
        <w:t>建议</w:t>
      </w:r>
      <w:r>
        <w:rPr>
          <w:rFonts w:hint="eastAsia"/>
          <w:b/>
          <w:bCs/>
          <w:lang w:val="zh-CN" w:eastAsia="zh-CN"/>
        </w:rPr>
        <w:t>书</w:t>
      </w:r>
      <w:r>
        <w:rPr>
          <w:b/>
          <w:bCs/>
          <w:lang w:val="zh-CN" w:eastAsia="zh-CN"/>
        </w:rPr>
        <w:t>：</w:t>
      </w:r>
    </w:p>
    <w:p w14:paraId="6876CA31" w14:textId="72B21413" w:rsidR="00CB7F24" w:rsidRPr="00685D51" w:rsidRDefault="00CB7F24" w:rsidP="00CB7F24">
      <w:pPr>
        <w:tabs>
          <w:tab w:val="clear" w:pos="794"/>
        </w:tabs>
        <w:ind w:left="851" w:hanging="851"/>
        <w:rPr>
          <w:rFonts w:cstheme="minorHAnsi"/>
          <w:szCs w:val="22"/>
          <w:lang w:eastAsia="zh-CN"/>
        </w:rPr>
      </w:pPr>
      <w:r>
        <w:rPr>
          <w:lang w:val="zh-CN" w:eastAsia="zh-CN"/>
        </w:rPr>
        <w:t>–</w:t>
      </w:r>
      <w:r>
        <w:rPr>
          <w:lang w:val="zh-CN" w:eastAsia="zh-CN"/>
        </w:rPr>
        <w:tab/>
        <w:t>Y.4000</w:t>
      </w:r>
      <w:r>
        <w:rPr>
          <w:lang w:val="zh-CN" w:eastAsia="zh-CN"/>
        </w:rPr>
        <w:t>系列，包括</w:t>
      </w:r>
      <w:r>
        <w:rPr>
          <w:lang w:val="zh-CN" w:eastAsia="zh-CN"/>
        </w:rPr>
        <w:t>Y.4218</w:t>
      </w:r>
      <w:r>
        <w:rPr>
          <w:lang w:val="zh-CN" w:eastAsia="zh-CN"/>
        </w:rPr>
        <w:t>、</w:t>
      </w:r>
      <w:r>
        <w:rPr>
          <w:lang w:val="zh-CN" w:eastAsia="zh-CN"/>
        </w:rPr>
        <w:t>Y.4482</w:t>
      </w:r>
    </w:p>
    <w:p w14:paraId="30379C2F" w14:textId="77777777" w:rsidR="00CB7F24" w:rsidRPr="00685D51" w:rsidRDefault="00CB7F24" w:rsidP="00CB7F24">
      <w:pPr>
        <w:keepNext/>
        <w:rPr>
          <w:rFonts w:eastAsiaTheme="minorEastAsia" w:cstheme="minorHAnsi"/>
          <w:b/>
          <w:szCs w:val="22"/>
          <w:lang w:eastAsia="zh-CN"/>
        </w:rPr>
      </w:pPr>
      <w:r>
        <w:rPr>
          <w:b/>
          <w:bCs/>
          <w:lang w:val="zh-CN" w:eastAsia="zh-CN"/>
        </w:rPr>
        <w:t>课题：</w:t>
      </w:r>
    </w:p>
    <w:p w14:paraId="606F7D81" w14:textId="34B90BB9" w:rsidR="00CB7F24" w:rsidRPr="00685D51" w:rsidRDefault="00CB7F24" w:rsidP="00CB7F24">
      <w:pPr>
        <w:tabs>
          <w:tab w:val="clear" w:pos="794"/>
        </w:tabs>
        <w:ind w:left="851" w:hanging="851"/>
        <w:rPr>
          <w:rFonts w:eastAsiaTheme="minorEastAsia" w:cstheme="minorHAnsi"/>
          <w:szCs w:val="22"/>
          <w:lang w:eastAsia="zh-CN"/>
        </w:rPr>
      </w:pPr>
      <w:r>
        <w:rPr>
          <w:lang w:val="zh-CN" w:eastAsia="zh-CN"/>
        </w:rPr>
        <w:t>–</w:t>
      </w:r>
      <w:r>
        <w:rPr>
          <w:lang w:val="zh-CN" w:eastAsia="zh-CN"/>
        </w:rPr>
        <w:tab/>
        <w:t>ITU-T</w:t>
      </w:r>
      <w:r>
        <w:rPr>
          <w:lang w:val="zh-CN" w:eastAsia="zh-CN"/>
        </w:rPr>
        <w:t>第</w:t>
      </w:r>
      <w:r>
        <w:rPr>
          <w:lang w:val="zh-CN" w:eastAsia="zh-CN"/>
        </w:rPr>
        <w:t>20</w:t>
      </w:r>
      <w:r>
        <w:rPr>
          <w:lang w:val="zh-CN" w:eastAsia="zh-CN"/>
        </w:rPr>
        <w:t>研究组所有课题</w:t>
      </w:r>
    </w:p>
    <w:p w14:paraId="302EB42D" w14:textId="77777777" w:rsidR="00CB7F24" w:rsidRPr="00685D51" w:rsidRDefault="00CB7F24" w:rsidP="00CB7F24">
      <w:pPr>
        <w:keepNext/>
        <w:rPr>
          <w:rFonts w:eastAsiaTheme="minorEastAsia" w:cstheme="minorHAnsi"/>
          <w:b/>
          <w:szCs w:val="22"/>
          <w:lang w:eastAsia="zh-CN"/>
        </w:rPr>
      </w:pPr>
      <w:r>
        <w:rPr>
          <w:b/>
          <w:bCs/>
          <w:lang w:val="zh-CN" w:eastAsia="zh-CN"/>
        </w:rPr>
        <w:t>研究组</w:t>
      </w:r>
      <w:r w:rsidRPr="008C71EA">
        <w:rPr>
          <w:b/>
          <w:bCs/>
          <w:lang w:eastAsia="zh-CN"/>
        </w:rPr>
        <w:t>：</w:t>
      </w:r>
    </w:p>
    <w:p w14:paraId="0AC2F4EC" w14:textId="77777777" w:rsidR="00CB7F24" w:rsidRPr="00685D51" w:rsidRDefault="00CB7F24" w:rsidP="00CB7F24">
      <w:pPr>
        <w:tabs>
          <w:tab w:val="clear" w:pos="794"/>
        </w:tabs>
        <w:ind w:left="851" w:hanging="851"/>
        <w:rPr>
          <w:rFonts w:eastAsiaTheme="minorEastAsia" w:cstheme="minorHAnsi"/>
          <w:szCs w:val="22"/>
          <w:lang w:eastAsia="zh-CN"/>
        </w:rPr>
      </w:pPr>
      <w:r w:rsidRPr="008C71EA">
        <w:rPr>
          <w:lang w:eastAsia="zh-CN"/>
        </w:rPr>
        <w:t>–</w:t>
      </w:r>
      <w:r>
        <w:rPr>
          <w:lang w:eastAsia="zh-CN"/>
        </w:rPr>
        <w:tab/>
      </w:r>
      <w:r w:rsidRPr="008C71EA">
        <w:rPr>
          <w:lang w:eastAsia="zh-CN"/>
        </w:rPr>
        <w:t>ITU-T</w:t>
      </w:r>
      <w:r>
        <w:rPr>
          <w:lang w:val="zh-CN" w:eastAsia="zh-CN"/>
        </w:rPr>
        <w:t>第</w:t>
      </w:r>
      <w:r>
        <w:rPr>
          <w:rFonts w:hint="eastAsia"/>
          <w:lang w:eastAsia="zh-CN"/>
        </w:rPr>
        <w:t>5</w:t>
      </w:r>
      <w:r>
        <w:rPr>
          <w:lang w:val="zh-CN" w:eastAsia="zh-CN"/>
        </w:rPr>
        <w:t>研究组</w:t>
      </w:r>
    </w:p>
    <w:p w14:paraId="743ABBA7" w14:textId="77777777" w:rsidR="00CB7F24" w:rsidRPr="00685D51" w:rsidRDefault="00CB7F24" w:rsidP="00CB7F24">
      <w:pPr>
        <w:tabs>
          <w:tab w:val="clear" w:pos="794"/>
        </w:tabs>
        <w:ind w:left="851" w:hanging="851"/>
        <w:rPr>
          <w:rFonts w:eastAsiaTheme="minorEastAsia" w:cstheme="minorHAnsi"/>
          <w:szCs w:val="22"/>
        </w:rPr>
      </w:pPr>
      <w:r w:rsidRPr="008C71EA">
        <w:t>–</w:t>
      </w:r>
      <w:r>
        <w:tab/>
      </w:r>
      <w:r w:rsidRPr="008C71EA">
        <w:t>ITU-T</w:t>
      </w:r>
      <w:r>
        <w:rPr>
          <w:lang w:val="zh-CN"/>
        </w:rPr>
        <w:t>第</w:t>
      </w:r>
      <w:r w:rsidRPr="008C71EA">
        <w:t>1</w:t>
      </w:r>
      <w:r>
        <w:rPr>
          <w:rFonts w:hint="eastAsia"/>
          <w:lang w:eastAsia="zh-CN"/>
        </w:rPr>
        <w:t>1</w:t>
      </w:r>
      <w:proofErr w:type="spellStart"/>
      <w:r>
        <w:rPr>
          <w:lang w:val="zh-CN"/>
        </w:rPr>
        <w:t>研究组</w:t>
      </w:r>
      <w:proofErr w:type="spellEnd"/>
    </w:p>
    <w:p w14:paraId="0C3DDF2C" w14:textId="77777777" w:rsidR="00CB7F24" w:rsidRPr="00685D51" w:rsidRDefault="00CB7F24" w:rsidP="00CB7F24">
      <w:pPr>
        <w:tabs>
          <w:tab w:val="clear" w:pos="794"/>
        </w:tabs>
        <w:ind w:left="851" w:hanging="851"/>
        <w:rPr>
          <w:rFonts w:eastAsiaTheme="minorEastAsia" w:cstheme="minorHAnsi"/>
          <w:szCs w:val="22"/>
        </w:rPr>
      </w:pPr>
      <w:r w:rsidRPr="008C71EA">
        <w:t>–</w:t>
      </w:r>
      <w:r>
        <w:tab/>
      </w:r>
      <w:r w:rsidRPr="008C71EA">
        <w:t>ITU-T</w:t>
      </w:r>
      <w:r>
        <w:rPr>
          <w:lang w:val="zh-CN"/>
        </w:rPr>
        <w:t>第</w:t>
      </w:r>
      <w:r w:rsidRPr="008C71EA">
        <w:t>13</w:t>
      </w:r>
      <w:proofErr w:type="spellStart"/>
      <w:r>
        <w:rPr>
          <w:lang w:val="zh-CN"/>
        </w:rPr>
        <w:t>研究组</w:t>
      </w:r>
      <w:proofErr w:type="spellEnd"/>
    </w:p>
    <w:p w14:paraId="3CA744DF" w14:textId="77777777" w:rsidR="00CB7F24" w:rsidRPr="00685D51" w:rsidRDefault="00CB7F24" w:rsidP="00CB7F24">
      <w:pPr>
        <w:tabs>
          <w:tab w:val="clear" w:pos="794"/>
        </w:tabs>
        <w:ind w:left="851" w:hanging="851"/>
        <w:rPr>
          <w:rFonts w:eastAsiaTheme="minorEastAsia" w:cstheme="minorHAnsi"/>
          <w:szCs w:val="22"/>
        </w:rPr>
      </w:pPr>
      <w:r w:rsidRPr="008C71EA">
        <w:t>–</w:t>
      </w:r>
      <w:r>
        <w:tab/>
      </w:r>
      <w:r w:rsidRPr="008C71EA">
        <w:t>ITU-T</w:t>
      </w:r>
      <w:r>
        <w:rPr>
          <w:lang w:val="zh-CN"/>
        </w:rPr>
        <w:t>第</w:t>
      </w:r>
      <w:r w:rsidRPr="008C71EA">
        <w:t>1</w:t>
      </w:r>
      <w:r>
        <w:rPr>
          <w:rFonts w:hint="eastAsia"/>
          <w:lang w:eastAsia="zh-CN"/>
        </w:rPr>
        <w:t>7</w:t>
      </w:r>
      <w:proofErr w:type="spellStart"/>
      <w:r>
        <w:rPr>
          <w:lang w:val="zh-CN"/>
        </w:rPr>
        <w:t>研究组</w:t>
      </w:r>
      <w:proofErr w:type="spellEnd"/>
    </w:p>
    <w:p w14:paraId="7809E717" w14:textId="77777777" w:rsidR="00CB7F24" w:rsidRPr="00685D51" w:rsidRDefault="00CB7F24" w:rsidP="00CB7F24">
      <w:pPr>
        <w:tabs>
          <w:tab w:val="clear" w:pos="794"/>
        </w:tabs>
        <w:ind w:left="851" w:hanging="851"/>
        <w:rPr>
          <w:rFonts w:eastAsiaTheme="minorEastAsia" w:cstheme="minorHAnsi"/>
          <w:szCs w:val="22"/>
        </w:rPr>
      </w:pPr>
      <w:r w:rsidRPr="008C71EA">
        <w:t>–</w:t>
      </w:r>
      <w:r>
        <w:tab/>
      </w:r>
      <w:r w:rsidRPr="008C71EA">
        <w:t>ITU-T</w:t>
      </w:r>
      <w:r>
        <w:rPr>
          <w:lang w:val="zh-CN"/>
        </w:rPr>
        <w:t>第</w:t>
      </w:r>
      <w:r>
        <w:rPr>
          <w:rFonts w:hint="eastAsia"/>
          <w:lang w:eastAsia="zh-CN"/>
        </w:rPr>
        <w:t>21</w:t>
      </w:r>
      <w:proofErr w:type="spellStart"/>
      <w:r>
        <w:rPr>
          <w:lang w:val="zh-CN"/>
        </w:rPr>
        <w:t>研究组</w:t>
      </w:r>
      <w:proofErr w:type="spellEnd"/>
    </w:p>
    <w:p w14:paraId="2EF35385" w14:textId="77777777" w:rsidR="00CB7F24" w:rsidRPr="008B7DA7" w:rsidRDefault="00CB7F24" w:rsidP="00CB7F24">
      <w:pPr>
        <w:keepNext/>
        <w:rPr>
          <w:rFonts w:eastAsiaTheme="minorEastAsia" w:cstheme="minorHAnsi"/>
          <w:b/>
          <w:szCs w:val="22"/>
          <w:lang w:val="pt-BR"/>
        </w:rPr>
      </w:pPr>
      <w:proofErr w:type="spellStart"/>
      <w:r>
        <w:rPr>
          <w:b/>
          <w:bCs/>
          <w:lang w:val="zh-CN"/>
        </w:rPr>
        <w:t>其他机构</w:t>
      </w:r>
      <w:proofErr w:type="spellEnd"/>
      <w:r w:rsidRPr="008B7DA7">
        <w:rPr>
          <w:b/>
          <w:bCs/>
          <w:lang w:val="pt-BR"/>
        </w:rPr>
        <w:t>：</w:t>
      </w:r>
    </w:p>
    <w:p w14:paraId="47D7DA07" w14:textId="77777777" w:rsidR="00CB7F24" w:rsidRPr="00CB7F24" w:rsidRDefault="00CB7F24" w:rsidP="00CB7F24">
      <w:pPr>
        <w:tabs>
          <w:tab w:val="clear" w:pos="794"/>
        </w:tabs>
        <w:ind w:left="851" w:hanging="851"/>
        <w:rPr>
          <w:lang w:val="zh-CN" w:eastAsia="zh-CN"/>
        </w:rPr>
      </w:pPr>
      <w:r w:rsidRPr="00CB7F24">
        <w:rPr>
          <w:lang w:val="zh-CN" w:eastAsia="zh-CN"/>
        </w:rPr>
        <w:t>–</w:t>
      </w:r>
      <w:r w:rsidRPr="00CB7F24">
        <w:rPr>
          <w:lang w:val="zh-CN" w:eastAsia="zh-CN"/>
        </w:rPr>
        <w:tab/>
        <w:t>ISO/TC 23</w:t>
      </w:r>
    </w:p>
    <w:p w14:paraId="3ED407AC" w14:textId="77777777" w:rsidR="00CB7F24" w:rsidRPr="00CB7F24" w:rsidRDefault="00CB7F24" w:rsidP="00CB7F24">
      <w:pPr>
        <w:tabs>
          <w:tab w:val="clear" w:pos="794"/>
        </w:tabs>
        <w:ind w:left="851" w:hanging="851"/>
        <w:rPr>
          <w:lang w:val="zh-CN" w:eastAsia="zh-CN"/>
        </w:rPr>
      </w:pPr>
      <w:r w:rsidRPr="00CB7F24">
        <w:rPr>
          <w:lang w:val="zh-CN" w:eastAsia="zh-CN"/>
        </w:rPr>
        <w:t>–</w:t>
      </w:r>
      <w:r w:rsidRPr="00CB7F24">
        <w:rPr>
          <w:lang w:val="zh-CN" w:eastAsia="zh-CN"/>
        </w:rPr>
        <w:tab/>
        <w:t>ISO/TC 34</w:t>
      </w:r>
    </w:p>
    <w:p w14:paraId="6737361C" w14:textId="77777777" w:rsidR="00CB7F24" w:rsidRPr="00CB7F24" w:rsidRDefault="00CB7F24" w:rsidP="00CB7F24">
      <w:pPr>
        <w:tabs>
          <w:tab w:val="clear" w:pos="794"/>
        </w:tabs>
        <w:ind w:left="851" w:hanging="851"/>
        <w:rPr>
          <w:lang w:val="zh-CN" w:eastAsia="zh-CN"/>
        </w:rPr>
      </w:pPr>
      <w:r w:rsidRPr="00CB7F24">
        <w:rPr>
          <w:lang w:val="zh-CN" w:eastAsia="zh-CN"/>
        </w:rPr>
        <w:t>–</w:t>
      </w:r>
      <w:r w:rsidRPr="00CB7F24">
        <w:rPr>
          <w:lang w:val="zh-CN" w:eastAsia="zh-CN"/>
        </w:rPr>
        <w:tab/>
        <w:t>ISO/TC347</w:t>
      </w:r>
    </w:p>
    <w:p w14:paraId="4C23CE33" w14:textId="77777777" w:rsidR="00CB7F24" w:rsidRPr="00CB7F24" w:rsidRDefault="00CB7F24" w:rsidP="00CB7F24">
      <w:pPr>
        <w:tabs>
          <w:tab w:val="clear" w:pos="794"/>
        </w:tabs>
        <w:ind w:left="851" w:hanging="851"/>
        <w:rPr>
          <w:lang w:val="zh-CN" w:eastAsia="zh-CN"/>
        </w:rPr>
      </w:pPr>
      <w:r w:rsidRPr="00CB7F24">
        <w:rPr>
          <w:lang w:val="zh-CN" w:eastAsia="zh-CN"/>
        </w:rPr>
        <w:t>–</w:t>
      </w:r>
      <w:r w:rsidRPr="00CB7F24">
        <w:rPr>
          <w:lang w:val="zh-CN" w:eastAsia="zh-CN"/>
        </w:rPr>
        <w:tab/>
        <w:t>ISO/IEC JTC1/SC42</w:t>
      </w:r>
    </w:p>
    <w:p w14:paraId="14AA684D" w14:textId="77777777" w:rsidR="00CB7F24" w:rsidRPr="00CB7F24" w:rsidRDefault="00CB7F24" w:rsidP="00CB7F24">
      <w:pPr>
        <w:tabs>
          <w:tab w:val="clear" w:pos="794"/>
        </w:tabs>
        <w:ind w:left="851" w:hanging="851"/>
        <w:rPr>
          <w:lang w:val="zh-CN" w:eastAsia="zh-CN"/>
        </w:rPr>
      </w:pPr>
      <w:r w:rsidRPr="00CB7F24">
        <w:rPr>
          <w:lang w:val="zh-CN" w:eastAsia="zh-CN"/>
        </w:rPr>
        <w:t>–</w:t>
      </w:r>
      <w:r w:rsidRPr="00CB7F24">
        <w:rPr>
          <w:lang w:val="zh-CN" w:eastAsia="zh-CN"/>
        </w:rPr>
        <w:tab/>
        <w:t>ISO/IEC JTC1/SC41</w:t>
      </w:r>
    </w:p>
    <w:p w14:paraId="6870096B" w14:textId="49CBB7D5" w:rsidR="00CB7F24" w:rsidRPr="00CB7F24" w:rsidRDefault="00CB7F24" w:rsidP="00CB7F24">
      <w:pPr>
        <w:tabs>
          <w:tab w:val="clear" w:pos="794"/>
        </w:tabs>
        <w:ind w:left="851" w:hanging="851"/>
        <w:rPr>
          <w:lang w:val="zh-CN" w:eastAsia="zh-CN"/>
        </w:rPr>
      </w:pPr>
      <w:r w:rsidRPr="00CB7F24">
        <w:rPr>
          <w:lang w:val="zh-CN" w:eastAsia="zh-CN"/>
        </w:rPr>
        <w:lastRenderedPageBreak/>
        <w:t>–</w:t>
      </w:r>
      <w:r w:rsidRPr="00CB7F24">
        <w:rPr>
          <w:lang w:val="zh-CN" w:eastAsia="zh-CN"/>
        </w:rPr>
        <w:tab/>
        <w:t>JCA-IoT</w:t>
      </w:r>
      <w:r w:rsidRPr="00CB7F24">
        <w:rPr>
          <w:rFonts w:hint="eastAsia"/>
          <w:lang w:val="zh-CN" w:eastAsia="zh-CN"/>
        </w:rPr>
        <w:t>、</w:t>
      </w:r>
      <w:r w:rsidRPr="00CB7F24">
        <w:rPr>
          <w:lang w:val="zh-CN" w:eastAsia="zh-CN"/>
        </w:rPr>
        <w:t>DT</w:t>
      </w:r>
      <w:r w:rsidRPr="00CB7F24">
        <w:rPr>
          <w:rFonts w:hint="eastAsia"/>
          <w:lang w:val="zh-CN" w:eastAsia="zh-CN"/>
        </w:rPr>
        <w:t>及</w:t>
      </w:r>
      <w:r w:rsidRPr="00CB7F24">
        <w:rPr>
          <w:lang w:val="zh-CN" w:eastAsia="zh-CN"/>
        </w:rPr>
        <w:t>SSC&amp;C</w:t>
      </w:r>
    </w:p>
    <w:p w14:paraId="2D263799" w14:textId="77777777" w:rsidR="00CB7F24" w:rsidRPr="00CB7F24" w:rsidRDefault="00CB7F24" w:rsidP="00CB7F24">
      <w:pPr>
        <w:tabs>
          <w:tab w:val="clear" w:pos="794"/>
        </w:tabs>
        <w:ind w:left="851" w:hanging="851"/>
        <w:rPr>
          <w:lang w:val="zh-CN" w:eastAsia="zh-CN"/>
        </w:rPr>
      </w:pPr>
      <w:r>
        <w:rPr>
          <w:lang w:val="zh-CN" w:eastAsia="zh-CN"/>
        </w:rPr>
        <w:t>–</w:t>
      </w:r>
      <w:r>
        <w:rPr>
          <w:lang w:val="zh-CN" w:eastAsia="zh-CN"/>
        </w:rPr>
        <w:tab/>
        <w:t>JCA-MV</w:t>
      </w:r>
    </w:p>
    <w:p w14:paraId="2E2FA760" w14:textId="77777777" w:rsidR="00CB7F24" w:rsidRPr="00CB7F24" w:rsidRDefault="00CB7F24" w:rsidP="00CB7F24">
      <w:pPr>
        <w:tabs>
          <w:tab w:val="clear" w:pos="794"/>
        </w:tabs>
        <w:ind w:left="851" w:hanging="851"/>
        <w:rPr>
          <w:lang w:val="zh-CN" w:eastAsia="zh-CN"/>
        </w:rPr>
      </w:pPr>
      <w:r>
        <w:rPr>
          <w:lang w:val="zh-CN" w:eastAsia="zh-CN"/>
        </w:rPr>
        <w:t>–</w:t>
      </w:r>
      <w:r>
        <w:rPr>
          <w:lang w:val="zh-CN" w:eastAsia="zh-CN"/>
        </w:rPr>
        <w:tab/>
      </w:r>
      <w:r>
        <w:rPr>
          <w:lang w:val="zh-CN" w:eastAsia="zh-CN"/>
        </w:rPr>
        <w:t>粮农组织</w:t>
      </w:r>
    </w:p>
    <w:p w14:paraId="7534C997" w14:textId="77777777" w:rsidR="00CB7F24" w:rsidRPr="00CB7F24" w:rsidRDefault="00CB7F24" w:rsidP="00CB7F24">
      <w:pPr>
        <w:tabs>
          <w:tab w:val="clear" w:pos="794"/>
        </w:tabs>
        <w:ind w:left="851" w:hanging="851"/>
        <w:rPr>
          <w:lang w:val="zh-CN" w:eastAsia="zh-CN"/>
        </w:rPr>
      </w:pPr>
      <w:r>
        <w:rPr>
          <w:lang w:val="zh-CN" w:eastAsia="zh-CN"/>
        </w:rPr>
        <w:t>–</w:t>
      </w:r>
      <w:r>
        <w:rPr>
          <w:lang w:val="zh-CN" w:eastAsia="zh-CN"/>
        </w:rPr>
        <w:tab/>
      </w:r>
      <w:r w:rsidRPr="00602C52">
        <w:rPr>
          <w:rFonts w:hint="eastAsia"/>
          <w:lang w:val="zh-CN" w:eastAsia="zh-CN"/>
        </w:rPr>
        <w:t>世界粮食计划署</w:t>
      </w:r>
    </w:p>
    <w:p w14:paraId="05269D25" w14:textId="77777777" w:rsidR="00CB7F24" w:rsidRPr="00CB7F24" w:rsidRDefault="00CB7F24" w:rsidP="00CB7F24">
      <w:pPr>
        <w:tabs>
          <w:tab w:val="clear" w:pos="794"/>
        </w:tabs>
        <w:ind w:left="851" w:hanging="851"/>
        <w:rPr>
          <w:lang w:val="zh-CN" w:eastAsia="zh-CN"/>
        </w:rPr>
      </w:pPr>
      <w:r w:rsidRPr="00CB7F24">
        <w:rPr>
          <w:lang w:val="zh-CN" w:eastAsia="zh-CN"/>
        </w:rPr>
        <w:t>–</w:t>
      </w:r>
      <w:r w:rsidRPr="00CB7F24">
        <w:rPr>
          <w:lang w:val="zh-CN" w:eastAsia="zh-CN"/>
        </w:rPr>
        <w:tab/>
      </w:r>
      <w:r>
        <w:rPr>
          <w:lang w:val="zh-CN" w:eastAsia="zh-CN"/>
        </w:rPr>
        <w:t>农发基金</w:t>
      </w:r>
    </w:p>
    <w:p w14:paraId="35674E83" w14:textId="77777777" w:rsidR="00CB7F24" w:rsidRPr="00685D51" w:rsidRDefault="00CB7F24" w:rsidP="00CB7F24">
      <w:pPr>
        <w:keepNext/>
        <w:rPr>
          <w:rFonts w:eastAsiaTheme="minorEastAsia" w:cstheme="minorHAnsi"/>
          <w:b/>
          <w:szCs w:val="22"/>
          <w:lang w:eastAsia="zh-CN"/>
        </w:rPr>
      </w:pPr>
      <w:r w:rsidRPr="008C71EA">
        <w:rPr>
          <w:b/>
          <w:bCs/>
          <w:lang w:eastAsia="zh-CN"/>
        </w:rPr>
        <w:t>WSIS</w:t>
      </w:r>
      <w:r>
        <w:rPr>
          <w:b/>
          <w:bCs/>
          <w:lang w:val="zh-CN" w:eastAsia="zh-CN"/>
        </w:rPr>
        <w:t>行动方面</w:t>
      </w:r>
      <w:r w:rsidRPr="008C71EA">
        <w:rPr>
          <w:b/>
          <w:bCs/>
          <w:lang w:eastAsia="zh-CN"/>
        </w:rPr>
        <w:t>：</w:t>
      </w:r>
    </w:p>
    <w:p w14:paraId="573BC8A9" w14:textId="48BB056B" w:rsidR="00CB7F24" w:rsidRPr="00CB7F24" w:rsidRDefault="00CB7F24" w:rsidP="00CB7F24">
      <w:pPr>
        <w:tabs>
          <w:tab w:val="clear" w:pos="794"/>
        </w:tabs>
        <w:ind w:left="851" w:hanging="851"/>
        <w:rPr>
          <w:lang w:val="zh-CN" w:eastAsia="zh-CN"/>
        </w:rPr>
      </w:pPr>
      <w:r w:rsidRPr="00CB7F24">
        <w:rPr>
          <w:lang w:val="zh-CN" w:eastAsia="zh-CN"/>
        </w:rPr>
        <w:t>–</w:t>
      </w:r>
      <w:r w:rsidRPr="00CB7F24">
        <w:rPr>
          <w:lang w:val="zh-CN" w:eastAsia="zh-CN"/>
        </w:rPr>
        <w:tab/>
        <w:t>C2</w:t>
      </w:r>
      <w:r>
        <w:rPr>
          <w:lang w:val="zh-CN" w:eastAsia="zh-CN"/>
        </w:rPr>
        <w:t>、</w:t>
      </w:r>
      <w:r w:rsidRPr="00CB7F24">
        <w:rPr>
          <w:lang w:val="zh-CN" w:eastAsia="zh-CN"/>
        </w:rPr>
        <w:t>C3</w:t>
      </w:r>
      <w:r>
        <w:rPr>
          <w:lang w:val="zh-CN" w:eastAsia="zh-CN"/>
        </w:rPr>
        <w:t>、</w:t>
      </w:r>
      <w:r w:rsidRPr="00CB7F24">
        <w:rPr>
          <w:lang w:val="zh-CN" w:eastAsia="zh-CN"/>
        </w:rPr>
        <w:t>C6</w:t>
      </w:r>
      <w:r>
        <w:rPr>
          <w:lang w:val="zh-CN" w:eastAsia="zh-CN"/>
        </w:rPr>
        <w:t>、</w:t>
      </w:r>
      <w:r w:rsidRPr="00CB7F24">
        <w:rPr>
          <w:lang w:val="zh-CN" w:eastAsia="zh-CN"/>
        </w:rPr>
        <w:t>C7</w:t>
      </w:r>
      <w:r>
        <w:rPr>
          <w:lang w:val="zh-CN" w:eastAsia="zh-CN"/>
        </w:rPr>
        <w:t>、</w:t>
      </w:r>
      <w:r w:rsidRPr="00CB7F24">
        <w:rPr>
          <w:lang w:val="zh-CN" w:eastAsia="zh-CN"/>
        </w:rPr>
        <w:t>C11</w:t>
      </w:r>
    </w:p>
    <w:p w14:paraId="2B8DE9C4" w14:textId="77777777" w:rsidR="00CB7F24" w:rsidRPr="00602C52" w:rsidRDefault="00CB7F24" w:rsidP="00CB7F24">
      <w:pPr>
        <w:keepNext/>
        <w:rPr>
          <w:rFonts w:eastAsiaTheme="minorEastAsia" w:cstheme="minorHAnsi"/>
          <w:b/>
          <w:bCs/>
          <w:szCs w:val="22"/>
          <w:lang w:eastAsia="zh-CN"/>
        </w:rPr>
      </w:pPr>
      <w:r w:rsidRPr="00602C52">
        <w:rPr>
          <w:b/>
          <w:bCs/>
          <w:lang w:val="zh-CN" w:eastAsia="zh-CN"/>
        </w:rPr>
        <w:t>可持续发展目标</w:t>
      </w:r>
      <w:r w:rsidRPr="00602C52">
        <w:rPr>
          <w:b/>
          <w:bCs/>
          <w:lang w:val="zh-CN" w:eastAsia="zh-CN"/>
        </w:rPr>
        <w:t>:</w:t>
      </w:r>
    </w:p>
    <w:p w14:paraId="7E4DCD08" w14:textId="77777777" w:rsidR="00CB7F24" w:rsidRPr="00CB7F24" w:rsidRDefault="00CB7F24" w:rsidP="00CB7F24">
      <w:pPr>
        <w:tabs>
          <w:tab w:val="clear" w:pos="794"/>
        </w:tabs>
        <w:ind w:left="851" w:hanging="851"/>
        <w:rPr>
          <w:lang w:val="zh-CN" w:eastAsia="zh-CN"/>
        </w:rPr>
      </w:pPr>
      <w:r>
        <w:rPr>
          <w:lang w:val="zh-CN" w:eastAsia="zh-CN"/>
        </w:rPr>
        <w:t>–</w:t>
      </w:r>
      <w:r>
        <w:rPr>
          <w:lang w:val="zh-CN" w:eastAsia="zh-CN"/>
        </w:rPr>
        <w:tab/>
        <w:t>2</w:t>
      </w:r>
      <w:r>
        <w:rPr>
          <w:rFonts w:hint="eastAsia"/>
          <w:lang w:val="zh-CN" w:eastAsia="zh-CN"/>
        </w:rPr>
        <w:t>、</w:t>
      </w:r>
      <w:r>
        <w:rPr>
          <w:lang w:val="zh-CN" w:eastAsia="zh-CN"/>
        </w:rPr>
        <w:t>9</w:t>
      </w:r>
      <w:r>
        <w:rPr>
          <w:rFonts w:hint="eastAsia"/>
          <w:lang w:val="zh-CN" w:eastAsia="zh-CN"/>
        </w:rPr>
        <w:t>、</w:t>
      </w:r>
      <w:r>
        <w:rPr>
          <w:lang w:val="zh-CN" w:eastAsia="zh-CN"/>
        </w:rPr>
        <w:t>11</w:t>
      </w:r>
      <w:r>
        <w:rPr>
          <w:rFonts w:hint="eastAsia"/>
          <w:lang w:val="zh-CN" w:eastAsia="zh-CN"/>
        </w:rPr>
        <w:t>、</w:t>
      </w:r>
      <w:r>
        <w:rPr>
          <w:lang w:val="zh-CN" w:eastAsia="zh-CN"/>
        </w:rPr>
        <w:t>13</w:t>
      </w:r>
      <w:r>
        <w:rPr>
          <w:rFonts w:hint="eastAsia"/>
          <w:lang w:val="zh-CN" w:eastAsia="zh-CN"/>
        </w:rPr>
        <w:t>、</w:t>
      </w:r>
      <w:r>
        <w:rPr>
          <w:lang w:val="zh-CN" w:eastAsia="zh-CN"/>
        </w:rPr>
        <w:t>14</w:t>
      </w:r>
      <w:r>
        <w:rPr>
          <w:rFonts w:hint="eastAsia"/>
          <w:lang w:val="zh-CN" w:eastAsia="zh-CN"/>
        </w:rPr>
        <w:t>、</w:t>
      </w:r>
      <w:r>
        <w:rPr>
          <w:lang w:val="zh-CN" w:eastAsia="zh-CN"/>
        </w:rPr>
        <w:t>15</w:t>
      </w:r>
    </w:p>
    <w:p w14:paraId="09BF9B07" w14:textId="77777777" w:rsidR="00CB7F24" w:rsidRDefault="00CB7F24" w:rsidP="00CB7F24">
      <w:pPr>
        <w:jc w:val="center"/>
        <w:rPr>
          <w:lang w:eastAsia="zh-CN"/>
        </w:rPr>
      </w:pPr>
      <w:r w:rsidRPr="00AA23C1">
        <w:rPr>
          <w:lang w:eastAsia="zh-CN"/>
        </w:rPr>
        <w:t>_______________</w:t>
      </w:r>
    </w:p>
    <w:sectPr w:rsidR="00CB7F24" w:rsidSect="00922C8C">
      <w:headerReference w:type="default" r:id="rId16"/>
      <w:footerReference w:type="default" r:id="rId17"/>
      <w:footerReference w:type="first" r:id="rId18"/>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C2BC" w14:textId="77777777" w:rsidR="004B23C3" w:rsidRDefault="004B23C3">
      <w:r>
        <w:separator/>
      </w:r>
    </w:p>
  </w:endnote>
  <w:endnote w:type="continuationSeparator" w:id="0">
    <w:p w14:paraId="0508258B" w14:textId="77777777" w:rsidR="004B23C3" w:rsidRDefault="004B23C3">
      <w:r>
        <w:continuationSeparator/>
      </w:r>
    </w:p>
  </w:endnote>
  <w:endnote w:type="continuationNotice" w:id="1">
    <w:p w14:paraId="02EC50F3" w14:textId="77777777" w:rsidR="004B23C3" w:rsidRDefault="004B23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074F2" w14:textId="77777777" w:rsidR="004B23C3" w:rsidRDefault="004B23C3">
      <w:r>
        <w:t>____________________</w:t>
      </w:r>
    </w:p>
  </w:footnote>
  <w:footnote w:type="continuationSeparator" w:id="0">
    <w:p w14:paraId="0EC797E3" w14:textId="77777777" w:rsidR="004B23C3" w:rsidRDefault="004B23C3">
      <w:r>
        <w:continuationSeparator/>
      </w:r>
    </w:p>
  </w:footnote>
  <w:footnote w:type="continuationNotice" w:id="1">
    <w:p w14:paraId="096CCEC0" w14:textId="77777777" w:rsidR="004B23C3" w:rsidRDefault="004B23C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9B0C6E"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4ECE4AAD" w:rsidR="00C740E1" w:rsidRDefault="00BD2921" w:rsidP="00BD2921">
    <w:pPr>
      <w:pStyle w:val="Header"/>
      <w:spacing w:after="120"/>
      <w:rPr>
        <w:rFonts w:eastAsiaTheme="minorEastAsia" w:cstheme="minorHAnsi"/>
        <w:szCs w:val="18"/>
        <w:lang w:val="fr-CH" w:eastAsia="zh-CN"/>
      </w:rPr>
    </w:pPr>
    <w:r w:rsidRPr="00BD2921">
      <w:rPr>
        <w:rFonts w:eastAsiaTheme="minorEastAsia" w:cstheme="minorHAnsi"/>
        <w:szCs w:val="18"/>
        <w:lang w:val="zh-CN" w:eastAsia="zh-CN"/>
      </w:rPr>
      <w:t>电信标准化局第</w:t>
    </w:r>
    <w:r w:rsidR="00341C75">
      <w:rPr>
        <w:rFonts w:eastAsiaTheme="minorEastAsia" w:cstheme="minorHAnsi"/>
        <w:szCs w:val="18"/>
        <w:lang w:val="en-US" w:eastAsia="zh-CN"/>
      </w:rPr>
      <w:t>117</w:t>
    </w:r>
    <w:r w:rsidRPr="00BD2921">
      <w:rPr>
        <w:rFonts w:eastAsiaTheme="minorEastAsia" w:cstheme="minorHAnsi"/>
        <w:szCs w:val="18"/>
        <w:lang w:val="zh-CN" w:eastAsia="zh-CN"/>
      </w:rPr>
      <w:t>号通函</w:t>
    </w:r>
  </w:p>
  <w:p w14:paraId="2E3342F9" w14:textId="77777777" w:rsidR="008B7DA7" w:rsidRPr="008B7DA7" w:rsidRDefault="008B7DA7" w:rsidP="00BD2921">
    <w:pPr>
      <w:pStyle w:val="Header"/>
      <w:spacing w:after="120"/>
      <w:rPr>
        <w:noProof/>
        <w:szCs w:val="16"/>
        <w:lang w:val="fr-CH"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15A9"/>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1C75"/>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0E1"/>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23C3"/>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9BA"/>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5A7D"/>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B7DA7"/>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B7F24"/>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sg20@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ITU-T/workprog/wp_search.aspx?sp=18&amp;q=11/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workprog/wp_search.aspx?sp=18&amp;q=11/2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2898</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Maguire, Mairéad</cp:lastModifiedBy>
  <cp:revision>2</cp:revision>
  <cp:lastPrinted>2024-11-04T10:38:00Z</cp:lastPrinted>
  <dcterms:created xsi:type="dcterms:W3CDTF">2026-04-08T14:12:00Z</dcterms:created>
  <dcterms:modified xsi:type="dcterms:W3CDTF">2026-04-08T14:12:00Z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