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11960A8B" w14:textId="77777777" w:rsidTr="00D517B2">
        <w:trPr>
          <w:cantSplit/>
          <w:trHeight w:val="1134"/>
        </w:trPr>
        <w:tc>
          <w:tcPr>
            <w:tcW w:w="798" w:type="pct"/>
          </w:tcPr>
          <w:p w14:paraId="549DAF94" w14:textId="77777777" w:rsidR="00D517B2" w:rsidRPr="00D517B2" w:rsidRDefault="00D517B2" w:rsidP="00D517B2">
            <w:pPr>
              <w:spacing w:before="0" w:line="240" w:lineRule="auto"/>
              <w:rPr>
                <w:b/>
                <w:bCs/>
                <w:rtl/>
                <w:lang w:bidi="ar-EG"/>
              </w:rPr>
            </w:pPr>
            <w:r w:rsidRPr="00D517B2">
              <w:rPr>
                <w:noProof/>
                <w:lang w:eastAsia="en-US"/>
              </w:rPr>
              <w:drawing>
                <wp:inline distT="0" distB="0" distL="0" distR="0" wp14:anchorId="6451998E" wp14:editId="297CBD78">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4065B55B"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18EB2FD0"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2"/>
        <w:gridCol w:w="3682"/>
        <w:gridCol w:w="4395"/>
      </w:tblGrid>
      <w:tr w:rsidR="00D517B2" w:rsidRPr="00D517B2" w14:paraId="7DD40898" w14:textId="77777777" w:rsidTr="0085677E">
        <w:trPr>
          <w:cantSplit/>
          <w:jc w:val="center"/>
        </w:trPr>
        <w:tc>
          <w:tcPr>
            <w:tcW w:w="810" w:type="pct"/>
          </w:tcPr>
          <w:p w14:paraId="441F3104" w14:textId="77777777" w:rsidR="00D517B2" w:rsidRPr="00D517B2" w:rsidRDefault="00D517B2" w:rsidP="00BB0F08">
            <w:pPr>
              <w:spacing w:line="300" w:lineRule="exact"/>
              <w:jc w:val="left"/>
              <w:rPr>
                <w:position w:val="2"/>
              </w:rPr>
            </w:pPr>
          </w:p>
        </w:tc>
        <w:tc>
          <w:tcPr>
            <w:tcW w:w="1910" w:type="pct"/>
          </w:tcPr>
          <w:p w14:paraId="7BA83AF8" w14:textId="77777777" w:rsidR="00D517B2" w:rsidRPr="00D517B2" w:rsidRDefault="00D517B2" w:rsidP="00BB0F08">
            <w:pPr>
              <w:spacing w:line="300" w:lineRule="exact"/>
              <w:jc w:val="left"/>
              <w:rPr>
                <w:position w:val="2"/>
              </w:rPr>
            </w:pPr>
          </w:p>
        </w:tc>
        <w:tc>
          <w:tcPr>
            <w:tcW w:w="2280" w:type="pct"/>
          </w:tcPr>
          <w:p w14:paraId="7FEB3819" w14:textId="77777777" w:rsidR="00D517B2" w:rsidRPr="00873469" w:rsidRDefault="00D517B2" w:rsidP="00BB0F08">
            <w:pPr>
              <w:spacing w:line="300" w:lineRule="exact"/>
              <w:jc w:val="left"/>
              <w:rPr>
                <w:position w:val="2"/>
                <w:lang w:bidi="ar-EG"/>
              </w:rPr>
            </w:pPr>
          </w:p>
        </w:tc>
      </w:tr>
      <w:tr w:rsidR="00D517B2" w:rsidRPr="00D517B2" w14:paraId="73E78610" w14:textId="77777777" w:rsidTr="0085677E">
        <w:trPr>
          <w:cantSplit/>
          <w:jc w:val="center"/>
        </w:trPr>
        <w:tc>
          <w:tcPr>
            <w:tcW w:w="810" w:type="pct"/>
          </w:tcPr>
          <w:p w14:paraId="4A5AB69D" w14:textId="77777777" w:rsidR="00D517B2" w:rsidRPr="00D517B2" w:rsidRDefault="00D517B2" w:rsidP="006019C6">
            <w:pPr>
              <w:spacing w:before="80" w:line="300" w:lineRule="exact"/>
              <w:jc w:val="left"/>
              <w:rPr>
                <w:position w:val="2"/>
              </w:rPr>
            </w:pPr>
          </w:p>
        </w:tc>
        <w:tc>
          <w:tcPr>
            <w:tcW w:w="1910" w:type="pct"/>
          </w:tcPr>
          <w:p w14:paraId="151C8792" w14:textId="77777777" w:rsidR="00D517B2" w:rsidRPr="00D517B2" w:rsidRDefault="00D517B2" w:rsidP="006019C6">
            <w:pPr>
              <w:spacing w:before="80" w:line="300" w:lineRule="exact"/>
              <w:jc w:val="left"/>
              <w:rPr>
                <w:position w:val="2"/>
                <w:lang w:bidi="ar-EG"/>
              </w:rPr>
            </w:pPr>
          </w:p>
        </w:tc>
        <w:tc>
          <w:tcPr>
            <w:tcW w:w="2280" w:type="pct"/>
          </w:tcPr>
          <w:p w14:paraId="02899A0D" w14:textId="77777777" w:rsidR="00D517B2" w:rsidRPr="00D517B2" w:rsidRDefault="00873469" w:rsidP="00D849B9">
            <w:pPr>
              <w:spacing w:before="80" w:line="300" w:lineRule="exact"/>
              <w:jc w:val="left"/>
              <w:rPr>
                <w:position w:val="2"/>
                <w:rtl/>
                <w:lang w:bidi="ar-EG"/>
              </w:rPr>
            </w:pPr>
            <w:r w:rsidRPr="00D517B2">
              <w:rPr>
                <w:rFonts w:hint="cs"/>
                <w:position w:val="2"/>
                <w:rtl/>
              </w:rPr>
              <w:t xml:space="preserve">جنيف، </w:t>
            </w:r>
            <w:r w:rsidR="00D849B9">
              <w:rPr>
                <w:position w:val="2"/>
              </w:rPr>
              <w:t>16</w:t>
            </w:r>
            <w:r w:rsidR="00D849B9">
              <w:rPr>
                <w:rFonts w:hint="cs"/>
                <w:position w:val="2"/>
                <w:rtl/>
                <w:lang w:bidi="ar-EG"/>
              </w:rPr>
              <w:t xml:space="preserve"> فبراير</w:t>
            </w:r>
            <w:r w:rsidR="007139D8">
              <w:rPr>
                <w:rFonts w:hint="cs"/>
                <w:position w:val="2"/>
                <w:rtl/>
              </w:rPr>
              <w:t xml:space="preserve"> </w:t>
            </w:r>
            <w:r w:rsidR="00D849B9">
              <w:rPr>
                <w:position w:val="2"/>
              </w:rPr>
              <w:t>2026</w:t>
            </w:r>
          </w:p>
        </w:tc>
      </w:tr>
      <w:tr w:rsidR="00372F67" w:rsidRPr="00D517B2" w14:paraId="05E1F88E" w14:textId="77777777" w:rsidTr="0085677E">
        <w:trPr>
          <w:cantSplit/>
          <w:jc w:val="center"/>
        </w:trPr>
        <w:tc>
          <w:tcPr>
            <w:tcW w:w="810" w:type="pct"/>
          </w:tcPr>
          <w:p w14:paraId="140F0D80" w14:textId="77777777" w:rsidR="00372F67" w:rsidRPr="00A9156F" w:rsidRDefault="00372F67" w:rsidP="00D517B2">
            <w:pPr>
              <w:spacing w:before="80" w:after="60" w:line="300" w:lineRule="exact"/>
              <w:jc w:val="left"/>
              <w:rPr>
                <w:b/>
                <w:bCs/>
                <w:position w:val="2"/>
              </w:rPr>
            </w:pPr>
            <w:r w:rsidRPr="00A9156F">
              <w:rPr>
                <w:rFonts w:hint="cs"/>
                <w:b/>
                <w:bCs/>
                <w:position w:val="2"/>
                <w:rtl/>
              </w:rPr>
              <w:t>المرجع:</w:t>
            </w:r>
          </w:p>
        </w:tc>
        <w:tc>
          <w:tcPr>
            <w:tcW w:w="1910" w:type="pct"/>
          </w:tcPr>
          <w:p w14:paraId="2085B175" w14:textId="77777777" w:rsidR="00372F67" w:rsidRPr="00D517B2" w:rsidRDefault="00372F67" w:rsidP="00D849B9">
            <w:pPr>
              <w:spacing w:before="80" w:after="60" w:line="300" w:lineRule="exact"/>
              <w:jc w:val="left"/>
              <w:rPr>
                <w:b/>
                <w:position w:val="2"/>
              </w:rPr>
            </w:pPr>
            <w:r w:rsidRPr="00D517B2">
              <w:rPr>
                <w:b/>
                <w:position w:val="2"/>
              </w:rPr>
              <w:t>TSB </w:t>
            </w:r>
            <w:r>
              <w:rPr>
                <w:b/>
                <w:position w:val="2"/>
              </w:rPr>
              <w:t>Circular</w:t>
            </w:r>
            <w:r w:rsidRPr="00D517B2">
              <w:rPr>
                <w:b/>
                <w:position w:val="2"/>
              </w:rPr>
              <w:t xml:space="preserve"> </w:t>
            </w:r>
            <w:r w:rsidR="00D849B9">
              <w:rPr>
                <w:b/>
                <w:position w:val="2"/>
              </w:rPr>
              <w:t>117</w:t>
            </w:r>
            <w:r>
              <w:rPr>
                <w:b/>
                <w:position w:val="2"/>
              </w:rPr>
              <w:br/>
            </w:r>
            <w:r w:rsidR="00D849B9">
              <w:rPr>
                <w:szCs w:val="18"/>
                <w:lang w:val="es-ES"/>
              </w:rPr>
              <w:t>SG20</w:t>
            </w:r>
            <w:r w:rsidR="00D849B9" w:rsidRPr="009C52C1">
              <w:rPr>
                <w:szCs w:val="18"/>
                <w:lang w:val="es-ES"/>
              </w:rPr>
              <w:t>/</w:t>
            </w:r>
            <w:r w:rsidR="00D849B9">
              <w:rPr>
                <w:szCs w:val="18"/>
                <w:lang w:val="es-ES"/>
              </w:rPr>
              <w:t>CB</w:t>
            </w:r>
          </w:p>
        </w:tc>
        <w:tc>
          <w:tcPr>
            <w:tcW w:w="2280" w:type="pct"/>
            <w:vMerge w:val="restart"/>
          </w:tcPr>
          <w:p w14:paraId="43F593B2" w14:textId="77777777" w:rsidR="00372F67" w:rsidRPr="00942AFA" w:rsidRDefault="00372F67" w:rsidP="001F4353">
            <w:pPr>
              <w:tabs>
                <w:tab w:val="clear" w:pos="794"/>
                <w:tab w:val="left" w:pos="284"/>
              </w:tabs>
              <w:spacing w:before="80" w:after="60" w:line="300" w:lineRule="exact"/>
              <w:jc w:val="left"/>
              <w:rPr>
                <w:b/>
                <w:bCs/>
                <w:position w:val="2"/>
                <w:rtl/>
                <w:lang w:bidi="ar-EG"/>
              </w:rPr>
            </w:pPr>
            <w:r w:rsidRPr="00942AFA">
              <w:rPr>
                <w:rFonts w:hint="cs"/>
                <w:b/>
                <w:bCs/>
                <w:position w:val="2"/>
                <w:rtl/>
              </w:rPr>
              <w:t>إلى:</w:t>
            </w:r>
          </w:p>
          <w:p w14:paraId="3F2FE45D" w14:textId="77777777" w:rsidR="00372F67" w:rsidRPr="00942AFA" w:rsidRDefault="00372F67" w:rsidP="001F4353">
            <w:pPr>
              <w:tabs>
                <w:tab w:val="clear" w:pos="794"/>
                <w:tab w:val="left" w:pos="284"/>
              </w:tabs>
              <w:spacing w:before="80" w:after="60" w:line="300" w:lineRule="exact"/>
              <w:ind w:left="284" w:hanging="284"/>
              <w:jc w:val="left"/>
              <w:rPr>
                <w:position w:val="2"/>
                <w:rtl/>
              </w:rPr>
            </w:pPr>
            <w:r w:rsidRPr="00942AFA">
              <w:rPr>
                <w:rFonts w:hint="cs"/>
                <w:position w:val="2"/>
                <w:rtl/>
              </w:rPr>
              <w:t>-</w:t>
            </w:r>
            <w:r w:rsidRPr="00942AFA">
              <w:rPr>
                <w:position w:val="2"/>
                <w:rtl/>
              </w:rPr>
              <w:tab/>
            </w:r>
            <w:r w:rsidRPr="00942AFA">
              <w:rPr>
                <w:rFonts w:hint="cs"/>
                <w:position w:val="2"/>
                <w:rtl/>
              </w:rPr>
              <w:t>إدارات الدول الأعضاء في الاتحاد؛</w:t>
            </w:r>
          </w:p>
          <w:p w14:paraId="2B588F51" w14:textId="77777777" w:rsidR="009E059C" w:rsidRPr="00942AFA" w:rsidRDefault="00372F67" w:rsidP="001F4353">
            <w:pPr>
              <w:tabs>
                <w:tab w:val="left" w:pos="284"/>
                <w:tab w:val="left" w:pos="4111"/>
              </w:tabs>
              <w:spacing w:before="80" w:after="60" w:line="300" w:lineRule="exact"/>
              <w:ind w:left="284" w:hanging="284"/>
              <w:rPr>
                <w:position w:val="2"/>
              </w:rPr>
            </w:pPr>
            <w:r w:rsidRPr="00942AFA">
              <w:rPr>
                <w:rFonts w:hint="cs"/>
                <w:position w:val="2"/>
                <w:rtl/>
              </w:rPr>
              <w:t>-</w:t>
            </w:r>
            <w:r w:rsidRPr="00942AFA">
              <w:rPr>
                <w:position w:val="2"/>
                <w:rtl/>
              </w:rPr>
              <w:tab/>
            </w:r>
            <w:r w:rsidR="009E059C" w:rsidRPr="00942AFA">
              <w:rPr>
                <w:color w:val="000000"/>
                <w:rtl/>
              </w:rPr>
              <w:t xml:space="preserve">دولة فلسطين </w:t>
            </w:r>
            <w:r w:rsidR="00942AFA">
              <w:rPr>
                <w:rFonts w:hint="cs"/>
                <w:color w:val="000000"/>
                <w:rtl/>
              </w:rPr>
              <w:t>(</w:t>
            </w:r>
            <w:r w:rsidR="009E059C" w:rsidRPr="00942AFA">
              <w:rPr>
                <w:color w:val="000000"/>
                <w:rtl/>
              </w:rPr>
              <w:t>القرار 99 (المراجَع في دبي، 2018))</w:t>
            </w:r>
          </w:p>
          <w:p w14:paraId="7F7ECD7F" w14:textId="77777777" w:rsidR="00372F67" w:rsidRPr="00942AFA" w:rsidRDefault="00372F67" w:rsidP="001F4353">
            <w:pPr>
              <w:tabs>
                <w:tab w:val="clear" w:pos="794"/>
                <w:tab w:val="left" w:pos="284"/>
              </w:tabs>
              <w:spacing w:before="80" w:after="60" w:line="300" w:lineRule="exact"/>
              <w:ind w:left="284" w:hanging="284"/>
              <w:jc w:val="left"/>
              <w:rPr>
                <w:b/>
                <w:bCs/>
                <w:position w:val="2"/>
                <w:rtl/>
              </w:rPr>
            </w:pPr>
            <w:r w:rsidRPr="00942AFA">
              <w:rPr>
                <w:rFonts w:hint="cs"/>
                <w:b/>
                <w:bCs/>
                <w:position w:val="2"/>
                <w:rtl/>
              </w:rPr>
              <w:t>نسخة إلى:</w:t>
            </w:r>
          </w:p>
          <w:p w14:paraId="3E9E6E62" w14:textId="77777777" w:rsidR="00016100" w:rsidRPr="00942AFA" w:rsidRDefault="00016100" w:rsidP="00016100">
            <w:pPr>
              <w:tabs>
                <w:tab w:val="left" w:pos="284"/>
                <w:tab w:val="left" w:pos="4111"/>
              </w:tabs>
              <w:spacing w:before="80" w:after="60" w:line="300" w:lineRule="exact"/>
              <w:ind w:left="284" w:hanging="284"/>
              <w:rPr>
                <w:position w:val="2"/>
                <w:rtl/>
                <w:lang w:bidi="ar-EG"/>
              </w:rPr>
            </w:pPr>
            <w:r w:rsidRPr="00942AFA">
              <w:rPr>
                <w:rFonts w:hint="cs"/>
                <w:position w:val="2"/>
                <w:rtl/>
              </w:rPr>
              <w:t>-</w:t>
            </w:r>
            <w:r w:rsidRPr="00942AFA">
              <w:rPr>
                <w:position w:val="2"/>
                <w:rtl/>
              </w:rPr>
              <w:tab/>
            </w:r>
            <w:r w:rsidRPr="00942AFA">
              <w:rPr>
                <w:rFonts w:hint="cs"/>
                <w:position w:val="2"/>
                <w:rtl/>
                <w:lang w:bidi="ar-EG"/>
              </w:rPr>
              <w:t>أعضاء قطاع تقييس الاتصالات بالاتحاد؛</w:t>
            </w:r>
          </w:p>
          <w:p w14:paraId="5EFD7925" w14:textId="77777777" w:rsidR="00016100" w:rsidRPr="00942AFA" w:rsidRDefault="00016100" w:rsidP="001B07D5">
            <w:pPr>
              <w:tabs>
                <w:tab w:val="left" w:pos="284"/>
                <w:tab w:val="left" w:pos="4111"/>
              </w:tabs>
              <w:spacing w:before="80" w:after="60" w:line="300" w:lineRule="exact"/>
              <w:ind w:left="284" w:hanging="284"/>
              <w:jc w:val="left"/>
              <w:rPr>
                <w:position w:val="2"/>
                <w:rtl/>
                <w:lang w:bidi="ar-EG"/>
              </w:rPr>
            </w:pPr>
            <w:r w:rsidRPr="00942AFA">
              <w:rPr>
                <w:rFonts w:hint="cs"/>
                <w:position w:val="2"/>
                <w:rtl/>
              </w:rPr>
              <w:t>-</w:t>
            </w:r>
            <w:r w:rsidRPr="00942AFA">
              <w:rPr>
                <w:position w:val="2"/>
                <w:rtl/>
              </w:rPr>
              <w:tab/>
            </w:r>
            <w:r w:rsidRPr="00942AFA">
              <w:rPr>
                <w:rFonts w:hint="cs"/>
                <w:position w:val="2"/>
                <w:rtl/>
              </w:rPr>
              <w:t xml:space="preserve">المنتسبين إلى قطاع تقييس الاتصالات </w:t>
            </w:r>
            <w:r w:rsidRPr="00942AFA">
              <w:rPr>
                <w:color w:val="000000"/>
                <w:rtl/>
              </w:rPr>
              <w:t>المشاركين في</w:t>
            </w:r>
            <w:r w:rsidR="001B07D5">
              <w:rPr>
                <w:rFonts w:hint="cs"/>
                <w:color w:val="000000"/>
                <w:rtl/>
              </w:rPr>
              <w:t> </w:t>
            </w:r>
            <w:r w:rsidRPr="00942AFA">
              <w:rPr>
                <w:color w:val="000000"/>
                <w:rtl/>
              </w:rPr>
              <w:t>أعمال لجنة الدراسات 20</w:t>
            </w:r>
            <w:r w:rsidRPr="00942AFA">
              <w:rPr>
                <w:rFonts w:hint="cs"/>
                <w:position w:val="2"/>
                <w:rtl/>
              </w:rPr>
              <w:t>؛</w:t>
            </w:r>
          </w:p>
          <w:p w14:paraId="3D1D6E96" w14:textId="77777777" w:rsidR="00016100" w:rsidRPr="00942AFA" w:rsidRDefault="00016100" w:rsidP="00016100">
            <w:pPr>
              <w:tabs>
                <w:tab w:val="clear" w:pos="794"/>
                <w:tab w:val="left" w:pos="284"/>
              </w:tabs>
              <w:spacing w:before="80" w:after="60" w:line="300" w:lineRule="exact"/>
              <w:ind w:left="284" w:hanging="284"/>
              <w:jc w:val="left"/>
              <w:rPr>
                <w:position w:val="2"/>
                <w:rtl/>
              </w:rPr>
            </w:pPr>
            <w:r w:rsidRPr="00942AFA">
              <w:rPr>
                <w:rFonts w:hint="cs"/>
                <w:position w:val="2"/>
                <w:rtl/>
              </w:rPr>
              <w:t>-</w:t>
            </w:r>
            <w:r w:rsidRPr="00942AFA">
              <w:rPr>
                <w:position w:val="2"/>
                <w:rtl/>
              </w:rPr>
              <w:tab/>
            </w:r>
            <w:r w:rsidRPr="00942AFA">
              <w:rPr>
                <w:rFonts w:hint="cs"/>
                <w:position w:val="2"/>
                <w:rtl/>
              </w:rPr>
              <w:t>الهيئات الأكاديمية المنضمة إلى</w:t>
            </w:r>
            <w:r w:rsidRPr="00942AFA">
              <w:rPr>
                <w:rFonts w:hint="cs"/>
                <w:position w:val="2"/>
                <w:rtl/>
                <w:lang w:bidi="ar-EG"/>
              </w:rPr>
              <w:t xml:space="preserve"> الاتحاد</w:t>
            </w:r>
            <w:r w:rsidR="00942AFA" w:rsidRPr="00942AFA">
              <w:rPr>
                <w:rFonts w:hint="cs"/>
                <w:position w:val="2"/>
                <w:rtl/>
              </w:rPr>
              <w:t>؛</w:t>
            </w:r>
          </w:p>
          <w:p w14:paraId="2D284AC8" w14:textId="77777777" w:rsidR="00372F67" w:rsidRPr="0085677E" w:rsidRDefault="00372F67" w:rsidP="001F4353">
            <w:pPr>
              <w:tabs>
                <w:tab w:val="left" w:pos="284"/>
                <w:tab w:val="left" w:pos="4111"/>
              </w:tabs>
              <w:spacing w:before="80" w:after="60" w:line="300" w:lineRule="exact"/>
              <w:ind w:left="284" w:hanging="284"/>
              <w:rPr>
                <w:rFonts w:eastAsia="Times New Roman"/>
                <w:spacing w:val="-6"/>
                <w:position w:val="2"/>
                <w:rtl/>
                <w:lang w:eastAsia="en-US"/>
              </w:rPr>
            </w:pPr>
            <w:r w:rsidRPr="0085677E">
              <w:rPr>
                <w:rFonts w:hint="cs"/>
                <w:spacing w:val="-6"/>
                <w:position w:val="2"/>
                <w:rtl/>
              </w:rPr>
              <w:t>-</w:t>
            </w:r>
            <w:r w:rsidRPr="0085677E">
              <w:rPr>
                <w:spacing w:val="-6"/>
                <w:position w:val="2"/>
                <w:rtl/>
              </w:rPr>
              <w:tab/>
            </w:r>
            <w:r w:rsidR="00016100" w:rsidRPr="0085677E">
              <w:rPr>
                <w:color w:val="000000"/>
                <w:spacing w:val="-6"/>
                <w:rtl/>
              </w:rPr>
              <w:t>رئيس لجنة الدراسات 20 لقطاع تقييس الاتصالات ونوابه</w:t>
            </w:r>
            <w:r w:rsidRPr="0085677E">
              <w:rPr>
                <w:rFonts w:eastAsia="Times New Roman" w:hint="cs"/>
                <w:spacing w:val="-6"/>
                <w:position w:val="2"/>
                <w:rtl/>
                <w:lang w:eastAsia="en-US"/>
              </w:rPr>
              <w:t>؛</w:t>
            </w:r>
          </w:p>
          <w:p w14:paraId="7DC9AFC5" w14:textId="77777777" w:rsidR="00372F67" w:rsidRPr="00942AFA" w:rsidRDefault="00372F67" w:rsidP="001F4353">
            <w:pPr>
              <w:tabs>
                <w:tab w:val="left" w:pos="284"/>
                <w:tab w:val="left" w:pos="4111"/>
              </w:tabs>
              <w:spacing w:before="80" w:after="60" w:line="300" w:lineRule="exact"/>
              <w:ind w:left="284" w:hanging="284"/>
              <w:rPr>
                <w:rFonts w:eastAsia="Times New Roman"/>
                <w:position w:val="2"/>
                <w:rtl/>
                <w:lang w:eastAsia="en-US"/>
              </w:rPr>
            </w:pPr>
            <w:r w:rsidRPr="00942AFA">
              <w:rPr>
                <w:rFonts w:eastAsia="Times New Roman" w:hint="cs"/>
                <w:position w:val="2"/>
                <w:rtl/>
                <w:lang w:eastAsia="en-US"/>
              </w:rPr>
              <w:t>-</w:t>
            </w:r>
            <w:r w:rsidRPr="00942AFA">
              <w:rPr>
                <w:rFonts w:eastAsia="Times New Roman"/>
                <w:position w:val="2"/>
                <w:rtl/>
                <w:lang w:eastAsia="en-US"/>
              </w:rPr>
              <w:tab/>
              <w:t>مدير مكتب تنمية الاتصالات</w:t>
            </w:r>
            <w:r w:rsidRPr="00942AFA">
              <w:rPr>
                <w:rFonts w:eastAsia="Times New Roman" w:hint="cs"/>
                <w:position w:val="2"/>
                <w:rtl/>
                <w:lang w:eastAsia="en-US"/>
              </w:rPr>
              <w:t>؛</w:t>
            </w:r>
          </w:p>
          <w:p w14:paraId="3D6925F5" w14:textId="77777777" w:rsidR="00372F67" w:rsidRPr="00D517B2" w:rsidRDefault="00372F67" w:rsidP="00E02440">
            <w:pPr>
              <w:tabs>
                <w:tab w:val="left" w:pos="284"/>
                <w:tab w:val="left" w:pos="4111"/>
              </w:tabs>
              <w:spacing w:before="80" w:after="60" w:line="300" w:lineRule="exact"/>
              <w:ind w:left="284" w:hanging="284"/>
              <w:rPr>
                <w:position w:val="2"/>
                <w:rtl/>
              </w:rPr>
            </w:pPr>
            <w:r w:rsidRPr="00942AFA">
              <w:rPr>
                <w:rFonts w:eastAsia="Times New Roman" w:hint="cs"/>
                <w:position w:val="2"/>
                <w:rtl/>
                <w:lang w:eastAsia="en-US"/>
              </w:rPr>
              <w:t>-</w:t>
            </w:r>
            <w:r w:rsidRPr="00942AFA">
              <w:rPr>
                <w:rFonts w:eastAsia="Times New Roman"/>
                <w:position w:val="2"/>
                <w:rtl/>
                <w:lang w:eastAsia="en-US"/>
              </w:rPr>
              <w:tab/>
              <w:t>مدير مكتب الاتصالات الراديوية</w:t>
            </w:r>
          </w:p>
        </w:tc>
      </w:tr>
      <w:tr w:rsidR="00372F67" w:rsidRPr="00D517B2" w14:paraId="0DAD664A" w14:textId="77777777" w:rsidTr="0085677E">
        <w:trPr>
          <w:cantSplit/>
          <w:jc w:val="center"/>
        </w:trPr>
        <w:tc>
          <w:tcPr>
            <w:tcW w:w="810" w:type="pct"/>
          </w:tcPr>
          <w:p w14:paraId="49091D2D" w14:textId="77777777" w:rsidR="00372F67" w:rsidRDefault="00372F67" w:rsidP="001E2788">
            <w:pPr>
              <w:spacing w:before="80" w:after="60" w:line="300" w:lineRule="exact"/>
              <w:jc w:val="left"/>
              <w:rPr>
                <w:b/>
                <w:bCs/>
                <w:position w:val="2"/>
                <w:rtl/>
                <w:lang w:bidi="ar-EG"/>
              </w:rPr>
            </w:pPr>
            <w:r w:rsidRPr="00A9156F">
              <w:rPr>
                <w:rFonts w:hint="cs"/>
                <w:b/>
                <w:bCs/>
                <w:position w:val="2"/>
                <w:rtl/>
                <w:lang w:bidi="ar-EG"/>
              </w:rPr>
              <w:t>ال</w:t>
            </w:r>
            <w:r w:rsidRPr="00A9156F">
              <w:rPr>
                <w:rFonts w:hint="cs"/>
                <w:b/>
                <w:bCs/>
                <w:position w:val="2"/>
                <w:rtl/>
                <w:lang w:bidi="ar-SY"/>
              </w:rPr>
              <w:t>هاتف</w:t>
            </w:r>
            <w:r w:rsidRPr="00A9156F">
              <w:rPr>
                <w:rFonts w:hint="cs"/>
                <w:b/>
                <w:bCs/>
                <w:position w:val="2"/>
                <w:rtl/>
              </w:rPr>
              <w:t>:</w:t>
            </w:r>
          </w:p>
        </w:tc>
        <w:tc>
          <w:tcPr>
            <w:tcW w:w="1910" w:type="pct"/>
          </w:tcPr>
          <w:p w14:paraId="7DB12D06" w14:textId="77777777" w:rsidR="00372F67" w:rsidRDefault="0017359B" w:rsidP="001E2788">
            <w:pPr>
              <w:spacing w:before="80" w:after="60" w:line="300" w:lineRule="exact"/>
              <w:jc w:val="left"/>
              <w:rPr>
                <w:b/>
                <w:bCs/>
                <w:position w:val="2"/>
                <w:rtl/>
                <w:lang w:bidi="ar-EG"/>
              </w:rPr>
            </w:pPr>
            <w:r w:rsidRPr="009C52C1">
              <w:t>+41 22 730 6301</w:t>
            </w:r>
          </w:p>
        </w:tc>
        <w:tc>
          <w:tcPr>
            <w:tcW w:w="2280" w:type="pct"/>
            <w:vMerge/>
          </w:tcPr>
          <w:p w14:paraId="11192BAE" w14:textId="77777777" w:rsidR="00372F67" w:rsidRPr="00D517B2" w:rsidRDefault="00372F67" w:rsidP="00E02440">
            <w:pPr>
              <w:tabs>
                <w:tab w:val="left" w:pos="284"/>
                <w:tab w:val="left" w:pos="4111"/>
              </w:tabs>
              <w:spacing w:before="80" w:after="60" w:line="300" w:lineRule="exact"/>
              <w:ind w:left="284" w:hanging="284"/>
              <w:rPr>
                <w:position w:val="2"/>
                <w:rtl/>
              </w:rPr>
            </w:pPr>
          </w:p>
        </w:tc>
      </w:tr>
      <w:tr w:rsidR="00372F67" w:rsidRPr="00D517B2" w14:paraId="51D4DE56" w14:textId="77777777" w:rsidTr="0085677E">
        <w:trPr>
          <w:cantSplit/>
          <w:jc w:val="center"/>
        </w:trPr>
        <w:tc>
          <w:tcPr>
            <w:tcW w:w="810" w:type="pct"/>
          </w:tcPr>
          <w:p w14:paraId="5039E193" w14:textId="77777777" w:rsidR="00372F67" w:rsidRPr="00A9156F" w:rsidRDefault="00372F67" w:rsidP="001E2788">
            <w:pPr>
              <w:spacing w:before="80" w:after="60" w:line="300" w:lineRule="exact"/>
              <w:jc w:val="left"/>
              <w:rPr>
                <w:b/>
                <w:bCs/>
                <w:position w:val="2"/>
                <w:rtl/>
              </w:rPr>
            </w:pPr>
            <w:r w:rsidRPr="00A9156F">
              <w:rPr>
                <w:rFonts w:hint="cs"/>
                <w:b/>
                <w:bCs/>
                <w:position w:val="2"/>
                <w:rtl/>
              </w:rPr>
              <w:t>الفاكس:</w:t>
            </w:r>
          </w:p>
        </w:tc>
        <w:tc>
          <w:tcPr>
            <w:tcW w:w="1910" w:type="pct"/>
          </w:tcPr>
          <w:p w14:paraId="578FA32F" w14:textId="77777777" w:rsidR="00372F67" w:rsidRPr="00D517B2" w:rsidRDefault="0017359B" w:rsidP="00D517B2">
            <w:pPr>
              <w:spacing w:before="80" w:after="60" w:line="300" w:lineRule="exact"/>
              <w:jc w:val="left"/>
              <w:rPr>
                <w:position w:val="2"/>
              </w:rPr>
            </w:pPr>
            <w:r w:rsidRPr="009C52C1">
              <w:t>+41 22 730 5853</w:t>
            </w:r>
          </w:p>
        </w:tc>
        <w:tc>
          <w:tcPr>
            <w:tcW w:w="2280" w:type="pct"/>
            <w:vMerge/>
          </w:tcPr>
          <w:p w14:paraId="3C7439A9" w14:textId="77777777" w:rsidR="00372F67" w:rsidRPr="00D517B2" w:rsidRDefault="00372F67" w:rsidP="00E02440">
            <w:pPr>
              <w:tabs>
                <w:tab w:val="left" w:pos="284"/>
                <w:tab w:val="left" w:pos="4111"/>
              </w:tabs>
              <w:spacing w:before="80" w:after="60" w:line="300" w:lineRule="exact"/>
              <w:ind w:left="284" w:hanging="284"/>
              <w:rPr>
                <w:position w:val="2"/>
                <w:rtl/>
              </w:rPr>
            </w:pPr>
          </w:p>
        </w:tc>
      </w:tr>
      <w:tr w:rsidR="00372F67" w:rsidRPr="00D517B2" w14:paraId="42FE465E" w14:textId="77777777" w:rsidTr="0085677E">
        <w:trPr>
          <w:cantSplit/>
          <w:jc w:val="center"/>
        </w:trPr>
        <w:tc>
          <w:tcPr>
            <w:tcW w:w="810" w:type="pct"/>
          </w:tcPr>
          <w:p w14:paraId="6E627031" w14:textId="77777777" w:rsidR="00372F67" w:rsidRPr="00A9156F" w:rsidRDefault="00372F67" w:rsidP="00CE1C08">
            <w:pPr>
              <w:spacing w:before="80" w:after="60" w:line="300" w:lineRule="exact"/>
              <w:jc w:val="left"/>
              <w:rPr>
                <w:b/>
                <w:bCs/>
                <w:position w:val="2"/>
                <w:rtl/>
              </w:rPr>
            </w:pPr>
            <w:r w:rsidRPr="00A9156F">
              <w:rPr>
                <w:rFonts w:hint="cs"/>
                <w:b/>
                <w:bCs/>
                <w:position w:val="2"/>
                <w:rtl/>
              </w:rPr>
              <w:t>البريد الإلكتروني:</w:t>
            </w:r>
          </w:p>
        </w:tc>
        <w:tc>
          <w:tcPr>
            <w:tcW w:w="1910" w:type="pct"/>
          </w:tcPr>
          <w:p w14:paraId="5176F7AB" w14:textId="77777777" w:rsidR="00372F67" w:rsidRPr="006E1BAD" w:rsidRDefault="009E059C" w:rsidP="00CE1C08">
            <w:pPr>
              <w:spacing w:before="80" w:after="60" w:line="300" w:lineRule="exact"/>
              <w:jc w:val="left"/>
              <w:rPr>
                <w:position w:val="2"/>
                <w:highlight w:val="magenta"/>
                <w:rtl/>
                <w:lang w:bidi="ar-EG"/>
              </w:rPr>
            </w:pPr>
            <w:hyperlink r:id="rId9" w:history="1">
              <w:r w:rsidRPr="009C52C1">
                <w:rPr>
                  <w:rStyle w:val="Hyperlink"/>
                </w:rPr>
                <w:t>tsbsg20@itu.int</w:t>
              </w:r>
            </w:hyperlink>
          </w:p>
        </w:tc>
        <w:tc>
          <w:tcPr>
            <w:tcW w:w="2280" w:type="pct"/>
            <w:vMerge/>
          </w:tcPr>
          <w:p w14:paraId="5C083C4D" w14:textId="77777777" w:rsidR="00372F67" w:rsidRPr="00D517B2" w:rsidRDefault="00372F67" w:rsidP="001F4353">
            <w:pPr>
              <w:tabs>
                <w:tab w:val="left" w:pos="284"/>
                <w:tab w:val="left" w:pos="4111"/>
              </w:tabs>
              <w:spacing w:before="80" w:after="60" w:line="300" w:lineRule="exact"/>
              <w:ind w:left="284" w:hanging="284"/>
              <w:rPr>
                <w:position w:val="2"/>
                <w:rtl/>
              </w:rPr>
            </w:pPr>
          </w:p>
        </w:tc>
      </w:tr>
      <w:tr w:rsidR="00CE1C08" w:rsidRPr="00D517B2" w14:paraId="443341A7" w14:textId="77777777" w:rsidTr="0085677E">
        <w:trPr>
          <w:cantSplit/>
          <w:jc w:val="center"/>
        </w:trPr>
        <w:tc>
          <w:tcPr>
            <w:tcW w:w="810" w:type="pct"/>
          </w:tcPr>
          <w:p w14:paraId="2FDE494F" w14:textId="77777777" w:rsidR="00CE1C08" w:rsidRPr="00A9156F" w:rsidRDefault="00CE1C08" w:rsidP="00CE1C08">
            <w:pPr>
              <w:spacing w:before="80" w:after="60" w:line="300" w:lineRule="exact"/>
              <w:jc w:val="left"/>
              <w:rPr>
                <w:b/>
                <w:bCs/>
                <w:position w:val="2"/>
                <w:rtl/>
                <w:lang w:bidi="ar-EG"/>
              </w:rPr>
            </w:pPr>
          </w:p>
        </w:tc>
        <w:tc>
          <w:tcPr>
            <w:tcW w:w="1910" w:type="pct"/>
          </w:tcPr>
          <w:p w14:paraId="7DAF2846" w14:textId="77777777" w:rsidR="00CE1C08" w:rsidRPr="00D517B2" w:rsidRDefault="00CE1C08" w:rsidP="00CE1C08">
            <w:pPr>
              <w:spacing w:before="80" w:after="60" w:line="300" w:lineRule="exact"/>
              <w:jc w:val="left"/>
              <w:rPr>
                <w:position w:val="2"/>
              </w:rPr>
            </w:pPr>
          </w:p>
        </w:tc>
        <w:tc>
          <w:tcPr>
            <w:tcW w:w="2280" w:type="pct"/>
          </w:tcPr>
          <w:p w14:paraId="43A8F7B2" w14:textId="77777777" w:rsidR="00CE1C08" w:rsidRPr="00D517B2" w:rsidRDefault="00CE1C08" w:rsidP="00CE1C08">
            <w:pPr>
              <w:spacing w:before="80" w:after="60" w:line="300" w:lineRule="exact"/>
              <w:jc w:val="left"/>
              <w:rPr>
                <w:position w:val="2"/>
                <w:rtl/>
              </w:rPr>
            </w:pPr>
          </w:p>
        </w:tc>
      </w:tr>
      <w:tr w:rsidR="00CE1C08" w:rsidRPr="00D517B2" w14:paraId="4645EB9A" w14:textId="77777777" w:rsidTr="001E2788">
        <w:trPr>
          <w:cantSplit/>
          <w:jc w:val="center"/>
        </w:trPr>
        <w:tc>
          <w:tcPr>
            <w:tcW w:w="810" w:type="pct"/>
          </w:tcPr>
          <w:p w14:paraId="7D6A8346" w14:textId="77777777" w:rsidR="00CE1C08" w:rsidRPr="00A9156F" w:rsidRDefault="00CE1C08" w:rsidP="00CE1C08">
            <w:pPr>
              <w:spacing w:before="80" w:after="60" w:line="300" w:lineRule="exact"/>
              <w:jc w:val="left"/>
              <w:rPr>
                <w:b/>
                <w:bCs/>
                <w:position w:val="2"/>
                <w:rtl/>
                <w:lang w:bidi="ar-SY"/>
              </w:rPr>
            </w:pPr>
            <w:r w:rsidRPr="00A9156F">
              <w:rPr>
                <w:rFonts w:hint="cs"/>
                <w:b/>
                <w:bCs/>
                <w:position w:val="2"/>
                <w:rtl/>
              </w:rPr>
              <w:t>الموضوع:</w:t>
            </w:r>
          </w:p>
        </w:tc>
        <w:tc>
          <w:tcPr>
            <w:tcW w:w="4190" w:type="pct"/>
            <w:gridSpan w:val="2"/>
          </w:tcPr>
          <w:p w14:paraId="7A3B0BF0" w14:textId="77777777" w:rsidR="00CE1C08" w:rsidRPr="00D517B2" w:rsidRDefault="00325254" w:rsidP="00CE1C08">
            <w:pPr>
              <w:spacing w:before="80" w:after="60" w:line="300" w:lineRule="exact"/>
              <w:jc w:val="left"/>
              <w:rPr>
                <w:position w:val="2"/>
                <w:rtl/>
              </w:rPr>
            </w:pPr>
            <w:r>
              <w:rPr>
                <w:b/>
                <w:bCs/>
                <w:color w:val="000000"/>
                <w:rtl/>
              </w:rPr>
              <w:t>الاختصاصات المتعلقة بالمسألة الجديدة 20/11</w:t>
            </w:r>
          </w:p>
        </w:tc>
      </w:tr>
    </w:tbl>
    <w:p w14:paraId="036C3EB4" w14:textId="77777777" w:rsidR="00D517B2" w:rsidRPr="00D517B2" w:rsidRDefault="00D517B2" w:rsidP="006635B2">
      <w:pPr>
        <w:spacing w:before="600"/>
        <w:rPr>
          <w:lang w:bidi="ar-SY"/>
        </w:rPr>
      </w:pPr>
      <w:r w:rsidRPr="00D517B2">
        <w:rPr>
          <w:rFonts w:hint="cs"/>
          <w:rtl/>
          <w:lang w:bidi="ar-SY"/>
        </w:rPr>
        <w:t>حضرات السادة والسيدات،</w:t>
      </w:r>
    </w:p>
    <w:p w14:paraId="6AAE2501" w14:textId="77777777" w:rsidR="00D517B2" w:rsidRPr="00D517B2" w:rsidRDefault="00D517B2" w:rsidP="00D517B2">
      <w:pPr>
        <w:rPr>
          <w:rtl/>
          <w:lang w:bidi="ar-EG"/>
        </w:rPr>
      </w:pPr>
      <w:r w:rsidRPr="00D517B2">
        <w:rPr>
          <w:rFonts w:hint="cs"/>
          <w:rtl/>
        </w:rPr>
        <w:t>تحية طيبة وبعد،</w:t>
      </w:r>
    </w:p>
    <w:p w14:paraId="35CE783F" w14:textId="77777777" w:rsidR="00325254" w:rsidRDefault="00325254" w:rsidP="00C97205">
      <w:pPr>
        <w:spacing w:before="0"/>
        <w:rPr>
          <w:lang w:val="ar-SA" w:eastAsia="zh-TW"/>
        </w:rPr>
      </w:pPr>
      <w:r>
        <w:rPr>
          <w:rtl/>
        </w:rPr>
        <w:t>1</w:t>
      </w:r>
      <w:r>
        <w:rPr>
          <w:rtl/>
        </w:rPr>
        <w:tab/>
        <w:t xml:space="preserve">بناءً على طلب رئيس لجنة الدراسات </w:t>
      </w:r>
      <w:r>
        <w:rPr>
          <w:cs/>
        </w:rPr>
        <w:t>‎</w:t>
      </w:r>
      <w:r w:rsidR="00C97205">
        <w:t>20</w:t>
      </w:r>
      <w:r>
        <w:rPr>
          <w:rtl/>
        </w:rPr>
        <w:t>‏، المعنية بموضوع "</w:t>
      </w:r>
      <w:r w:rsidR="00C97205">
        <w:rPr>
          <w:rFonts w:hint="eastAsia"/>
          <w:rtl/>
          <w:lang w:bidi="ar-EG"/>
        </w:rPr>
        <w:t> </w:t>
      </w:r>
      <w:r w:rsidRPr="00C97205">
        <w:rPr>
          <w:i/>
          <w:iCs/>
          <w:rtl/>
        </w:rPr>
        <w:t>إنترنت الأشياء والتوائم الرقمية والمدن والمجتمعات الذكية المستدامة</w:t>
      </w:r>
      <w:r>
        <w:rPr>
          <w:rtl/>
        </w:rPr>
        <w:t xml:space="preserve">"، أتشرف بإبلاغكم بأنه وفقاً لأحكام الفقرة </w:t>
      </w:r>
      <w:r>
        <w:rPr>
          <w:cs/>
        </w:rPr>
        <w:t>‎</w:t>
      </w:r>
      <w:r>
        <w:t>2.2.7</w:t>
      </w:r>
      <w:r>
        <w:rPr>
          <w:rtl/>
        </w:rPr>
        <w:t xml:space="preserve"> ‏من القسم </w:t>
      </w:r>
      <w:r>
        <w:rPr>
          <w:cs/>
        </w:rPr>
        <w:t>‎</w:t>
      </w:r>
      <w:r>
        <w:t>7</w:t>
      </w:r>
      <w:r>
        <w:rPr>
          <w:rtl/>
        </w:rPr>
        <w:t xml:space="preserve"> ‏من القرار </w:t>
      </w:r>
      <w:r>
        <w:rPr>
          <w:cs/>
        </w:rPr>
        <w:t>‎</w:t>
      </w:r>
      <w:r>
        <w:t>1</w:t>
      </w:r>
      <w:r>
        <w:rPr>
          <w:rtl/>
        </w:rPr>
        <w:t xml:space="preserve"> (‏المراجَع في جنيف، </w:t>
      </w:r>
      <w:r>
        <w:rPr>
          <w:cs/>
        </w:rPr>
        <w:t>‎</w:t>
      </w:r>
      <w:r>
        <w:t>2022</w:t>
      </w:r>
      <w:r>
        <w:rPr>
          <w:rtl/>
        </w:rPr>
        <w:t>)‏، يرد فيما يلي القرار الذي تُوصِّل إليه بتوافق الآراء بين الحاضرين:</w:t>
      </w:r>
      <w:r>
        <w:rPr>
          <w:cs/>
        </w:rPr>
        <w:t>‎</w:t>
      </w:r>
    </w:p>
    <w:p w14:paraId="4CE7DD68" w14:textId="77777777" w:rsidR="00325254" w:rsidRPr="00FC5ED7" w:rsidRDefault="00325254" w:rsidP="00FC5ED7">
      <w:pPr>
        <w:pStyle w:val="enumlev1"/>
        <w:rPr>
          <w:spacing w:val="-2"/>
          <w:rtl/>
          <w:lang w:val="ar-SA" w:eastAsia="zh-TW"/>
        </w:rPr>
      </w:pPr>
      <w:r w:rsidRPr="00FC5ED7">
        <w:rPr>
          <w:spacing w:val="-2"/>
        </w:rPr>
        <w:t>–</w:t>
      </w:r>
      <w:r w:rsidRPr="00FC5ED7">
        <w:rPr>
          <w:spacing w:val="-2"/>
          <w:rtl/>
        </w:rPr>
        <w:tab/>
        <w:t>اتفقت لجنة الدراسات هذه، في اجتماعها الذي عُقد في جنيف، في الفترة من 15 إلى 25 سبتمبر 2025، على إنشاء مسألة جديدة 20/11 بشأن "</w:t>
      </w:r>
      <w:r w:rsidR="00FC5ED7" w:rsidRPr="00FC5ED7">
        <w:rPr>
          <w:rFonts w:hint="cs"/>
          <w:i/>
          <w:iCs/>
          <w:spacing w:val="-2"/>
          <w:rtl/>
        </w:rPr>
        <w:t> </w:t>
      </w:r>
      <w:r w:rsidRPr="00FC5ED7">
        <w:rPr>
          <w:i/>
          <w:iCs/>
          <w:spacing w:val="-2"/>
          <w:rtl/>
        </w:rPr>
        <w:t>الزراعة الرقمية: من المزرعة الذكية والإنتاج الذكي إلى الاستهلاك السليم والآمن</w:t>
      </w:r>
      <w:r w:rsidRPr="00FC5ED7">
        <w:rPr>
          <w:spacing w:val="-2"/>
          <w:rtl/>
        </w:rPr>
        <w:t>".</w:t>
      </w:r>
    </w:p>
    <w:p w14:paraId="7625B46C" w14:textId="77777777" w:rsidR="00325254" w:rsidRPr="001A4203" w:rsidRDefault="00325254" w:rsidP="00325254">
      <w:pPr>
        <w:spacing w:before="0"/>
        <w:rPr>
          <w:spacing w:val="-4"/>
          <w:lang w:val="fr-CH" w:eastAsia="zh-TW"/>
        </w:rPr>
      </w:pPr>
      <w:r w:rsidRPr="00FC5ED7">
        <w:rPr>
          <w:spacing w:val="-4"/>
          <w:rtl/>
        </w:rPr>
        <w:t>2</w:t>
      </w:r>
      <w:r w:rsidRPr="00FC5ED7">
        <w:rPr>
          <w:spacing w:val="-4"/>
          <w:rtl/>
        </w:rPr>
        <w:tab/>
        <w:t xml:space="preserve">أقر الفريق الاستشاري لتقييس الاتصالات </w:t>
      </w:r>
      <w:r w:rsidRPr="00FC5ED7">
        <w:rPr>
          <w:spacing w:val="-4"/>
        </w:rPr>
        <w:t>(TSAG)</w:t>
      </w:r>
      <w:r w:rsidRPr="00FC5ED7">
        <w:rPr>
          <w:spacing w:val="-4"/>
          <w:rtl/>
        </w:rPr>
        <w:t>، في اجتماعه الذي عُقد في جنيف، في الفترة من 26 إلى 30 يناير 2026، الاختصاصات المتعلقة بالمسألة الجديدة 20/11 على النحو الذي اقترحته لجنة الدراسات 20 لقطاع تقييس الاتصالات.</w:t>
      </w:r>
    </w:p>
    <w:p w14:paraId="1F8784AE" w14:textId="77777777" w:rsidR="00325254" w:rsidRPr="001A4203" w:rsidRDefault="00325254" w:rsidP="001A4203">
      <w:pPr>
        <w:rPr>
          <w:rtl/>
        </w:rPr>
      </w:pPr>
      <w:r w:rsidRPr="001A4203">
        <w:rPr>
          <w:rtl/>
        </w:rPr>
        <w:t>3</w:t>
      </w:r>
      <w:r w:rsidRPr="001A4203">
        <w:rPr>
          <w:rtl/>
        </w:rPr>
        <w:tab/>
        <w:t>يتضمن الملحق 1 نص المسألة الجديدة 20/11.</w:t>
      </w:r>
    </w:p>
    <w:p w14:paraId="2CF9BAFD" w14:textId="77777777" w:rsidR="00E84438" w:rsidRPr="001A4203" w:rsidRDefault="00E84438" w:rsidP="001A4203">
      <w:pPr>
        <w:spacing w:after="360"/>
        <w:rPr>
          <w:rtl/>
        </w:rPr>
      </w:pPr>
      <w:r w:rsidRPr="001A4203">
        <w:rPr>
          <w:rFonts w:hint="cs"/>
          <w:rtl/>
        </w:rPr>
        <w:t>وتفضلوا بقبول فائق التقدير والاحترام.</w:t>
      </w:r>
    </w:p>
    <w:p w14:paraId="03874319" w14:textId="77777777" w:rsidR="00E84438" w:rsidRDefault="00E84438" w:rsidP="001A4203">
      <w:pPr>
        <w:rPr>
          <w:lang w:val="fr-CH"/>
        </w:rPr>
      </w:pPr>
      <w:proofErr w:type="gramStart"/>
      <w:r w:rsidRPr="001A4203">
        <w:rPr>
          <w:rFonts w:hint="cs"/>
          <w:rtl/>
        </w:rPr>
        <w:t>(</w:t>
      </w:r>
      <w:r w:rsidR="001E2788" w:rsidRPr="001A4203">
        <w:rPr>
          <w:rFonts w:hint="eastAsia"/>
          <w:rtl/>
        </w:rPr>
        <w:t> </w:t>
      </w:r>
      <w:r w:rsidRPr="001A4203">
        <w:rPr>
          <w:rFonts w:hint="cs"/>
          <w:rtl/>
        </w:rPr>
        <w:t>توقيع</w:t>
      </w:r>
      <w:proofErr w:type="gramEnd"/>
      <w:r w:rsidRPr="001A4203">
        <w:rPr>
          <w:rFonts w:hint="cs"/>
          <w:rtl/>
        </w:rPr>
        <w:t>)</w:t>
      </w:r>
    </w:p>
    <w:p w14:paraId="11A73904" w14:textId="77777777" w:rsidR="001A4203" w:rsidRPr="001A4203" w:rsidRDefault="001A4203" w:rsidP="001A4203">
      <w:pPr>
        <w:rPr>
          <w:lang w:val="fr-CH"/>
        </w:rPr>
      </w:pPr>
    </w:p>
    <w:p w14:paraId="7725B89F" w14:textId="77777777" w:rsidR="00E84438" w:rsidRPr="001A4203" w:rsidRDefault="00807031" w:rsidP="001A4203">
      <w:pPr>
        <w:jc w:val="left"/>
        <w:rPr>
          <w:rtl/>
        </w:rPr>
      </w:pPr>
      <w:proofErr w:type="spellStart"/>
      <w:r w:rsidRPr="001A4203">
        <w:rPr>
          <w:rFonts w:hint="cs"/>
          <w:rtl/>
        </w:rPr>
        <w:t>سيزو</w:t>
      </w:r>
      <w:proofErr w:type="spellEnd"/>
      <w:r w:rsidRPr="001A4203">
        <w:rPr>
          <w:rFonts w:hint="cs"/>
          <w:rtl/>
        </w:rPr>
        <w:t xml:space="preserve"> </w:t>
      </w:r>
      <w:proofErr w:type="spellStart"/>
      <w:r w:rsidRPr="001A4203">
        <w:rPr>
          <w:rFonts w:hint="cs"/>
          <w:rtl/>
        </w:rPr>
        <w:t>أونوي</w:t>
      </w:r>
      <w:proofErr w:type="spellEnd"/>
      <w:r w:rsidR="00E84438" w:rsidRPr="001A4203">
        <w:rPr>
          <w:rtl/>
        </w:rPr>
        <w:br/>
      </w:r>
      <w:r w:rsidR="00E84438" w:rsidRPr="001A4203">
        <w:rPr>
          <w:rFonts w:hint="cs"/>
          <w:rtl/>
        </w:rPr>
        <w:t>مدير</w:t>
      </w:r>
      <w:r w:rsidR="00E84438" w:rsidRPr="001A4203">
        <w:rPr>
          <w:rtl/>
        </w:rPr>
        <w:t xml:space="preserve"> </w:t>
      </w:r>
      <w:r w:rsidR="00E84438" w:rsidRPr="001A4203">
        <w:rPr>
          <w:rFonts w:hint="cs"/>
          <w:rtl/>
        </w:rPr>
        <w:t>مكتب</w:t>
      </w:r>
      <w:r w:rsidR="00E84438" w:rsidRPr="001A4203">
        <w:rPr>
          <w:rtl/>
        </w:rPr>
        <w:t xml:space="preserve"> </w:t>
      </w:r>
      <w:r w:rsidR="00E84438" w:rsidRPr="001A4203">
        <w:rPr>
          <w:rFonts w:hint="cs"/>
          <w:rtl/>
        </w:rPr>
        <w:t>تقييس</w:t>
      </w:r>
      <w:r w:rsidR="00E84438" w:rsidRPr="001A4203">
        <w:rPr>
          <w:rtl/>
        </w:rPr>
        <w:t xml:space="preserve"> </w:t>
      </w:r>
      <w:r w:rsidR="00E84438" w:rsidRPr="001A4203">
        <w:rPr>
          <w:rFonts w:hint="cs"/>
          <w:rtl/>
        </w:rPr>
        <w:t>الاتصالات</w:t>
      </w:r>
    </w:p>
    <w:p w14:paraId="1AD5E5DD" w14:textId="574301B4" w:rsidR="00596808" w:rsidRDefault="00C21016" w:rsidP="00E84438">
      <w:pPr>
        <w:rPr>
          <w:rtl/>
          <w:lang w:bidi="ar-EG"/>
        </w:rPr>
      </w:pPr>
      <w:r w:rsidRPr="001A4203">
        <w:rPr>
          <w:rtl/>
        </w:rPr>
        <w:t>الملح</w:t>
      </w:r>
      <w:r w:rsidRPr="001A4203">
        <w:rPr>
          <w:rFonts w:hint="cs"/>
          <w:rtl/>
        </w:rPr>
        <w:t>قات:</w:t>
      </w:r>
      <w:r w:rsidRPr="001A4203">
        <w:rPr>
          <w:rtl/>
        </w:rPr>
        <w:tab/>
        <w:t>1</w:t>
      </w:r>
      <w:r w:rsidR="00596808">
        <w:rPr>
          <w:rtl/>
          <w:lang w:bidi="ar-EG"/>
        </w:rPr>
        <w:br w:type="page"/>
      </w:r>
    </w:p>
    <w:p w14:paraId="1AE015A5" w14:textId="77777777" w:rsidR="00C21016" w:rsidRDefault="00C21016" w:rsidP="00661FCF">
      <w:pPr>
        <w:pStyle w:val="Annextitle"/>
        <w:rPr>
          <w:lang w:val="ar-SA" w:eastAsia="zh-TW"/>
        </w:rPr>
      </w:pPr>
      <w:r>
        <w:rPr>
          <w:rtl/>
        </w:rPr>
        <w:lastRenderedPageBreak/>
        <w:t xml:space="preserve">الملحق: </w:t>
      </w:r>
      <w:r w:rsidR="00661FCF">
        <w:rPr>
          <w:rtl/>
        </w:rPr>
        <w:br/>
      </w:r>
      <w:r>
        <w:rPr>
          <w:rtl/>
        </w:rPr>
        <w:t xml:space="preserve">الاختصاصات المتعلقة بالمسألة الجديدة بشأن "الزراعة الرقمية: من المزرعة الذكية </w:t>
      </w:r>
      <w:r w:rsidR="001878D7">
        <w:br/>
      </w:r>
      <w:r>
        <w:rPr>
          <w:rtl/>
        </w:rPr>
        <w:t>والإنتاج الذكي إلى الاستهلاك السليم والآمن"</w:t>
      </w:r>
    </w:p>
    <w:p w14:paraId="21AB23EC" w14:textId="77777777" w:rsidR="00C21016" w:rsidRPr="00E50989" w:rsidRDefault="00C21016" w:rsidP="00E50989">
      <w:pPr>
        <w:rPr>
          <w:b/>
          <w:bCs/>
          <w:sz w:val="26"/>
          <w:szCs w:val="26"/>
          <w:rtl/>
        </w:rPr>
      </w:pPr>
      <w:r w:rsidRPr="00E50989">
        <w:rPr>
          <w:b/>
          <w:bCs/>
          <w:sz w:val="26"/>
          <w:szCs w:val="26"/>
          <w:rtl/>
        </w:rPr>
        <w:t xml:space="preserve">المسألة </w:t>
      </w:r>
      <w:r w:rsidRPr="00E50989">
        <w:rPr>
          <w:b/>
          <w:bCs/>
          <w:sz w:val="26"/>
          <w:szCs w:val="26"/>
        </w:rPr>
        <w:t>Q11/20</w:t>
      </w:r>
      <w:r w:rsidRPr="00E50989">
        <w:rPr>
          <w:b/>
          <w:bCs/>
          <w:sz w:val="26"/>
          <w:szCs w:val="26"/>
          <w:rtl/>
        </w:rPr>
        <w:t xml:space="preserve"> – الزراعة الرقمية: من المزرعة الذكية والإنتاج الذكي إلى الاستهلاك السليم والآمن</w:t>
      </w:r>
    </w:p>
    <w:p w14:paraId="3D8DEB6D" w14:textId="77777777" w:rsidR="00C21016" w:rsidRDefault="00C21016" w:rsidP="003C5429">
      <w:pPr>
        <w:pStyle w:val="Heading1"/>
        <w:rPr>
          <w:rtl/>
          <w:lang w:val="ar-SA" w:eastAsia="zh-TW"/>
        </w:rPr>
      </w:pPr>
      <w:r>
        <w:rPr>
          <w:rtl/>
        </w:rPr>
        <w:t>1</w:t>
      </w:r>
      <w:r>
        <w:rPr>
          <w:rtl/>
        </w:rPr>
        <w:tab/>
        <w:t>المسوغات</w:t>
      </w:r>
    </w:p>
    <w:p w14:paraId="088D9482" w14:textId="77777777" w:rsidR="00C21016" w:rsidRDefault="00C21016" w:rsidP="008C7C7E">
      <w:pPr>
        <w:rPr>
          <w:rtl/>
          <w:lang w:val="ar-SA" w:eastAsia="zh-TW"/>
        </w:rPr>
      </w:pPr>
      <w:r>
        <w:rPr>
          <w:rtl/>
        </w:rPr>
        <w:t xml:space="preserve">تشهد الزراعة الرقمية ومنتجاتها وسلسلة التوريد والسلامة والأمن (أي من المزرعة إلى الاستهلاك) إعادة تشكيل نتيجة التقارب بين إنترنت الأشياء </w:t>
      </w:r>
      <w:r>
        <w:t>(IoT)</w:t>
      </w:r>
      <w:r>
        <w:rPr>
          <w:rtl/>
        </w:rPr>
        <w:t xml:space="preserve"> والذكاء الاصطناعي </w:t>
      </w:r>
      <w:r>
        <w:t>(AI)</w:t>
      </w:r>
      <w:r>
        <w:rPr>
          <w:rtl/>
        </w:rPr>
        <w:t xml:space="preserve"> والروبوتات والتوائم الرقمية والبيئات الغامرة وغيرها من التكنولوجيات الرقمية الناشئة. وتفتح هذه الابتكارات الأبواب أمام قدرات جديدة في مجال الزراعة الدقيقة والذكية، وتبادل المعلومات عن المخاطر المتعلقة بالإنتاج الزراعي، والزراعة الإيكولوجية منخفضة الكربون، وتتبع مصادر الأغذية، والأتمتة الذكية، والتحليلات في</w:t>
      </w:r>
      <w:r w:rsidR="008C7C7E">
        <w:rPr>
          <w:rFonts w:hint="cs"/>
          <w:rtl/>
        </w:rPr>
        <w:t> </w:t>
      </w:r>
      <w:r>
        <w:rPr>
          <w:rtl/>
        </w:rPr>
        <w:t>الوقت الفعلي عبر سلسلة القيمة الكاملة - من الإنتاج والتجهيز إلى التوزيع، وكذلك التنمية الزراعية المستدامة.</w:t>
      </w:r>
    </w:p>
    <w:p w14:paraId="3A8705E2" w14:textId="77777777" w:rsidR="00C21016" w:rsidRPr="00817A6B" w:rsidRDefault="00C21016" w:rsidP="008C7C7E">
      <w:pPr>
        <w:rPr>
          <w:spacing w:val="-4"/>
          <w:rtl/>
          <w:lang w:val="ar-SA" w:eastAsia="zh-TW"/>
        </w:rPr>
      </w:pPr>
      <w:r w:rsidRPr="00224024">
        <w:rPr>
          <w:spacing w:val="-2"/>
          <w:rtl/>
        </w:rPr>
        <w:t xml:space="preserve">وفي هذا السياق، يتزايد الاهتمام بتطبيق التكنولوجيات الرقمية الناشئة، بما في ذلك إنترنت الأشياء والتوائم الرقمية والبيئات الافتراضية الغامرة والذكية، في المجال الزراعي. ومن خلال دمج إنترنت الأشياء والذكاء الاصطناعي وغيرها من التكنولوجيات الرقمية الناشئة في الزراعة الرقمية، فضلاً عن تزويد هذه الأنظمة بقدرات التوائم الرقمية والتجربة الغامرة، تهدف هذه الأنظمة إلى تلبية احتياجات المنتجين الزراعيين لتبادل المعلومات والمعارف ذات الصلة بشأن المخاطر (بما في ذلك الآفات وأمراض المحاصيل والتهديدات البيئية والمناخية)، وتعزيز أمن الإنتاج الزراعي وسلامته وقدرته على التكيف، وتحسين الإنتاجية، وتعزيز إنتاج وتجهيز الأغذية والمنتجات الزراعية، على التوالي، على نحو مستدام وبجودة عالية. ويمكن استخدام إنترنت الأشياء والذكاء الاصطناعي </w:t>
      </w:r>
      <w:r w:rsidRPr="00817A6B">
        <w:rPr>
          <w:spacing w:val="-4"/>
          <w:rtl/>
        </w:rPr>
        <w:t>والتوائم الرقمية والعوالم الافتراضية والتكنولوجيات الغامرة كأدوات فعالة لدعم المحاكاة وصنع القرار والتدريب والتعاون بين مختلف أصحاب المصلحة. ومع تزايد درجة تعقيد سلاسل التوريد العالمية وتفاقم تحديات الاستدامة والأمن، قد توفر هذه التطورات سبلاً جديدة لتحسين الإنتاج والسلامة والأمن والقدرة على التكيف والكفاءة التشغيلية والابتكار</w:t>
      </w:r>
    </w:p>
    <w:p w14:paraId="68F993F4" w14:textId="77777777" w:rsidR="00C21016" w:rsidRPr="00224024" w:rsidRDefault="00C21016" w:rsidP="00C21016">
      <w:pPr>
        <w:tabs>
          <w:tab w:val="left" w:pos="720"/>
        </w:tabs>
        <w:rPr>
          <w:spacing w:val="-2"/>
          <w:rtl/>
          <w:lang w:val="ar-SA" w:eastAsia="zh-TW"/>
        </w:rPr>
      </w:pPr>
      <w:r w:rsidRPr="00224024">
        <w:rPr>
          <w:spacing w:val="-2"/>
          <w:rtl/>
        </w:rPr>
        <w:t>وعلى الرغم من التقدم المحرز في مجال الرقمنة، تواجه عمليات النشر الحالية في مجال الزراعة الرقمية قيوداً بسبب الافتقار إلى الأطر المشتركة وقابلية التشغيل البيني التقني وبروتوكولات تبادل البيانات الآمنة ونماذج المعمارية القابلة للتطوير لتلبية احتياجات النظام الإيكولوجي للزراعة الرقمية. ولسد هذه الفجوات، هناك حاجة واضحة إلى جهود تقييس دولية تدعم نشر أنظمة الزراعة الرقمية الآمنة والقابلة للتشغيل البيني والجاهزة للمستقبل.</w:t>
      </w:r>
    </w:p>
    <w:p w14:paraId="49ADE436" w14:textId="77777777" w:rsidR="00C21016" w:rsidRDefault="00C21016" w:rsidP="00C21016">
      <w:pPr>
        <w:tabs>
          <w:tab w:val="left" w:pos="720"/>
        </w:tabs>
        <w:rPr>
          <w:rtl/>
          <w:lang w:val="ar-SA" w:eastAsia="zh-TW"/>
        </w:rPr>
      </w:pPr>
      <w:r>
        <w:rPr>
          <w:rtl/>
        </w:rPr>
        <w:t>وتشمل التوصيات والإضافات التي تندرج ضمن مسؤولية هذه المسألة ما يلي:</w:t>
      </w:r>
    </w:p>
    <w:p w14:paraId="2F18CD06" w14:textId="77777777" w:rsidR="00C21016" w:rsidRDefault="00C21016" w:rsidP="00224024">
      <w:pPr>
        <w:pStyle w:val="enumlev1"/>
        <w:rPr>
          <w:rFonts w:eastAsia="Times New Roman"/>
          <w:rtl/>
          <w:lang w:val="ar-SA" w:eastAsia="zh-TW"/>
        </w:rPr>
      </w:pPr>
      <w:r w:rsidRPr="001A4203">
        <w:rPr>
          <w:lang w:val="fr-CH"/>
        </w:rPr>
        <w:t>‒</w:t>
      </w:r>
      <w:r>
        <w:rPr>
          <w:rtl/>
        </w:rPr>
        <w:tab/>
        <w:t xml:space="preserve">التوصيتان </w:t>
      </w:r>
      <w:r w:rsidRPr="001A4203">
        <w:rPr>
          <w:lang w:val="fr-CH"/>
        </w:rPr>
        <w:t>ITU-T Y.4218</w:t>
      </w:r>
      <w:r>
        <w:rPr>
          <w:rtl/>
        </w:rPr>
        <w:t xml:space="preserve"> و</w:t>
      </w:r>
      <w:r w:rsidRPr="001A4203">
        <w:rPr>
          <w:lang w:val="fr-CH"/>
        </w:rPr>
        <w:t>ITU-T Y.4482</w:t>
      </w:r>
    </w:p>
    <w:p w14:paraId="657E3E1D" w14:textId="77777777" w:rsidR="00C21016" w:rsidRDefault="00C21016" w:rsidP="00224024">
      <w:pPr>
        <w:pStyle w:val="enumlev1"/>
        <w:rPr>
          <w:rtl/>
          <w:lang w:val="ar-SA" w:eastAsia="zh-TW"/>
        </w:rPr>
      </w:pPr>
      <w:r>
        <w:t>‒</w:t>
      </w:r>
      <w:r>
        <w:rPr>
          <w:rtl/>
        </w:rPr>
        <w:tab/>
        <w:t xml:space="preserve">الإضافات 76 و82 و83 و85 لتوصيات السلسة </w:t>
      </w:r>
      <w:r>
        <w:t>Y</w:t>
      </w:r>
      <w:r>
        <w:rPr>
          <w:rtl/>
        </w:rPr>
        <w:t xml:space="preserve"> الصادرة عن قطاع تقييس الاتصالات</w:t>
      </w:r>
    </w:p>
    <w:p w14:paraId="3721BDB2" w14:textId="77777777" w:rsidR="00C21016" w:rsidRDefault="00C21016" w:rsidP="00224024">
      <w:pPr>
        <w:pStyle w:val="enumlev1"/>
        <w:rPr>
          <w:rtl/>
          <w:lang w:val="ar-SA" w:eastAsia="zh-TW"/>
        </w:rPr>
      </w:pPr>
      <w:r>
        <w:t>‒</w:t>
      </w:r>
      <w:r>
        <w:rPr>
          <w:rtl/>
        </w:rPr>
        <w:tab/>
        <w:t xml:space="preserve">التقرير التقني </w:t>
      </w:r>
      <w:r>
        <w:t xml:space="preserve">ITU-T </w:t>
      </w:r>
      <w:proofErr w:type="spellStart"/>
      <w:r>
        <w:t>YSTR.DataModelling</w:t>
      </w:r>
      <w:proofErr w:type="spellEnd"/>
      <w:r>
        <w:t>-Agri</w:t>
      </w:r>
    </w:p>
    <w:p w14:paraId="2477235E" w14:textId="77777777" w:rsidR="00C21016" w:rsidRDefault="00C21016" w:rsidP="003C5429">
      <w:pPr>
        <w:pStyle w:val="Heading1"/>
        <w:rPr>
          <w:rtl/>
          <w:lang w:val="ar-SA" w:eastAsia="zh-TW"/>
        </w:rPr>
      </w:pPr>
      <w:r>
        <w:rPr>
          <w:rtl/>
        </w:rPr>
        <w:t>2</w:t>
      </w:r>
      <w:r>
        <w:rPr>
          <w:rtl/>
        </w:rPr>
        <w:tab/>
        <w:t>المسألة</w:t>
      </w:r>
    </w:p>
    <w:p w14:paraId="09948E7D" w14:textId="77777777" w:rsidR="00C21016" w:rsidRDefault="00C21016" w:rsidP="00C21016">
      <w:pPr>
        <w:tabs>
          <w:tab w:val="left" w:pos="709"/>
        </w:tabs>
        <w:rPr>
          <w:rtl/>
          <w:lang w:val="ar-SA" w:eastAsia="zh-TW"/>
        </w:rPr>
      </w:pPr>
      <w:r>
        <w:rPr>
          <w:rtl/>
        </w:rPr>
        <w:t>تشمل الدراسة البنود التالية دون أن تقتصر عليها:</w:t>
      </w:r>
    </w:p>
    <w:p w14:paraId="232B13E0" w14:textId="77777777" w:rsidR="00C21016" w:rsidRPr="00925B93" w:rsidRDefault="00C21016" w:rsidP="00925B93">
      <w:pPr>
        <w:pStyle w:val="enumlev1"/>
        <w:rPr>
          <w:spacing w:val="-4"/>
          <w:rtl/>
        </w:rPr>
      </w:pPr>
      <w:r w:rsidRPr="00925B93">
        <w:rPr>
          <w:spacing w:val="-4"/>
        </w:rPr>
        <w:t>–</w:t>
      </w:r>
      <w:r w:rsidRPr="00925B93">
        <w:rPr>
          <w:spacing w:val="-4"/>
          <w:rtl/>
        </w:rPr>
        <w:tab/>
        <w:t>ما هي المتطلبات والقدرات وحالات الاستعمال ونماذج المعمارية المتعلقة بالزراعة الرقمية (أي من المزرعة إلى الاستهلاك) التي تستفيد من إنترنت الأشياء والذكاء الاصطناعي والروبوتات التعاونية والتوائم الرقمية والعوالم الافتراضية والبيئات الغامرة وغيرها من التكنولوجيات الرقمية الناشئة؟</w:t>
      </w:r>
    </w:p>
    <w:p w14:paraId="46A63045" w14:textId="77777777" w:rsidR="00C21016" w:rsidRPr="00925B93" w:rsidRDefault="00C21016" w:rsidP="00925B93">
      <w:pPr>
        <w:pStyle w:val="enumlev1"/>
        <w:rPr>
          <w:rtl/>
        </w:rPr>
      </w:pPr>
      <w:r w:rsidRPr="00925B93">
        <w:t>–</w:t>
      </w:r>
      <w:r w:rsidRPr="00925B93">
        <w:rPr>
          <w:rtl/>
        </w:rPr>
        <w:tab/>
        <w:t>ما هي المتطلبات الوظيفية ونماذج البيانات ومواصفات السطوح البينية المتعلقة بأجهزة الزراعة الرقمية ومنصاتها وتطبيقاتها عبر سلسلة القيمة من أجل تعزيز منتجاتها وسلسلة التوريد الخاصة بها وسلامتها وأمنها؟</w:t>
      </w:r>
    </w:p>
    <w:p w14:paraId="7096B43C" w14:textId="30B8863D" w:rsidR="00C21016" w:rsidRPr="00925B93" w:rsidRDefault="00C21016" w:rsidP="009C7539">
      <w:pPr>
        <w:pStyle w:val="enumlev1"/>
        <w:rPr>
          <w:rtl/>
        </w:rPr>
      </w:pPr>
      <w:r w:rsidRPr="00925B93">
        <w:t>–</w:t>
      </w:r>
      <w:r w:rsidRPr="00925B93">
        <w:rPr>
          <w:rtl/>
        </w:rPr>
        <w:tab/>
        <w:t>ما هي المتطلبات والقدرات وحالات الاستعمال والمعمارية المتعلقة بقابلية التشغيل البيني و</w:t>
      </w:r>
      <w:r w:rsidR="00DE762E">
        <w:rPr>
          <w:rFonts w:hint="cs"/>
          <w:rtl/>
        </w:rPr>
        <w:t xml:space="preserve">العمل </w:t>
      </w:r>
      <w:r w:rsidRPr="00925B93">
        <w:rPr>
          <w:rtl/>
        </w:rPr>
        <w:t>البيني في</w:t>
      </w:r>
      <w:r w:rsidR="009C7539">
        <w:rPr>
          <w:rFonts w:hint="cs"/>
          <w:rtl/>
        </w:rPr>
        <w:t> </w:t>
      </w:r>
      <w:r w:rsidRPr="00925B93">
        <w:rPr>
          <w:rtl/>
        </w:rPr>
        <w:t>الزراعة الرقمية؟</w:t>
      </w:r>
    </w:p>
    <w:p w14:paraId="608D5496" w14:textId="77777777" w:rsidR="00C21016" w:rsidRPr="009C7539" w:rsidRDefault="00C21016" w:rsidP="00925B93">
      <w:pPr>
        <w:pStyle w:val="enumlev1"/>
        <w:rPr>
          <w:spacing w:val="-2"/>
          <w:rtl/>
        </w:rPr>
      </w:pPr>
      <w:r w:rsidRPr="009C7539">
        <w:rPr>
          <w:spacing w:val="-2"/>
        </w:rPr>
        <w:t>–</w:t>
      </w:r>
      <w:r w:rsidRPr="009C7539">
        <w:rPr>
          <w:spacing w:val="-2"/>
          <w:rtl/>
        </w:rPr>
        <w:tab/>
        <w:t>ما هي الفجوات التقييسية التي ينطوي عليها نشر الزراعة الرقمية الجاهزة للمستقبل، وكيف يمكن معالجتها من خلال توصيات قطاع تقييس الاتصالات؟</w:t>
      </w:r>
    </w:p>
    <w:p w14:paraId="28F2E2D3" w14:textId="77777777" w:rsidR="00C21016" w:rsidRPr="00925B93" w:rsidRDefault="00C21016" w:rsidP="00925B93">
      <w:pPr>
        <w:pStyle w:val="enumlev1"/>
        <w:rPr>
          <w:rtl/>
        </w:rPr>
      </w:pPr>
      <w:r w:rsidRPr="00925B93">
        <w:lastRenderedPageBreak/>
        <w:t>–</w:t>
      </w:r>
      <w:r w:rsidRPr="00925B93">
        <w:rPr>
          <w:rtl/>
        </w:rPr>
        <w:tab/>
        <w:t xml:space="preserve">ما هي منظمات وضع المعايير </w:t>
      </w:r>
      <w:r w:rsidRPr="00925B93">
        <w:t>(SDO)</w:t>
      </w:r>
      <w:r w:rsidRPr="00925B93">
        <w:rPr>
          <w:rtl/>
        </w:rPr>
        <w:t xml:space="preserve"> ووكالات الأمم المتحدة ومنتديات الصناعة الأخرى التي ينبغي التعاون معها لضمان حلول متسقة قابلة للتشغيل البيني؟</w:t>
      </w:r>
    </w:p>
    <w:p w14:paraId="08F47473" w14:textId="77777777" w:rsidR="00C21016" w:rsidRDefault="00C21016" w:rsidP="003C5429">
      <w:pPr>
        <w:pStyle w:val="Heading1"/>
        <w:rPr>
          <w:rtl/>
          <w:lang w:val="ar-SA" w:eastAsia="zh-TW"/>
        </w:rPr>
      </w:pPr>
      <w:r>
        <w:rPr>
          <w:rtl/>
        </w:rPr>
        <w:t>3</w:t>
      </w:r>
      <w:r>
        <w:rPr>
          <w:rtl/>
        </w:rPr>
        <w:tab/>
        <w:t>المهام</w:t>
      </w:r>
    </w:p>
    <w:p w14:paraId="2524114F" w14:textId="77777777" w:rsidR="00C21016" w:rsidRDefault="00C21016" w:rsidP="00C21016">
      <w:pPr>
        <w:keepNext/>
        <w:keepLines/>
        <w:tabs>
          <w:tab w:val="left" w:pos="720"/>
        </w:tabs>
        <w:rPr>
          <w:rtl/>
          <w:lang w:val="ar-SA" w:eastAsia="zh-TW"/>
        </w:rPr>
      </w:pPr>
      <w:r>
        <w:rPr>
          <w:rtl/>
        </w:rPr>
        <w:t>تشمل المهام البنود التالية دون أن تقتصر عليها:</w:t>
      </w:r>
    </w:p>
    <w:p w14:paraId="73B8B9A5" w14:textId="77777777" w:rsidR="00C21016" w:rsidRDefault="00C21016" w:rsidP="00466950">
      <w:pPr>
        <w:pStyle w:val="enumlev1"/>
        <w:rPr>
          <w:rFonts w:eastAsia="Times New Roman"/>
          <w:rtl/>
          <w:lang w:val="ar-SA" w:eastAsia="zh-TW"/>
        </w:rPr>
      </w:pPr>
      <w:r>
        <w:t>–</w:t>
      </w:r>
      <w:r>
        <w:rPr>
          <w:rtl/>
        </w:rPr>
        <w:tab/>
        <w:t>إعداد توصيات وتقارير وإضافات ومبادئ توجيهية، حسب الاقتضاء، بشأن الزراعة الرقمية بما يغطي:</w:t>
      </w:r>
    </w:p>
    <w:p w14:paraId="10B6E6C1" w14:textId="77777777" w:rsidR="00C21016" w:rsidRPr="00F44E02" w:rsidRDefault="00485F33" w:rsidP="00F44E02">
      <w:pPr>
        <w:pStyle w:val="enumlev2"/>
        <w:rPr>
          <w:rtl/>
          <w:lang w:val="ar-SA" w:eastAsia="zh-TW"/>
        </w:rPr>
      </w:pPr>
      <w:r w:rsidRPr="00F44E02">
        <w:rPr>
          <w:rFonts w:eastAsia="SimSun"/>
          <w:position w:val="2"/>
          <w:lang w:eastAsia="en-US" w:bidi="ar-EG"/>
        </w:rPr>
        <w:sym w:font="Symbol" w:char="F0B7"/>
      </w:r>
      <w:r w:rsidR="00C21016" w:rsidRPr="00F44E02">
        <w:rPr>
          <w:rtl/>
        </w:rPr>
        <w:tab/>
        <w:t>حالات الاستعمال والممارسات الفضلى ونماذج النشر المتعلقة بالزراعة الرقمية وسلاسل القيمة ا</w:t>
      </w:r>
      <w:r w:rsidR="00491188">
        <w:rPr>
          <w:rtl/>
        </w:rPr>
        <w:t>لذكية والبيئات الزراعية الغامرة</w:t>
      </w:r>
      <w:r w:rsidR="00491188">
        <w:rPr>
          <w:rFonts w:hint="cs"/>
          <w:rtl/>
        </w:rPr>
        <w:t>؛</w:t>
      </w:r>
    </w:p>
    <w:p w14:paraId="53BF3EAC" w14:textId="77777777" w:rsidR="00C21016" w:rsidRPr="00466950" w:rsidRDefault="00485F33" w:rsidP="00F44E02">
      <w:pPr>
        <w:pStyle w:val="enumlev2"/>
        <w:rPr>
          <w:rtl/>
          <w:lang w:val="ar-SA" w:eastAsia="zh-TW"/>
        </w:rPr>
      </w:pPr>
      <w:r w:rsidRPr="00466950">
        <w:rPr>
          <w:rFonts w:eastAsia="SimSun"/>
          <w:position w:val="2"/>
          <w:lang w:eastAsia="en-US" w:bidi="ar-EG"/>
        </w:rPr>
        <w:sym w:font="Symbol" w:char="F0B7"/>
      </w:r>
      <w:r w:rsidR="00C21016" w:rsidRPr="00466950">
        <w:rPr>
          <w:rtl/>
        </w:rPr>
        <w:tab/>
        <w:t>الأطر ونماذج المعمارية لدمج التكنولوجيات الرقمية الناشئة مثل تكنولوجيات إنترنت الأشياء والذكاء الاصطناعي والروبوتات والتوائم الرقمية في الزراعة وسلاسل القيمة الذكية؛</w:t>
      </w:r>
    </w:p>
    <w:p w14:paraId="6AD42E0A" w14:textId="77777777" w:rsidR="00C21016" w:rsidRPr="00360DCF" w:rsidRDefault="00485F33" w:rsidP="00360DCF">
      <w:pPr>
        <w:pStyle w:val="enumlev2"/>
        <w:rPr>
          <w:rtl/>
          <w:lang w:val="ar-SA" w:eastAsia="zh-TW"/>
        </w:rPr>
      </w:pPr>
      <w:r w:rsidRPr="00360DCF">
        <w:rPr>
          <w:rFonts w:eastAsia="SimSun"/>
          <w:position w:val="2"/>
          <w:lang w:eastAsia="en-US" w:bidi="ar-EG"/>
        </w:rPr>
        <w:sym w:font="Symbol" w:char="F0B7"/>
      </w:r>
      <w:r w:rsidR="00C21016" w:rsidRPr="00360DCF">
        <w:rPr>
          <w:rtl/>
        </w:rPr>
        <w:tab/>
        <w:t>المتطلبات الوظيفية ونماذج البيانات ومواصفات السطوح البينية المتعلقة بأجهزة الزراعة الرقمية ومنصاتها</w:t>
      </w:r>
      <w:r w:rsidR="00360DCF">
        <w:rPr>
          <w:rFonts w:hint="cs"/>
          <w:rtl/>
        </w:rPr>
        <w:t> </w:t>
      </w:r>
      <w:r w:rsidR="00C21016" w:rsidRPr="00360DCF">
        <w:rPr>
          <w:rtl/>
        </w:rPr>
        <w:t>وتطبيقاتها؛</w:t>
      </w:r>
    </w:p>
    <w:p w14:paraId="68F72280" w14:textId="77777777" w:rsidR="00C21016" w:rsidRPr="00BE31DF" w:rsidRDefault="00485F33" w:rsidP="00F44E02">
      <w:pPr>
        <w:pStyle w:val="enumlev2"/>
        <w:rPr>
          <w:spacing w:val="-2"/>
          <w:rtl/>
          <w:lang w:val="ar-SA" w:eastAsia="zh-TW"/>
        </w:rPr>
      </w:pPr>
      <w:r w:rsidRPr="00BE31DF">
        <w:rPr>
          <w:rFonts w:eastAsia="SimSun"/>
          <w:spacing w:val="-2"/>
          <w:position w:val="2"/>
          <w:lang w:eastAsia="en-US" w:bidi="ar-EG"/>
        </w:rPr>
        <w:sym w:font="Symbol" w:char="F0B7"/>
      </w:r>
      <w:r w:rsidR="00C21016" w:rsidRPr="00BE31DF">
        <w:rPr>
          <w:spacing w:val="-2"/>
          <w:rtl/>
        </w:rPr>
        <w:tab/>
        <w:t>آليات تمكين التتبع من طرف إلى طرف والمراقبة في الوقت الفعلي وتبادل البيانات الآمن عبر سلاسل التوريد الزراعية والغذائية؛</w:t>
      </w:r>
    </w:p>
    <w:p w14:paraId="6BF385DA" w14:textId="77777777" w:rsidR="00C21016" w:rsidRDefault="00485F33" w:rsidP="00F44E02">
      <w:pPr>
        <w:pStyle w:val="enumlev2"/>
        <w:rPr>
          <w:rtl/>
          <w:lang w:val="ar-SA" w:eastAsia="zh-TW"/>
        </w:rPr>
      </w:pPr>
      <w:r w:rsidRPr="003F3F59">
        <w:rPr>
          <w:rFonts w:eastAsia="SimSun"/>
          <w:position w:val="2"/>
          <w:lang w:eastAsia="en-US" w:bidi="ar-EG"/>
        </w:rPr>
        <w:sym w:font="Symbol" w:char="F0B7"/>
      </w:r>
      <w:r w:rsidR="00C21016">
        <w:rPr>
          <w:rtl/>
        </w:rPr>
        <w:tab/>
        <w:t>منهجية إنشاء تمثيل معارف الزراعة الرقمية، واستكشاف تحليل البيانات الزراعية الضخمة والتنقيب فيها وتطبيقها الشامل؛</w:t>
      </w:r>
    </w:p>
    <w:p w14:paraId="7862F7F9" w14:textId="77777777" w:rsidR="00C21016" w:rsidRPr="00466950" w:rsidRDefault="00485F33" w:rsidP="00F44E02">
      <w:pPr>
        <w:pStyle w:val="enumlev2"/>
        <w:rPr>
          <w:rtl/>
          <w:lang w:val="ar-SA" w:eastAsia="zh-TW"/>
        </w:rPr>
      </w:pPr>
      <w:r w:rsidRPr="00466950">
        <w:rPr>
          <w:rFonts w:eastAsia="SimSun"/>
          <w:position w:val="2"/>
          <w:lang w:eastAsia="en-US" w:bidi="ar-EG"/>
        </w:rPr>
        <w:sym w:font="Symbol" w:char="F0B7"/>
      </w:r>
      <w:r w:rsidR="00C21016" w:rsidRPr="00466950">
        <w:rPr>
          <w:rtl/>
        </w:rPr>
        <w:tab/>
        <w:t>المتطلبات والبروتوكولات التقنية للعوالم الافتراضية والأنظمة الغامرة، بما في ذلك بيئات التدريب عن بُعد والتعاون الافتراضي والمحاكاة؛</w:t>
      </w:r>
    </w:p>
    <w:p w14:paraId="07D00E5C" w14:textId="77777777" w:rsidR="00C21016" w:rsidRDefault="00485F33" w:rsidP="00F44E02">
      <w:pPr>
        <w:pStyle w:val="enumlev2"/>
        <w:rPr>
          <w:rtl/>
          <w:lang w:val="ar-SA" w:eastAsia="zh-TW"/>
        </w:rPr>
      </w:pPr>
      <w:r w:rsidRPr="003F3F59">
        <w:rPr>
          <w:rFonts w:eastAsia="SimSun"/>
          <w:position w:val="2"/>
          <w:lang w:eastAsia="en-US" w:bidi="ar-EG"/>
        </w:rPr>
        <w:sym w:font="Symbol" w:char="F0B7"/>
      </w:r>
      <w:r w:rsidR="00C21016">
        <w:rPr>
          <w:rtl/>
        </w:rPr>
        <w:tab/>
        <w:t>متطلبات قابلية التشغيل البيني على مستوى النظام؛</w:t>
      </w:r>
    </w:p>
    <w:p w14:paraId="53C39F7C" w14:textId="77777777" w:rsidR="00C21016" w:rsidRDefault="00485F33" w:rsidP="00F44E02">
      <w:pPr>
        <w:pStyle w:val="enumlev2"/>
        <w:rPr>
          <w:rtl/>
          <w:lang w:val="ar-SA" w:eastAsia="zh-TW"/>
        </w:rPr>
      </w:pPr>
      <w:r w:rsidRPr="003F3F59">
        <w:rPr>
          <w:rFonts w:eastAsia="SimSun"/>
          <w:position w:val="2"/>
          <w:lang w:eastAsia="en-US" w:bidi="ar-EG"/>
        </w:rPr>
        <w:sym w:font="Symbol" w:char="F0B7"/>
      </w:r>
      <w:r w:rsidR="00C21016">
        <w:rPr>
          <w:rtl/>
        </w:rPr>
        <w:tab/>
        <w:t>تقييم تكاليف وفوائد الزراعة الرقمية؛</w:t>
      </w:r>
    </w:p>
    <w:p w14:paraId="12CA3D81" w14:textId="77777777" w:rsidR="00C21016" w:rsidRPr="00466950" w:rsidRDefault="00485F33" w:rsidP="00F44E02">
      <w:pPr>
        <w:pStyle w:val="enumlev2"/>
        <w:rPr>
          <w:rtl/>
          <w:lang w:val="ar-SA" w:eastAsia="zh-TW"/>
        </w:rPr>
      </w:pPr>
      <w:r w:rsidRPr="00466950">
        <w:rPr>
          <w:rFonts w:eastAsia="SimSun"/>
          <w:position w:val="2"/>
          <w:lang w:eastAsia="en-US" w:bidi="ar-EG"/>
        </w:rPr>
        <w:sym w:font="Symbol" w:char="F0B7"/>
      </w:r>
      <w:r w:rsidR="00C21016" w:rsidRPr="00466950">
        <w:rPr>
          <w:rtl/>
        </w:rPr>
        <w:tab/>
        <w:t>التعاون والتنسيق مع الهيئات وكيانات الأمم المتحدة والمنتديات والاتحادات الأخرى المعنية بالتقييس، بما يسهم في الجهود العالمية الرامية إلى تحديث البنية التحتية الرقمية وزيادة القدرة على الصمود.</w:t>
      </w:r>
    </w:p>
    <w:p w14:paraId="73A62F17" w14:textId="77777777" w:rsidR="00C21016" w:rsidRDefault="00C21016" w:rsidP="00466950">
      <w:pPr>
        <w:pStyle w:val="enumlev1"/>
        <w:rPr>
          <w:rtl/>
          <w:lang w:val="ar-SA" w:eastAsia="zh-TW"/>
        </w:rPr>
      </w:pPr>
      <w:r>
        <w:t>–</w:t>
      </w:r>
      <w:r>
        <w:rPr>
          <w:rtl/>
        </w:rPr>
        <w:tab/>
        <w:t>تحديث وتحسين التوصيات والنصوص غير المعيارية المندرجة ضمن مسؤولية هذه المسألة، بما في ذلك ما يلي:</w:t>
      </w:r>
    </w:p>
    <w:p w14:paraId="49696C28" w14:textId="77777777" w:rsidR="00C21016" w:rsidRDefault="00C21016" w:rsidP="00F44E02">
      <w:pPr>
        <w:pStyle w:val="enumlev2"/>
        <w:rPr>
          <w:rFonts w:eastAsia="Times New Roman"/>
          <w:rtl/>
          <w:lang w:val="ar-SA" w:eastAsia="zh-TW"/>
        </w:rPr>
      </w:pPr>
      <w:r w:rsidRPr="001A4203">
        <w:rPr>
          <w:lang w:val="fr-CH"/>
        </w:rPr>
        <w:t>‒</w:t>
      </w:r>
      <w:r>
        <w:rPr>
          <w:rtl/>
        </w:rPr>
        <w:tab/>
        <w:t xml:space="preserve">التوصيتان </w:t>
      </w:r>
      <w:r w:rsidRPr="001A4203">
        <w:rPr>
          <w:lang w:val="fr-CH"/>
        </w:rPr>
        <w:t>ITU-T Y.4218</w:t>
      </w:r>
      <w:r>
        <w:rPr>
          <w:rtl/>
        </w:rPr>
        <w:t xml:space="preserve"> و</w:t>
      </w:r>
      <w:r w:rsidRPr="001A4203">
        <w:rPr>
          <w:lang w:val="fr-CH"/>
        </w:rPr>
        <w:t>ITU-T Y.4482</w:t>
      </w:r>
    </w:p>
    <w:p w14:paraId="6C671C76" w14:textId="77777777" w:rsidR="00C21016" w:rsidRDefault="00C21016" w:rsidP="00F44E02">
      <w:pPr>
        <w:pStyle w:val="enumlev2"/>
        <w:rPr>
          <w:rtl/>
          <w:lang w:val="ar-SA" w:eastAsia="zh-TW"/>
        </w:rPr>
      </w:pPr>
      <w:r>
        <w:t>‒</w:t>
      </w:r>
      <w:r>
        <w:rPr>
          <w:rtl/>
        </w:rPr>
        <w:tab/>
        <w:t xml:space="preserve">الإضافات 76 و82 و83 و85 لتوصيات السلسة </w:t>
      </w:r>
      <w:r>
        <w:t>Y</w:t>
      </w:r>
      <w:r>
        <w:rPr>
          <w:rtl/>
        </w:rPr>
        <w:t xml:space="preserve"> الصادرة عن قطاع تقييس الاتصالات</w:t>
      </w:r>
    </w:p>
    <w:p w14:paraId="4ABBC437" w14:textId="77777777" w:rsidR="00C21016" w:rsidRDefault="00C21016" w:rsidP="00F44E02">
      <w:pPr>
        <w:pStyle w:val="enumlev2"/>
        <w:rPr>
          <w:rtl/>
          <w:lang w:val="ar-SA" w:eastAsia="zh-TW"/>
        </w:rPr>
      </w:pPr>
      <w:r>
        <w:t>‒</w:t>
      </w:r>
      <w:r>
        <w:rPr>
          <w:rtl/>
        </w:rPr>
        <w:tab/>
        <w:t xml:space="preserve">التقرير التقني </w:t>
      </w:r>
      <w:r>
        <w:t xml:space="preserve">ITU-T </w:t>
      </w:r>
      <w:proofErr w:type="spellStart"/>
      <w:r>
        <w:t>YSTR.DataModelling</w:t>
      </w:r>
      <w:proofErr w:type="spellEnd"/>
      <w:r>
        <w:t>-Agri</w:t>
      </w:r>
    </w:p>
    <w:p w14:paraId="20635ACF" w14:textId="77777777" w:rsidR="00C21016" w:rsidRDefault="00C21016" w:rsidP="00466950">
      <w:pPr>
        <w:pStyle w:val="enumlev1"/>
        <w:rPr>
          <w:rtl/>
          <w:lang w:val="ar-SA" w:eastAsia="zh-TW"/>
        </w:rPr>
      </w:pPr>
      <w:r>
        <w:t>–</w:t>
      </w:r>
      <w:r>
        <w:rPr>
          <w:rtl/>
        </w:rPr>
        <w:tab/>
        <w:t xml:space="preserve">إقامة أواصر التعاون اللازم بشأن الأنشطة المشتركة في هذا المجال داخل الاتحاد وبين قطاع تقييس الاتصالات بالاتحاد ومنظمات وضع المعايير </w:t>
      </w:r>
      <w:r>
        <w:t>(SDO)</w:t>
      </w:r>
      <w:r>
        <w:rPr>
          <w:rtl/>
        </w:rPr>
        <w:t xml:space="preserve"> وكيانات الأمم المتحدة والاتحادات والمنتديات المعنية.</w:t>
      </w:r>
    </w:p>
    <w:p w14:paraId="1E9F6F19" w14:textId="77777777" w:rsidR="00C21016" w:rsidRDefault="00C21016" w:rsidP="00466950">
      <w:pPr>
        <w:pStyle w:val="enumlev1"/>
        <w:rPr>
          <w:rtl/>
          <w:lang w:val="ar-SA" w:eastAsia="zh-TW"/>
        </w:rPr>
      </w:pPr>
      <w:r>
        <w:t>–</w:t>
      </w:r>
      <w:r>
        <w:rPr>
          <w:rtl/>
        </w:rPr>
        <w:tab/>
        <w:t>دراسة موضوعات أخرى ذات صلة حسب الاقتضاء، بناءً على المساهمات الواردة.</w:t>
      </w:r>
    </w:p>
    <w:p w14:paraId="6575D8E3" w14:textId="77777777" w:rsidR="00C21016" w:rsidRDefault="00C21016" w:rsidP="00466950">
      <w:pPr>
        <w:pStyle w:val="enumlev1"/>
        <w:rPr>
          <w:rtl/>
          <w:lang w:val="ar-SA" w:eastAsia="zh-TW"/>
        </w:rPr>
      </w:pPr>
      <w:r>
        <w:t>–</w:t>
      </w:r>
      <w:r>
        <w:rPr>
          <w:rtl/>
        </w:rPr>
        <w:tab/>
        <w:t>يجب مواءمة الأنشطة المضطلع بها في مجال الذكاء الاصطناعي مع الأحكام المعمول بها، بما في ذلك القرار 214.</w:t>
      </w:r>
    </w:p>
    <w:p w14:paraId="750E6F41" w14:textId="77777777" w:rsidR="00C21016" w:rsidRDefault="00C21016" w:rsidP="00BE31DF">
      <w:pPr>
        <w:tabs>
          <w:tab w:val="left" w:pos="720"/>
        </w:tabs>
        <w:rPr>
          <w:color w:val="000000"/>
          <w:rtl/>
          <w:lang w:val="ar-SA" w:eastAsia="zh-TW"/>
        </w:rPr>
      </w:pPr>
      <w:r>
        <w:rPr>
          <w:rtl/>
        </w:rPr>
        <w:t xml:space="preserve">وترد أحدث المعلومات عن حالة العمل في إطار هذه المسألة في برنامج عمل لجنة الدراسات 20 </w:t>
      </w:r>
      <w:r w:rsidR="00964D2E">
        <w:tab/>
      </w:r>
      <w:r w:rsidR="00964D2E">
        <w:br/>
      </w:r>
      <w:r>
        <w:rPr>
          <w:rtl/>
        </w:rPr>
        <w:t>(</w:t>
      </w:r>
      <w:hyperlink r:id="rId10" w:history="1">
        <w:r w:rsidR="00BE31DF" w:rsidRPr="00BE31DF">
          <w:rPr>
            <w:color w:val="0000FF"/>
            <w:u w:val="single"/>
            <w:lang w:eastAsia="ja-JP"/>
          </w:rPr>
          <w:t>https://www.itu.int/ITU-T/workprog/wp_search.aspx?sp=18&amp;q=11/20</w:t>
        </w:r>
      </w:hyperlink>
      <w:r w:rsidR="00491188" w:rsidRPr="00491188">
        <w:rPr>
          <w:rFonts w:hint="cs"/>
          <w:rtl/>
        </w:rPr>
        <w:t>)</w:t>
      </w:r>
      <w:r>
        <w:rPr>
          <w:rtl/>
        </w:rPr>
        <w:t>.</w:t>
      </w:r>
    </w:p>
    <w:p w14:paraId="45CEF4F1" w14:textId="77777777" w:rsidR="00C21016" w:rsidRDefault="00C21016" w:rsidP="0055650E">
      <w:pPr>
        <w:pStyle w:val="Heading1"/>
        <w:rPr>
          <w:rFonts w:eastAsia="Times New Roman"/>
          <w:rtl/>
          <w:lang w:val="ar-SA" w:eastAsia="zh-TW"/>
        </w:rPr>
      </w:pPr>
      <w:r>
        <w:rPr>
          <w:rtl/>
        </w:rPr>
        <w:lastRenderedPageBreak/>
        <w:t>4</w:t>
      </w:r>
      <w:r>
        <w:rPr>
          <w:rtl/>
        </w:rPr>
        <w:tab/>
        <w:t>الارتباطات</w:t>
      </w:r>
    </w:p>
    <w:p w14:paraId="2F97A3C8" w14:textId="77777777" w:rsidR="00C21016" w:rsidRDefault="00C21016" w:rsidP="0055650E">
      <w:pPr>
        <w:pStyle w:val="Headingb"/>
        <w:keepLines/>
        <w:rPr>
          <w:rtl/>
          <w:lang w:val="ar-SA" w:eastAsia="zh-TW"/>
        </w:rPr>
      </w:pPr>
      <w:r>
        <w:rPr>
          <w:rtl/>
        </w:rPr>
        <w:t>التوصيات:</w:t>
      </w:r>
    </w:p>
    <w:p w14:paraId="67730E83" w14:textId="77777777" w:rsidR="00C21016" w:rsidRDefault="00C21016" w:rsidP="0055650E">
      <w:pPr>
        <w:pStyle w:val="enumlev1"/>
        <w:keepNext/>
        <w:keepLines/>
        <w:rPr>
          <w:rFonts w:eastAsia="Times New Roman"/>
          <w:rtl/>
          <w:lang w:val="ar-SA" w:eastAsia="zh-TW"/>
        </w:rPr>
      </w:pPr>
      <w:r>
        <w:t>–</w:t>
      </w:r>
      <w:r>
        <w:rPr>
          <w:rtl/>
        </w:rPr>
        <w:tab/>
        <w:t xml:space="preserve">سلسلة التوصيات </w:t>
      </w:r>
      <w:r>
        <w:t>Y.4000</w:t>
      </w:r>
      <w:r>
        <w:rPr>
          <w:rtl/>
        </w:rPr>
        <w:t xml:space="preserve"> بما يشمل التوصيتين </w:t>
      </w:r>
      <w:r>
        <w:t>Y.4218</w:t>
      </w:r>
      <w:r>
        <w:rPr>
          <w:rtl/>
        </w:rPr>
        <w:t xml:space="preserve"> و</w:t>
      </w:r>
      <w:r>
        <w:t>Y.4482</w:t>
      </w:r>
    </w:p>
    <w:p w14:paraId="4400B625" w14:textId="77777777" w:rsidR="00C21016" w:rsidRDefault="00C21016" w:rsidP="0055650E">
      <w:pPr>
        <w:pStyle w:val="Headingb"/>
        <w:keepLines/>
        <w:rPr>
          <w:rtl/>
          <w:lang w:val="ar-SA" w:eastAsia="zh-TW"/>
        </w:rPr>
      </w:pPr>
      <w:r>
        <w:rPr>
          <w:rtl/>
        </w:rPr>
        <w:t>المسائل:</w:t>
      </w:r>
    </w:p>
    <w:p w14:paraId="6A587B43" w14:textId="77777777" w:rsidR="00C21016" w:rsidRDefault="00C21016" w:rsidP="0055650E">
      <w:pPr>
        <w:pStyle w:val="enumlev1"/>
        <w:keepNext/>
        <w:keepLines/>
        <w:rPr>
          <w:rtl/>
          <w:lang w:val="ar-SA" w:eastAsia="zh-TW"/>
        </w:rPr>
      </w:pPr>
      <w:r>
        <w:t>–</w:t>
      </w:r>
      <w:r>
        <w:rPr>
          <w:rtl/>
        </w:rPr>
        <w:tab/>
        <w:t>جميع مسائل لجنة الدراسات 20 بقطاع تقييس الاتصالات</w:t>
      </w:r>
    </w:p>
    <w:p w14:paraId="5F7DA0AA" w14:textId="77777777" w:rsidR="00C21016" w:rsidRDefault="00C21016" w:rsidP="00964D2E">
      <w:pPr>
        <w:pStyle w:val="Headingb"/>
        <w:rPr>
          <w:rtl/>
          <w:lang w:val="ar-SA" w:eastAsia="zh-TW"/>
        </w:rPr>
      </w:pPr>
      <w:r>
        <w:rPr>
          <w:rtl/>
        </w:rPr>
        <w:t>لجان الدراسات:</w:t>
      </w:r>
    </w:p>
    <w:p w14:paraId="7189861A" w14:textId="77777777" w:rsidR="00C21016" w:rsidRDefault="00C21016" w:rsidP="00842918">
      <w:pPr>
        <w:pStyle w:val="enumlev1"/>
        <w:rPr>
          <w:rtl/>
          <w:lang w:val="ar-SA" w:eastAsia="zh-TW"/>
        </w:rPr>
      </w:pPr>
      <w:r>
        <w:t>–</w:t>
      </w:r>
      <w:r>
        <w:rPr>
          <w:rtl/>
        </w:rPr>
        <w:tab/>
        <w:t>لجنة الدراسات 5 بقطاع تقييس الاتصالات</w:t>
      </w:r>
    </w:p>
    <w:p w14:paraId="43EA864F" w14:textId="77777777" w:rsidR="00C21016" w:rsidRDefault="00C21016" w:rsidP="00842918">
      <w:pPr>
        <w:pStyle w:val="enumlev1"/>
        <w:rPr>
          <w:rtl/>
          <w:lang w:val="ar-SA" w:eastAsia="zh-TW"/>
        </w:rPr>
      </w:pPr>
      <w:r>
        <w:t>–</w:t>
      </w:r>
      <w:r>
        <w:rPr>
          <w:rtl/>
        </w:rPr>
        <w:tab/>
        <w:t>لجنة الدراسات 11 بقطاع تقييس الاتصالات</w:t>
      </w:r>
    </w:p>
    <w:p w14:paraId="172F7013" w14:textId="77777777" w:rsidR="00C21016" w:rsidRDefault="00C21016" w:rsidP="00842918">
      <w:pPr>
        <w:pStyle w:val="enumlev1"/>
        <w:rPr>
          <w:rtl/>
          <w:lang w:val="ar-SA" w:eastAsia="zh-TW"/>
        </w:rPr>
      </w:pPr>
      <w:r>
        <w:t>–</w:t>
      </w:r>
      <w:r>
        <w:rPr>
          <w:rtl/>
        </w:rPr>
        <w:tab/>
        <w:t>لجنة الدراسات 13 بقطاع تقييس الاتصالات</w:t>
      </w:r>
    </w:p>
    <w:p w14:paraId="11EB478C" w14:textId="77777777" w:rsidR="00C21016" w:rsidRDefault="00C21016" w:rsidP="00842918">
      <w:pPr>
        <w:pStyle w:val="enumlev1"/>
        <w:rPr>
          <w:rtl/>
          <w:lang w:val="ar-SA" w:eastAsia="zh-TW"/>
        </w:rPr>
      </w:pPr>
      <w:r>
        <w:t>–</w:t>
      </w:r>
      <w:r>
        <w:rPr>
          <w:rtl/>
        </w:rPr>
        <w:tab/>
        <w:t>لجنة الدراسات 17 بقطاع تقييس الاتصالات</w:t>
      </w:r>
    </w:p>
    <w:p w14:paraId="0A2473A5" w14:textId="1324402B" w:rsidR="00C21016" w:rsidRDefault="00C21016" w:rsidP="00842918">
      <w:pPr>
        <w:pStyle w:val="enumlev1"/>
        <w:rPr>
          <w:rtl/>
          <w:lang w:val="ar-SA" w:eastAsia="zh-TW"/>
        </w:rPr>
      </w:pPr>
      <w:r>
        <w:t>–</w:t>
      </w:r>
      <w:r>
        <w:rPr>
          <w:rtl/>
        </w:rPr>
        <w:tab/>
        <w:t xml:space="preserve">لجنة الدراسات 21 </w:t>
      </w:r>
      <w:r w:rsidR="000566BC">
        <w:rPr>
          <w:rFonts w:hint="cs"/>
          <w:rtl/>
          <w:lang w:bidi="ar-EG"/>
        </w:rPr>
        <w:t>ب</w:t>
      </w:r>
      <w:r>
        <w:rPr>
          <w:rtl/>
        </w:rPr>
        <w:t>قطاع تقييس الاتصالات</w:t>
      </w:r>
    </w:p>
    <w:p w14:paraId="337533BE" w14:textId="77777777" w:rsidR="00C21016" w:rsidRDefault="00C21016" w:rsidP="00964D2E">
      <w:pPr>
        <w:pStyle w:val="Headingb"/>
        <w:rPr>
          <w:rtl/>
          <w:lang w:val="ar-SA" w:eastAsia="zh-TW"/>
        </w:rPr>
      </w:pPr>
      <w:r>
        <w:rPr>
          <w:rtl/>
        </w:rPr>
        <w:t>هيئات أخرى:</w:t>
      </w:r>
    </w:p>
    <w:p w14:paraId="324EDFB5" w14:textId="77777777" w:rsidR="00C21016" w:rsidRDefault="00C21016" w:rsidP="00842918">
      <w:pPr>
        <w:pStyle w:val="enumlev1"/>
        <w:rPr>
          <w:rtl/>
          <w:lang w:val="ar-SA" w:eastAsia="zh-TW"/>
        </w:rPr>
      </w:pPr>
      <w:r>
        <w:t>–</w:t>
      </w:r>
      <w:r>
        <w:rPr>
          <w:rtl/>
        </w:rPr>
        <w:tab/>
        <w:t xml:space="preserve">اللجنة التقنية 23 التابعة للمنظمة الدولية للتوحيد القياسي </w:t>
      </w:r>
      <w:r>
        <w:t>(ISO/TC 23)</w:t>
      </w:r>
    </w:p>
    <w:p w14:paraId="16E8FADF" w14:textId="77777777" w:rsidR="00C21016" w:rsidRDefault="00C21016" w:rsidP="00842918">
      <w:pPr>
        <w:pStyle w:val="enumlev1"/>
        <w:rPr>
          <w:rtl/>
          <w:lang w:val="ar-SA" w:eastAsia="zh-TW"/>
        </w:rPr>
      </w:pPr>
      <w:r>
        <w:t>–</w:t>
      </w:r>
      <w:r>
        <w:rPr>
          <w:rtl/>
        </w:rPr>
        <w:tab/>
        <w:t xml:space="preserve">اللجنة التقنية 34 التابعة للمنظمة الدولية للتوحيد القياسي </w:t>
      </w:r>
      <w:r>
        <w:t>(ISO/TC 34)</w:t>
      </w:r>
    </w:p>
    <w:p w14:paraId="02ED07DE" w14:textId="77777777" w:rsidR="00C21016" w:rsidRDefault="00C21016" w:rsidP="00842918">
      <w:pPr>
        <w:pStyle w:val="enumlev1"/>
        <w:rPr>
          <w:rtl/>
          <w:lang w:val="ar-SA" w:eastAsia="zh-TW"/>
        </w:rPr>
      </w:pPr>
      <w:r>
        <w:t>–</w:t>
      </w:r>
      <w:r>
        <w:rPr>
          <w:rtl/>
        </w:rPr>
        <w:tab/>
        <w:t xml:space="preserve">اللجنة التقنية 347 التابعة للمنظمة الدولية للتوحيد القياسي </w:t>
      </w:r>
      <w:r>
        <w:t>(ISO/TC 347)</w:t>
      </w:r>
    </w:p>
    <w:p w14:paraId="5A5394BB" w14:textId="5AAD77BE" w:rsidR="00C21016" w:rsidRDefault="00C21016" w:rsidP="00842918">
      <w:pPr>
        <w:pStyle w:val="enumlev1"/>
        <w:rPr>
          <w:rtl/>
          <w:lang w:val="ar-SA" w:eastAsia="zh-TW"/>
        </w:rPr>
      </w:pPr>
      <w:r>
        <w:t>–</w:t>
      </w:r>
      <w:r>
        <w:rPr>
          <w:rtl/>
        </w:rPr>
        <w:tab/>
        <w:t xml:space="preserve">اللجنة الفرعية 42 التابعة للجنة التقنية 1 المشتركة بين </w:t>
      </w:r>
      <w:r w:rsidR="000566BC">
        <w:rPr>
          <w:rtl/>
        </w:rPr>
        <w:t xml:space="preserve">المنظمة الدولية للتوحيد القياسي واللجنة الكهرتقنية الدولية </w:t>
      </w:r>
      <w:r>
        <w:t>(ISO/IEC JTC1 SC42)</w:t>
      </w:r>
    </w:p>
    <w:p w14:paraId="537DB5E8" w14:textId="77777777" w:rsidR="00C21016" w:rsidRDefault="00C21016" w:rsidP="00842918">
      <w:pPr>
        <w:pStyle w:val="enumlev1"/>
        <w:rPr>
          <w:rtl/>
          <w:lang w:val="ar-SA" w:eastAsia="zh-TW"/>
        </w:rPr>
      </w:pPr>
      <w:r>
        <w:t>–</w:t>
      </w:r>
      <w:r>
        <w:rPr>
          <w:rtl/>
        </w:rPr>
        <w:tab/>
        <w:t xml:space="preserve">اللجنة الفرعية 41 التابعة للجنة التقنية 1 المشتركة بين المنظمة الدولية للتوحيد القياسي واللجنة الكهرتقنية الدولية </w:t>
      </w:r>
      <w:r>
        <w:t>(ISO/IEC JTC1 SC41)</w:t>
      </w:r>
    </w:p>
    <w:p w14:paraId="18B86C4F" w14:textId="77777777" w:rsidR="00C21016" w:rsidRDefault="00C21016" w:rsidP="00842918">
      <w:pPr>
        <w:pStyle w:val="enumlev1"/>
        <w:rPr>
          <w:rtl/>
          <w:lang w:val="ar-SA" w:eastAsia="zh-TW"/>
        </w:rPr>
      </w:pPr>
      <w:r>
        <w:t>–</w:t>
      </w:r>
      <w:r>
        <w:rPr>
          <w:rtl/>
        </w:rPr>
        <w:tab/>
        <w:t>نشاط التنسيق المشترك بشأن إنترنت الأشياء والتوائم الرقمية والمدن والمجتمعات الذكية المستدامة</w:t>
      </w:r>
    </w:p>
    <w:p w14:paraId="761FE32B" w14:textId="77777777" w:rsidR="00C21016" w:rsidRDefault="00C21016" w:rsidP="00842918">
      <w:pPr>
        <w:pStyle w:val="enumlev1"/>
        <w:rPr>
          <w:rtl/>
          <w:lang w:val="ar-SA" w:eastAsia="zh-TW"/>
        </w:rPr>
      </w:pPr>
      <w:r>
        <w:t>–</w:t>
      </w:r>
      <w:r>
        <w:rPr>
          <w:rtl/>
        </w:rPr>
        <w:tab/>
        <w:t xml:space="preserve">نشاط تنسيق مشترك يعنى بالميتافيرس </w:t>
      </w:r>
      <w:r>
        <w:t>(JCA-MV)</w:t>
      </w:r>
    </w:p>
    <w:p w14:paraId="405AEBF8" w14:textId="77777777" w:rsidR="00C21016" w:rsidRDefault="00C21016" w:rsidP="00842918">
      <w:pPr>
        <w:pStyle w:val="enumlev1"/>
        <w:rPr>
          <w:lang w:val="ar-SA" w:eastAsia="zh-TW" w:bidi="ar-EG"/>
        </w:rPr>
      </w:pPr>
      <w:r>
        <w:t>–</w:t>
      </w:r>
      <w:r>
        <w:rPr>
          <w:rtl/>
        </w:rPr>
        <w:tab/>
        <w:t>منظمة الأغذية والزراعة للأمم المتحدة</w:t>
      </w:r>
      <w:r w:rsidR="00AF4B0D">
        <w:rPr>
          <w:rFonts w:hint="cs"/>
          <w:rtl/>
          <w:lang w:bidi="ar-EG"/>
        </w:rPr>
        <w:t xml:space="preserve"> </w:t>
      </w:r>
      <w:r w:rsidR="00AF4B0D">
        <w:rPr>
          <w:lang w:bidi="ar-EG"/>
        </w:rPr>
        <w:t>(</w:t>
      </w:r>
      <w:r w:rsidR="00AF4B0D" w:rsidRPr="00AF4B0D">
        <w:rPr>
          <w:lang w:eastAsia="ja-JP"/>
        </w:rPr>
        <w:t>FAO</w:t>
      </w:r>
      <w:r w:rsidR="00AF4B0D">
        <w:rPr>
          <w:lang w:bidi="ar-EG"/>
        </w:rPr>
        <w:t>)</w:t>
      </w:r>
    </w:p>
    <w:p w14:paraId="7B1B72F7" w14:textId="77777777" w:rsidR="00C21016" w:rsidRDefault="00C21016" w:rsidP="00842918">
      <w:pPr>
        <w:pStyle w:val="enumlev1"/>
        <w:rPr>
          <w:lang w:val="ar-SA" w:eastAsia="zh-TW" w:bidi="ar-EG"/>
        </w:rPr>
      </w:pPr>
      <w:r>
        <w:t>–</w:t>
      </w:r>
      <w:r>
        <w:rPr>
          <w:rtl/>
        </w:rPr>
        <w:tab/>
        <w:t>برنامج الأغذية العالمي</w:t>
      </w:r>
      <w:r w:rsidR="00AF4B0D">
        <w:rPr>
          <w:rFonts w:hint="cs"/>
          <w:rtl/>
          <w:lang w:bidi="ar-EG"/>
        </w:rPr>
        <w:t xml:space="preserve"> </w:t>
      </w:r>
      <w:r w:rsidR="00AF4B0D">
        <w:rPr>
          <w:lang w:bidi="ar-EG"/>
        </w:rPr>
        <w:t>(</w:t>
      </w:r>
      <w:r w:rsidR="00AF4B0D" w:rsidRPr="00AF4B0D">
        <w:rPr>
          <w:lang w:eastAsia="ja-JP"/>
        </w:rPr>
        <w:t>WFP</w:t>
      </w:r>
      <w:r w:rsidR="00AF4B0D">
        <w:rPr>
          <w:lang w:bidi="ar-EG"/>
        </w:rPr>
        <w:t>)</w:t>
      </w:r>
    </w:p>
    <w:p w14:paraId="671660D1" w14:textId="77777777" w:rsidR="00C21016" w:rsidRDefault="00C21016" w:rsidP="00842918">
      <w:pPr>
        <w:pStyle w:val="enumlev1"/>
        <w:rPr>
          <w:lang w:val="ar-SA" w:eastAsia="zh-TW" w:bidi="ar-EG"/>
        </w:rPr>
      </w:pPr>
      <w:r>
        <w:t>–</w:t>
      </w:r>
      <w:r>
        <w:rPr>
          <w:rtl/>
        </w:rPr>
        <w:tab/>
        <w:t>الصندوق الدولي للتنمية الزراعية</w:t>
      </w:r>
      <w:r w:rsidR="00AF4B0D">
        <w:rPr>
          <w:rFonts w:hint="cs"/>
          <w:rtl/>
          <w:lang w:bidi="ar-EG"/>
        </w:rPr>
        <w:t xml:space="preserve"> </w:t>
      </w:r>
      <w:r w:rsidR="00AF4B0D">
        <w:rPr>
          <w:lang w:bidi="ar-EG"/>
        </w:rPr>
        <w:t>(</w:t>
      </w:r>
      <w:r w:rsidR="00AF4B0D" w:rsidRPr="00AF4B0D">
        <w:rPr>
          <w:lang w:eastAsia="ja-JP"/>
        </w:rPr>
        <w:t>IFAD</w:t>
      </w:r>
      <w:r w:rsidR="00AF4B0D">
        <w:rPr>
          <w:lang w:bidi="ar-EG"/>
        </w:rPr>
        <w:t>)</w:t>
      </w:r>
    </w:p>
    <w:p w14:paraId="608D3220" w14:textId="77777777" w:rsidR="00C21016" w:rsidRDefault="00C21016" w:rsidP="00964D2E">
      <w:pPr>
        <w:pStyle w:val="Headingb"/>
        <w:rPr>
          <w:rtl/>
          <w:lang w:val="ar-SA" w:eastAsia="zh-TW"/>
        </w:rPr>
      </w:pPr>
      <w:r>
        <w:rPr>
          <w:rtl/>
        </w:rPr>
        <w:t>خطوط عمل القمة العالمية لمجتمع المعلومات:</w:t>
      </w:r>
    </w:p>
    <w:p w14:paraId="23C8EDAA" w14:textId="77777777" w:rsidR="00C21016" w:rsidRDefault="00C21016" w:rsidP="00842918">
      <w:pPr>
        <w:pStyle w:val="enumlev1"/>
        <w:rPr>
          <w:rtl/>
          <w:lang w:val="ar-SA" w:eastAsia="zh-TW"/>
        </w:rPr>
      </w:pPr>
      <w:r>
        <w:t>–</w:t>
      </w:r>
      <w:r>
        <w:rPr>
          <w:rtl/>
        </w:rPr>
        <w:tab/>
        <w:t>جيم2 وجيم3 وجيم6 وجيم7 وجيم11</w:t>
      </w:r>
    </w:p>
    <w:p w14:paraId="6E5245C8" w14:textId="77777777" w:rsidR="00C21016" w:rsidRDefault="00C21016" w:rsidP="00964D2E">
      <w:pPr>
        <w:pStyle w:val="Headingb"/>
        <w:rPr>
          <w:rtl/>
          <w:lang w:val="ar-SA" w:eastAsia="zh-TW"/>
        </w:rPr>
      </w:pPr>
      <w:r>
        <w:rPr>
          <w:rtl/>
        </w:rPr>
        <w:t>أهداف التنمية المستدامة:</w:t>
      </w:r>
    </w:p>
    <w:p w14:paraId="654BFE3E" w14:textId="77777777" w:rsidR="00C21016" w:rsidRDefault="00C21016" w:rsidP="00842918">
      <w:pPr>
        <w:pStyle w:val="enumlev1"/>
        <w:rPr>
          <w:rtl/>
          <w:lang w:val="ar-SA" w:eastAsia="zh-TW"/>
        </w:rPr>
      </w:pPr>
      <w:r>
        <w:t>–</w:t>
      </w:r>
      <w:r>
        <w:rPr>
          <w:rtl/>
        </w:rPr>
        <w:tab/>
        <w:t>2، 9، 11، 13، 14، 15</w:t>
      </w:r>
    </w:p>
    <w:p w14:paraId="2F6582A4" w14:textId="77777777" w:rsidR="00DD6915" w:rsidRDefault="00DD6915" w:rsidP="00DD6915">
      <w:pPr>
        <w:spacing w:before="600"/>
        <w:jc w:val="center"/>
        <w:rPr>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DD6915" w:rsidSect="006C3242">
      <w:headerReference w:type="default" r:id="rId11"/>
      <w:footerReference w:type="first" r:id="rId12"/>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B751F" w14:textId="77777777" w:rsidR="00FD1BC8" w:rsidRDefault="00FD1BC8" w:rsidP="006C3242">
      <w:pPr>
        <w:spacing w:before="0" w:line="240" w:lineRule="auto"/>
      </w:pPr>
      <w:r>
        <w:separator/>
      </w:r>
    </w:p>
  </w:endnote>
  <w:endnote w:type="continuationSeparator" w:id="0">
    <w:p w14:paraId="78B8461E" w14:textId="77777777" w:rsidR="00FD1BC8" w:rsidRDefault="00FD1BC8"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00"/>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plified Arabic">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03DD2"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D791D" w14:textId="77777777" w:rsidR="00FD1BC8" w:rsidRDefault="00FD1BC8" w:rsidP="006C3242">
      <w:pPr>
        <w:spacing w:before="0" w:line="240" w:lineRule="auto"/>
      </w:pPr>
      <w:r>
        <w:separator/>
      </w:r>
    </w:p>
  </w:footnote>
  <w:footnote w:type="continuationSeparator" w:id="0">
    <w:p w14:paraId="41FE66CA" w14:textId="77777777" w:rsidR="00FD1BC8" w:rsidRDefault="00FD1BC8"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834AA" w14:textId="77777777" w:rsidR="00447F32" w:rsidRPr="00596808" w:rsidRDefault="00596808" w:rsidP="00325254">
    <w:pPr>
      <w:pStyle w:val="Header"/>
      <w:spacing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00AF4B0D">
      <w:rPr>
        <w:noProof/>
        <w:sz w:val="20"/>
        <w:szCs w:val="20"/>
        <w:rtl/>
      </w:rPr>
      <w:t>5</w:t>
    </w:r>
    <w:r w:rsidRPr="00596808">
      <w:rPr>
        <w:sz w:val="20"/>
        <w:szCs w:val="20"/>
      </w:rPr>
      <w:fldChar w:fldCharType="end"/>
    </w:r>
    <w:r w:rsidRPr="00596808">
      <w:rPr>
        <w:sz w:val="20"/>
        <w:szCs w:val="20"/>
      </w:rPr>
      <w:t xml:space="preserve"> -</w:t>
    </w:r>
    <w:r w:rsidR="00E84438">
      <w:rPr>
        <w:sz w:val="20"/>
        <w:szCs w:val="20"/>
        <w:rtl/>
      </w:rPr>
      <w:br/>
    </w:r>
    <w:r w:rsidR="007139D8">
      <w:rPr>
        <w:sz w:val="20"/>
        <w:szCs w:val="20"/>
        <w:lang w:bidi="ar-EG"/>
      </w:rPr>
      <w:t xml:space="preserve">TSB Circular </w:t>
    </w:r>
    <w:r w:rsidR="00325254">
      <w:rPr>
        <w:sz w:val="20"/>
        <w:szCs w:val="20"/>
        <w:lang w:bidi="ar-EG"/>
      </w:rPr>
      <w:t>117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0740760">
    <w:abstractNumId w:val="9"/>
  </w:num>
  <w:num w:numId="2" w16cid:durableId="653024856">
    <w:abstractNumId w:val="7"/>
  </w:num>
  <w:num w:numId="3" w16cid:durableId="1640912041">
    <w:abstractNumId w:val="6"/>
  </w:num>
  <w:num w:numId="4" w16cid:durableId="1294292329">
    <w:abstractNumId w:val="5"/>
  </w:num>
  <w:num w:numId="5" w16cid:durableId="1284341175">
    <w:abstractNumId w:val="4"/>
  </w:num>
  <w:num w:numId="6" w16cid:durableId="1304968503">
    <w:abstractNumId w:val="8"/>
  </w:num>
  <w:num w:numId="7" w16cid:durableId="1215964643">
    <w:abstractNumId w:val="3"/>
  </w:num>
  <w:num w:numId="8" w16cid:durableId="1219778471">
    <w:abstractNumId w:val="2"/>
  </w:num>
  <w:num w:numId="9" w16cid:durableId="1614744338">
    <w:abstractNumId w:val="1"/>
  </w:num>
  <w:num w:numId="10" w16cid:durableId="1247960514">
    <w:abstractNumId w:val="0"/>
  </w:num>
  <w:num w:numId="11" w16cid:durableId="16343658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5E9"/>
    <w:rsid w:val="00002A63"/>
    <w:rsid w:val="00016100"/>
    <w:rsid w:val="000566BC"/>
    <w:rsid w:val="0006468A"/>
    <w:rsid w:val="00090574"/>
    <w:rsid w:val="000C1C0E"/>
    <w:rsid w:val="000C548A"/>
    <w:rsid w:val="000E327F"/>
    <w:rsid w:val="00146FE2"/>
    <w:rsid w:val="0017359B"/>
    <w:rsid w:val="001878D7"/>
    <w:rsid w:val="001A4203"/>
    <w:rsid w:val="001B07D5"/>
    <w:rsid w:val="001C0169"/>
    <w:rsid w:val="001D1D50"/>
    <w:rsid w:val="001D6745"/>
    <w:rsid w:val="001E2788"/>
    <w:rsid w:val="001E446E"/>
    <w:rsid w:val="001F4353"/>
    <w:rsid w:val="002154EE"/>
    <w:rsid w:val="00224024"/>
    <w:rsid w:val="002276D2"/>
    <w:rsid w:val="0023283D"/>
    <w:rsid w:val="0026373E"/>
    <w:rsid w:val="00271C43"/>
    <w:rsid w:val="00290728"/>
    <w:rsid w:val="002978F4"/>
    <w:rsid w:val="002B028D"/>
    <w:rsid w:val="002C093B"/>
    <w:rsid w:val="002E196B"/>
    <w:rsid w:val="002E6541"/>
    <w:rsid w:val="00325254"/>
    <w:rsid w:val="00334924"/>
    <w:rsid w:val="003409BC"/>
    <w:rsid w:val="00357185"/>
    <w:rsid w:val="00360DCF"/>
    <w:rsid w:val="00372F67"/>
    <w:rsid w:val="00383829"/>
    <w:rsid w:val="003A3046"/>
    <w:rsid w:val="003C5429"/>
    <w:rsid w:val="003C7EDF"/>
    <w:rsid w:val="003F4B29"/>
    <w:rsid w:val="00400EC6"/>
    <w:rsid w:val="0042686F"/>
    <w:rsid w:val="004317D8"/>
    <w:rsid w:val="00434183"/>
    <w:rsid w:val="00443869"/>
    <w:rsid w:val="00447F32"/>
    <w:rsid w:val="00466950"/>
    <w:rsid w:val="00485F33"/>
    <w:rsid w:val="00491188"/>
    <w:rsid w:val="004E11DC"/>
    <w:rsid w:val="00525DDD"/>
    <w:rsid w:val="005409AC"/>
    <w:rsid w:val="0055516A"/>
    <w:rsid w:val="0055650E"/>
    <w:rsid w:val="005731DD"/>
    <w:rsid w:val="0058491B"/>
    <w:rsid w:val="00592EA5"/>
    <w:rsid w:val="00595B52"/>
    <w:rsid w:val="00596808"/>
    <w:rsid w:val="005A3170"/>
    <w:rsid w:val="006019C6"/>
    <w:rsid w:val="00661FCF"/>
    <w:rsid w:val="006635B2"/>
    <w:rsid w:val="00677396"/>
    <w:rsid w:val="0069200F"/>
    <w:rsid w:val="006A65CB"/>
    <w:rsid w:val="006B303B"/>
    <w:rsid w:val="006C1530"/>
    <w:rsid w:val="006C3242"/>
    <w:rsid w:val="006C7CC0"/>
    <w:rsid w:val="006E1BAD"/>
    <w:rsid w:val="006E6264"/>
    <w:rsid w:val="006F63F7"/>
    <w:rsid w:val="007025C7"/>
    <w:rsid w:val="00706D7A"/>
    <w:rsid w:val="007139D8"/>
    <w:rsid w:val="00722F0D"/>
    <w:rsid w:val="0074420E"/>
    <w:rsid w:val="00783E26"/>
    <w:rsid w:val="007C3BC7"/>
    <w:rsid w:val="007C3BCD"/>
    <w:rsid w:val="007D4ACF"/>
    <w:rsid w:val="007F0787"/>
    <w:rsid w:val="00807031"/>
    <w:rsid w:val="00810B7B"/>
    <w:rsid w:val="00817A6B"/>
    <w:rsid w:val="0082358A"/>
    <w:rsid w:val="008235CD"/>
    <w:rsid w:val="008247DE"/>
    <w:rsid w:val="00840B10"/>
    <w:rsid w:val="00842918"/>
    <w:rsid w:val="008513CB"/>
    <w:rsid w:val="0085677E"/>
    <w:rsid w:val="00873469"/>
    <w:rsid w:val="00877F4B"/>
    <w:rsid w:val="00891703"/>
    <w:rsid w:val="008A7F84"/>
    <w:rsid w:val="008C7C7E"/>
    <w:rsid w:val="0091702E"/>
    <w:rsid w:val="00923B0C"/>
    <w:rsid w:val="00925B93"/>
    <w:rsid w:val="00926F44"/>
    <w:rsid w:val="0094021C"/>
    <w:rsid w:val="00942AFA"/>
    <w:rsid w:val="0094432F"/>
    <w:rsid w:val="00952F86"/>
    <w:rsid w:val="00964D2E"/>
    <w:rsid w:val="00982B28"/>
    <w:rsid w:val="009C7539"/>
    <w:rsid w:val="009D313F"/>
    <w:rsid w:val="009E059C"/>
    <w:rsid w:val="009F1337"/>
    <w:rsid w:val="009F17C2"/>
    <w:rsid w:val="00A47A5A"/>
    <w:rsid w:val="00A615E9"/>
    <w:rsid w:val="00A6683B"/>
    <w:rsid w:val="00A77C90"/>
    <w:rsid w:val="00A9156F"/>
    <w:rsid w:val="00A97F94"/>
    <w:rsid w:val="00AA7EA2"/>
    <w:rsid w:val="00AB0BC9"/>
    <w:rsid w:val="00AE03B5"/>
    <w:rsid w:val="00AF4B0D"/>
    <w:rsid w:val="00AF6B5C"/>
    <w:rsid w:val="00B03099"/>
    <w:rsid w:val="00B05BC8"/>
    <w:rsid w:val="00B64B47"/>
    <w:rsid w:val="00B916A7"/>
    <w:rsid w:val="00BB0F08"/>
    <w:rsid w:val="00BC4C1D"/>
    <w:rsid w:val="00BE31DF"/>
    <w:rsid w:val="00C002DE"/>
    <w:rsid w:val="00C21016"/>
    <w:rsid w:val="00C53BF8"/>
    <w:rsid w:val="00C66157"/>
    <w:rsid w:val="00C674FE"/>
    <w:rsid w:val="00C67501"/>
    <w:rsid w:val="00C75633"/>
    <w:rsid w:val="00C97205"/>
    <w:rsid w:val="00CE1C08"/>
    <w:rsid w:val="00CE2EE1"/>
    <w:rsid w:val="00CE3349"/>
    <w:rsid w:val="00CE36E5"/>
    <w:rsid w:val="00CF27F5"/>
    <w:rsid w:val="00CF3FFD"/>
    <w:rsid w:val="00D10CCF"/>
    <w:rsid w:val="00D22846"/>
    <w:rsid w:val="00D517B2"/>
    <w:rsid w:val="00D76170"/>
    <w:rsid w:val="00D77D0F"/>
    <w:rsid w:val="00D849B9"/>
    <w:rsid w:val="00DA1CF0"/>
    <w:rsid w:val="00DC1E02"/>
    <w:rsid w:val="00DC24B4"/>
    <w:rsid w:val="00DC5FB0"/>
    <w:rsid w:val="00DD1EBB"/>
    <w:rsid w:val="00DD6915"/>
    <w:rsid w:val="00DE762E"/>
    <w:rsid w:val="00DF16DC"/>
    <w:rsid w:val="00E15E5F"/>
    <w:rsid w:val="00E45211"/>
    <w:rsid w:val="00E473C5"/>
    <w:rsid w:val="00E50989"/>
    <w:rsid w:val="00E84438"/>
    <w:rsid w:val="00E92863"/>
    <w:rsid w:val="00EB796D"/>
    <w:rsid w:val="00F058DC"/>
    <w:rsid w:val="00F24FC4"/>
    <w:rsid w:val="00F2676C"/>
    <w:rsid w:val="00F44E02"/>
    <w:rsid w:val="00F52941"/>
    <w:rsid w:val="00F72BE5"/>
    <w:rsid w:val="00F84366"/>
    <w:rsid w:val="00F85089"/>
    <w:rsid w:val="00F974C5"/>
    <w:rsid w:val="00FA6F46"/>
    <w:rsid w:val="00FC5ED7"/>
    <w:rsid w:val="00FD1BC8"/>
    <w:rsid w:val="00FE1A45"/>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5CEA61"/>
  <w15:chartTrackingRefBased/>
  <w15:docId w15:val="{411E8D28-C671-4D67-BB8A-601F9531A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C2"/>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customStyle="1" w:styleId="UnresolvedMention1">
    <w:name w:val="Unresolved Mention1"/>
    <w:basedOn w:val="DefaultParagraphFont"/>
    <w:uiPriority w:val="99"/>
    <w:semiHidden/>
    <w:unhideWhenUsed/>
    <w:rsid w:val="00D517B2"/>
    <w:rPr>
      <w:color w:val="605E5C"/>
      <w:shd w:val="clear" w:color="auto" w:fill="E1DFDD"/>
    </w:rPr>
  </w:style>
  <w:style w:type="paragraph" w:customStyle="1" w:styleId="enumlev10">
    <w:name w:val="enumlev1"/>
    <w:basedOn w:val="Normal"/>
    <w:rsid w:val="00325254"/>
    <w:pPr>
      <w:tabs>
        <w:tab w:val="left" w:pos="1191"/>
        <w:tab w:val="left" w:pos="1588"/>
        <w:tab w:val="left" w:pos="1985"/>
      </w:tabs>
      <w:overflowPunct w:val="0"/>
      <w:autoSpaceDE w:val="0"/>
      <w:autoSpaceDN w:val="0"/>
      <w:bidi w:val="0"/>
      <w:adjustRightInd w:val="0"/>
      <w:spacing w:before="80" w:after="0" w:line="240" w:lineRule="auto"/>
      <w:ind w:left="1134" w:hanging="1134"/>
      <w:jc w:val="left"/>
    </w:pPr>
    <w:rPr>
      <w:rFonts w:ascii="Times New Roman" w:eastAsia="Times New Roman" w:hAnsi="CG Times" w:cs="Simplified Arabic"/>
      <w:sz w:val="24"/>
      <w:szCs w:val="30"/>
    </w:rPr>
  </w:style>
  <w:style w:type="character" w:styleId="FollowedHyperlink">
    <w:name w:val="FollowedHyperlink"/>
    <w:basedOn w:val="DefaultParagraphFont"/>
    <w:uiPriority w:val="99"/>
    <w:semiHidden/>
    <w:unhideWhenUsed/>
    <w:rsid w:val="00BE31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288289">
      <w:bodyDiv w:val="1"/>
      <w:marLeft w:val="0"/>
      <w:marRight w:val="0"/>
      <w:marTop w:val="0"/>
      <w:marBottom w:val="0"/>
      <w:divBdr>
        <w:top w:val="none" w:sz="0" w:space="0" w:color="auto"/>
        <w:left w:val="none" w:sz="0" w:space="0" w:color="auto"/>
        <w:bottom w:val="none" w:sz="0" w:space="0" w:color="auto"/>
        <w:right w:val="none" w:sz="0" w:space="0" w:color="auto"/>
      </w:divBdr>
    </w:div>
    <w:div w:id="1732119220">
      <w:bodyDiv w:val="1"/>
      <w:marLeft w:val="0"/>
      <w:marRight w:val="0"/>
      <w:marTop w:val="0"/>
      <w:marBottom w:val="0"/>
      <w:divBdr>
        <w:top w:val="none" w:sz="0" w:space="0" w:color="auto"/>
        <w:left w:val="none" w:sz="0" w:space="0" w:color="auto"/>
        <w:bottom w:val="none" w:sz="0" w:space="0" w:color="auto"/>
        <w:right w:val="none" w:sz="0" w:space="0" w:color="auto"/>
      </w:divBdr>
    </w:div>
    <w:div w:id="204656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tu.int/ITU-T/workprog/wp_search.aspx?sp=18&amp;q=11/20" TargetMode="External"/><Relationship Id="rId4" Type="http://schemas.openxmlformats.org/officeDocument/2006/relationships/settings" Target="settings.xml"/><Relationship Id="rId9" Type="http://schemas.openxmlformats.org/officeDocument/2006/relationships/hyperlink" Target="mailto:tsbsg20@itu.in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dul\Desktop\Arabic%20Templates%202026\ITU-T%20(TSB)\PA_TSB%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99E95-BF3E-41A4-A96B-2C6E26BB9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Circ.dotx</Template>
  <TotalTime>0</TotalTime>
  <Pages>4</Pages>
  <Words>1259</Words>
  <Characters>7180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abdalla aly</dc:creator>
  <cp:keywords/>
  <dc:description/>
  <cp:lastModifiedBy>Maguire, Mairéad</cp:lastModifiedBy>
  <cp:revision>2</cp:revision>
  <dcterms:created xsi:type="dcterms:W3CDTF">2026-04-08T14:18:00Z</dcterms:created>
  <dcterms:modified xsi:type="dcterms:W3CDTF">2026-04-08T14:18:00Z</dcterms:modified>
</cp:coreProperties>
</file>