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408"/>
        <w:gridCol w:w="5042"/>
      </w:tblGrid>
      <w:tr w:rsidR="00EF6A23" w:rsidRPr="005620B9" w14:paraId="3FDAE1F3" w14:textId="77777777" w:rsidTr="003F083D">
        <w:trPr>
          <w:cantSplit/>
        </w:trPr>
        <w:tc>
          <w:tcPr>
            <w:tcW w:w="0" w:type="auto"/>
            <w:vAlign w:val="center"/>
          </w:tcPr>
          <w:p w14:paraId="3DE42CAA" w14:textId="77777777" w:rsidR="00EF6A23" w:rsidRPr="005620B9" w:rsidRDefault="00EF6A23" w:rsidP="00D14F31">
            <w:pPr>
              <w:tabs>
                <w:tab w:val="right" w:pos="8732"/>
              </w:tabs>
              <w:spacing w:before="0"/>
              <w:rPr>
                <w:b/>
                <w:bCs/>
                <w:iCs/>
                <w:color w:val="FFFFFF"/>
                <w:sz w:val="30"/>
                <w:szCs w:val="30"/>
              </w:rPr>
            </w:pPr>
            <w:r w:rsidRPr="005620B9">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5620B9" w:rsidRDefault="00EF6A23" w:rsidP="00EF6A23">
            <w:pPr>
              <w:spacing w:before="0"/>
              <w:rPr>
                <w:rFonts w:cs="Times New Roman Bold"/>
                <w:b/>
                <w:bCs/>
                <w:iCs/>
                <w:smallCaps/>
                <w:sz w:val="34"/>
                <w:szCs w:val="34"/>
              </w:rPr>
            </w:pPr>
            <w:r w:rsidRPr="005620B9">
              <w:rPr>
                <w:rFonts w:cs="Times New Roman Bold"/>
                <w:b/>
                <w:bCs/>
                <w:iCs/>
                <w:smallCaps/>
                <w:sz w:val="34"/>
                <w:szCs w:val="34"/>
              </w:rPr>
              <w:t>Union internationale des télécommunications</w:t>
            </w:r>
          </w:p>
          <w:p w14:paraId="089E66D0" w14:textId="77777777" w:rsidR="00EF6A23" w:rsidRPr="005620B9" w:rsidRDefault="00EF6A23" w:rsidP="00EF6A23">
            <w:pPr>
              <w:spacing w:before="0"/>
              <w:rPr>
                <w:color w:val="FFFFFF"/>
                <w:sz w:val="26"/>
                <w:szCs w:val="26"/>
              </w:rPr>
            </w:pPr>
            <w:r w:rsidRPr="005620B9">
              <w:rPr>
                <w:rFonts w:cs="Times New Roman Bold"/>
                <w:b/>
                <w:bCs/>
                <w:iCs/>
                <w:smallCaps/>
                <w:sz w:val="28"/>
                <w:szCs w:val="28"/>
              </w:rPr>
              <w:t>B</w:t>
            </w:r>
            <w:r w:rsidRPr="005620B9">
              <w:rPr>
                <w:b/>
                <w:bCs/>
                <w:iCs/>
                <w:smallCaps/>
                <w:sz w:val="28"/>
                <w:szCs w:val="28"/>
              </w:rPr>
              <w:t>ureau de la Normalisation des Télécommunications</w:t>
            </w:r>
          </w:p>
        </w:tc>
      </w:tr>
      <w:tr w:rsidR="00036F4F" w:rsidRPr="00A346CF" w14:paraId="18B25741" w14:textId="77777777" w:rsidTr="00307FB4">
        <w:trPr>
          <w:cantSplit/>
        </w:trPr>
        <w:tc>
          <w:tcPr>
            <w:tcW w:w="0" w:type="auto"/>
          </w:tcPr>
          <w:p w14:paraId="4B1AFD72" w14:textId="77777777" w:rsidR="00036F4F" w:rsidRPr="00A346CF" w:rsidRDefault="00036F4F" w:rsidP="00A5280F">
            <w:pPr>
              <w:tabs>
                <w:tab w:val="left" w:pos="4111"/>
              </w:tabs>
              <w:spacing w:before="10"/>
              <w:ind w:left="57"/>
              <w:rPr>
                <w:rFonts w:cstheme="minorHAnsi"/>
                <w:sz w:val="22"/>
                <w:szCs w:val="22"/>
              </w:rPr>
            </w:pPr>
          </w:p>
        </w:tc>
        <w:tc>
          <w:tcPr>
            <w:tcW w:w="3399" w:type="dxa"/>
          </w:tcPr>
          <w:p w14:paraId="6579D3E8" w14:textId="77777777" w:rsidR="00036F4F" w:rsidRPr="00A346CF" w:rsidRDefault="00036F4F" w:rsidP="00A5280F">
            <w:pPr>
              <w:tabs>
                <w:tab w:val="left" w:pos="4111"/>
              </w:tabs>
              <w:spacing w:before="10"/>
              <w:ind w:left="57"/>
              <w:rPr>
                <w:rFonts w:cstheme="minorHAnsi"/>
                <w:b/>
                <w:sz w:val="22"/>
                <w:szCs w:val="22"/>
              </w:rPr>
            </w:pPr>
          </w:p>
        </w:tc>
        <w:tc>
          <w:tcPr>
            <w:tcW w:w="5051" w:type="dxa"/>
          </w:tcPr>
          <w:p w14:paraId="0DC34ECA" w14:textId="1DCC27AB" w:rsidR="00036F4F" w:rsidRPr="00A346CF" w:rsidRDefault="00036F4F" w:rsidP="00A5645A">
            <w:pPr>
              <w:tabs>
                <w:tab w:val="clear" w:pos="794"/>
                <w:tab w:val="clear" w:pos="1191"/>
                <w:tab w:val="clear" w:pos="1588"/>
                <w:tab w:val="clear" w:pos="1985"/>
                <w:tab w:val="left" w:pos="284"/>
              </w:tabs>
              <w:spacing w:after="120"/>
              <w:ind w:left="284" w:hanging="227"/>
              <w:rPr>
                <w:rFonts w:cstheme="minorHAnsi"/>
                <w:sz w:val="22"/>
                <w:szCs w:val="22"/>
              </w:rPr>
            </w:pPr>
            <w:r w:rsidRPr="00A346CF">
              <w:rPr>
                <w:rFonts w:cstheme="minorHAnsi"/>
                <w:sz w:val="22"/>
                <w:szCs w:val="22"/>
              </w:rPr>
              <w:t>Genève, le</w:t>
            </w:r>
            <w:r w:rsidR="004419E9" w:rsidRPr="00A346CF">
              <w:rPr>
                <w:rFonts w:cstheme="minorHAnsi"/>
                <w:sz w:val="22"/>
                <w:szCs w:val="22"/>
              </w:rPr>
              <w:t xml:space="preserve"> </w:t>
            </w:r>
            <w:r w:rsidR="005F49A8" w:rsidRPr="00A346CF">
              <w:rPr>
                <w:rFonts w:cstheme="minorHAnsi"/>
                <w:sz w:val="22"/>
                <w:szCs w:val="22"/>
              </w:rPr>
              <w:t>25</w:t>
            </w:r>
            <w:r w:rsidR="00C924FB" w:rsidRPr="00A346CF">
              <w:rPr>
                <w:rFonts w:cstheme="minorHAnsi"/>
                <w:color w:val="000000"/>
                <w:sz w:val="22"/>
                <w:szCs w:val="22"/>
              </w:rPr>
              <w:t xml:space="preserve"> février 2026</w:t>
            </w:r>
          </w:p>
        </w:tc>
      </w:tr>
      <w:tr w:rsidR="00C924FB" w:rsidRPr="00A346CF" w14:paraId="16CDDFEF" w14:textId="77777777" w:rsidTr="00307FB4">
        <w:trPr>
          <w:cantSplit/>
          <w:trHeight w:val="340"/>
        </w:trPr>
        <w:tc>
          <w:tcPr>
            <w:tcW w:w="0" w:type="auto"/>
          </w:tcPr>
          <w:p w14:paraId="3EFF375D" w14:textId="58556577" w:rsidR="00C924FB" w:rsidRPr="00A346CF" w:rsidRDefault="00C924FB" w:rsidP="00307FB4">
            <w:pPr>
              <w:tabs>
                <w:tab w:val="left" w:pos="4111"/>
              </w:tabs>
              <w:spacing w:before="10"/>
              <w:ind w:left="57"/>
              <w:rPr>
                <w:rFonts w:cstheme="minorHAnsi"/>
                <w:b/>
                <w:bCs/>
                <w:sz w:val="22"/>
                <w:szCs w:val="22"/>
              </w:rPr>
            </w:pPr>
            <w:proofErr w:type="gramStart"/>
            <w:r w:rsidRPr="00A346CF">
              <w:rPr>
                <w:rFonts w:cstheme="minorHAnsi"/>
                <w:b/>
                <w:bCs/>
                <w:sz w:val="22"/>
                <w:szCs w:val="22"/>
              </w:rPr>
              <w:t>Réf.:</w:t>
            </w:r>
            <w:proofErr w:type="gramEnd"/>
          </w:p>
        </w:tc>
        <w:tc>
          <w:tcPr>
            <w:tcW w:w="3399" w:type="dxa"/>
          </w:tcPr>
          <w:p w14:paraId="5FFBBC9B" w14:textId="5ED0CCC1" w:rsidR="00C924FB" w:rsidRPr="00A346CF" w:rsidRDefault="00C924FB" w:rsidP="00A5280F">
            <w:pPr>
              <w:tabs>
                <w:tab w:val="left" w:pos="4111"/>
              </w:tabs>
              <w:spacing w:before="10"/>
              <w:ind w:left="57"/>
              <w:rPr>
                <w:rFonts w:cstheme="minorHAnsi"/>
                <w:b/>
                <w:sz w:val="22"/>
                <w:szCs w:val="22"/>
              </w:rPr>
            </w:pPr>
            <w:r w:rsidRPr="00A346CF">
              <w:rPr>
                <w:rFonts w:cstheme="minorHAnsi"/>
                <w:b/>
                <w:sz w:val="22"/>
                <w:szCs w:val="22"/>
              </w:rPr>
              <w:t>Circulaire TSB 11</w:t>
            </w:r>
            <w:r w:rsidR="005F49A8" w:rsidRPr="00A346CF">
              <w:rPr>
                <w:rFonts w:cstheme="minorHAnsi"/>
                <w:b/>
                <w:sz w:val="22"/>
                <w:szCs w:val="22"/>
              </w:rPr>
              <w:t>4</w:t>
            </w:r>
          </w:p>
          <w:p w14:paraId="577F6DA2" w14:textId="120CD11A" w:rsidR="00C924FB" w:rsidRPr="00A346CF" w:rsidRDefault="005F49A8" w:rsidP="00307FB4">
            <w:pPr>
              <w:tabs>
                <w:tab w:val="left" w:pos="4111"/>
              </w:tabs>
              <w:spacing w:before="10"/>
              <w:ind w:left="57"/>
              <w:rPr>
                <w:rFonts w:cstheme="minorHAnsi"/>
                <w:b/>
                <w:bCs/>
                <w:sz w:val="22"/>
                <w:szCs w:val="22"/>
              </w:rPr>
            </w:pPr>
            <w:r w:rsidRPr="00A346CF">
              <w:rPr>
                <w:rFonts w:cstheme="minorHAnsi"/>
                <w:color w:val="000000"/>
                <w:sz w:val="22"/>
                <w:szCs w:val="22"/>
              </w:rPr>
              <w:t>Manifestations du TSB/MCB/MA</w:t>
            </w:r>
          </w:p>
        </w:tc>
        <w:tc>
          <w:tcPr>
            <w:tcW w:w="5051" w:type="dxa"/>
            <w:vMerge w:val="restart"/>
          </w:tcPr>
          <w:p w14:paraId="35271D8E" w14:textId="71EEE78C" w:rsidR="00C924FB" w:rsidRPr="00A346CF" w:rsidRDefault="00C924FB" w:rsidP="005F49A8">
            <w:pPr>
              <w:tabs>
                <w:tab w:val="clear" w:pos="794"/>
                <w:tab w:val="clear" w:pos="1191"/>
                <w:tab w:val="clear" w:pos="1588"/>
                <w:tab w:val="clear" w:pos="1985"/>
              </w:tabs>
              <w:spacing w:before="0"/>
              <w:ind w:left="420" w:hanging="363"/>
              <w:rPr>
                <w:rFonts w:cstheme="minorHAnsi"/>
                <w:sz w:val="22"/>
                <w:szCs w:val="22"/>
              </w:rPr>
            </w:pPr>
            <w:bookmarkStart w:id="0" w:name="Addressee_F"/>
            <w:bookmarkEnd w:id="0"/>
            <w:r w:rsidRPr="00A346CF">
              <w:rPr>
                <w:rFonts w:cstheme="minorHAnsi"/>
                <w:sz w:val="22"/>
                <w:szCs w:val="22"/>
              </w:rPr>
              <w:t>–</w:t>
            </w:r>
            <w:r w:rsidRPr="00A346CF">
              <w:rPr>
                <w:rFonts w:cstheme="minorHAnsi"/>
                <w:sz w:val="22"/>
                <w:szCs w:val="22"/>
              </w:rPr>
              <w:tab/>
              <w:t xml:space="preserve">Aux administrations des États Membres de </w:t>
            </w:r>
            <w:proofErr w:type="gramStart"/>
            <w:r w:rsidRPr="00A346CF">
              <w:rPr>
                <w:rFonts w:cstheme="minorHAnsi"/>
                <w:sz w:val="22"/>
                <w:szCs w:val="22"/>
              </w:rPr>
              <w:t>l'Union;</w:t>
            </w:r>
            <w:proofErr w:type="gramEnd"/>
          </w:p>
          <w:p w14:paraId="6CBD0F54" w14:textId="3EF65ABA" w:rsidR="00C924FB" w:rsidRPr="00A346CF" w:rsidRDefault="00C924FB"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r>
            <w:r w:rsidRPr="00A346CF">
              <w:rPr>
                <w:rFonts w:cstheme="minorHAnsi"/>
                <w:color w:val="000000"/>
                <w:sz w:val="22"/>
                <w:szCs w:val="22"/>
              </w:rPr>
              <w:t xml:space="preserve">À </w:t>
            </w:r>
            <w:r w:rsidRPr="00A346CF">
              <w:rPr>
                <w:rFonts w:cstheme="minorHAnsi"/>
                <w:sz w:val="22"/>
                <w:szCs w:val="22"/>
              </w:rPr>
              <w:t>l'État de Palestine</w:t>
            </w:r>
            <w:r w:rsidRPr="00A346CF">
              <w:rPr>
                <w:rFonts w:cstheme="minorHAnsi"/>
                <w:sz w:val="22"/>
                <w:szCs w:val="22"/>
              </w:rPr>
              <w:br/>
              <w:t>(Résolution 99 (Rév. Dubaï, 2018)</w:t>
            </w:r>
            <w:proofErr w:type="gramStart"/>
            <w:r w:rsidRPr="00A346CF">
              <w:rPr>
                <w:rFonts w:cstheme="minorHAnsi"/>
                <w:sz w:val="22"/>
                <w:szCs w:val="22"/>
              </w:rPr>
              <w:t>)</w:t>
            </w:r>
            <w:r w:rsidR="005F49A8" w:rsidRPr="00A346CF">
              <w:rPr>
                <w:rFonts w:cstheme="minorHAnsi"/>
                <w:sz w:val="22"/>
                <w:szCs w:val="22"/>
              </w:rPr>
              <w:t>;</w:t>
            </w:r>
            <w:proofErr w:type="gramEnd"/>
          </w:p>
          <w:p w14:paraId="4B654092" w14:textId="77777777" w:rsidR="005F49A8" w:rsidRPr="00A346CF" w:rsidRDefault="005F49A8"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Aux Membres du Secteur de l'UIT-</w:t>
            </w:r>
            <w:proofErr w:type="gramStart"/>
            <w:r w:rsidRPr="00A346CF">
              <w:rPr>
                <w:rFonts w:cstheme="minorHAnsi"/>
                <w:sz w:val="22"/>
                <w:szCs w:val="22"/>
              </w:rPr>
              <w:t>T;</w:t>
            </w:r>
            <w:proofErr w:type="gramEnd"/>
          </w:p>
          <w:p w14:paraId="066AF0EB" w14:textId="77777777" w:rsidR="005F49A8" w:rsidRPr="00A346CF" w:rsidRDefault="005F49A8"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Aux Associés de l'UIT-</w:t>
            </w:r>
            <w:proofErr w:type="gramStart"/>
            <w:r w:rsidRPr="00A346CF">
              <w:rPr>
                <w:rFonts w:cstheme="minorHAnsi"/>
                <w:sz w:val="22"/>
                <w:szCs w:val="22"/>
              </w:rPr>
              <w:t>T;</w:t>
            </w:r>
            <w:proofErr w:type="gramEnd"/>
          </w:p>
          <w:p w14:paraId="4FA90C9C" w14:textId="2355A114" w:rsidR="005F49A8" w:rsidRPr="00A346CF" w:rsidRDefault="005F49A8"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Aux établissements universitaires participant aux travaux de l'UIT</w:t>
            </w:r>
          </w:p>
          <w:p w14:paraId="2C02060C" w14:textId="77777777" w:rsidR="00C924FB" w:rsidRPr="00A346CF" w:rsidRDefault="00C924FB" w:rsidP="005F49A8">
            <w:pPr>
              <w:tabs>
                <w:tab w:val="clear" w:pos="794"/>
                <w:tab w:val="left" w:pos="4111"/>
              </w:tabs>
              <w:ind w:left="273" w:hanging="226"/>
              <w:rPr>
                <w:rFonts w:cstheme="minorHAnsi"/>
                <w:b/>
                <w:bCs/>
                <w:sz w:val="22"/>
                <w:szCs w:val="22"/>
              </w:rPr>
            </w:pPr>
            <w:proofErr w:type="gramStart"/>
            <w:r w:rsidRPr="00A346CF">
              <w:rPr>
                <w:rFonts w:cstheme="minorHAnsi"/>
                <w:b/>
                <w:bCs/>
                <w:sz w:val="22"/>
                <w:szCs w:val="22"/>
              </w:rPr>
              <w:t>Copie:</w:t>
            </w:r>
            <w:proofErr w:type="gramEnd"/>
          </w:p>
          <w:p w14:paraId="64AED000" w14:textId="053739AD" w:rsidR="00C924FB" w:rsidRPr="00A346CF" w:rsidRDefault="00C924FB"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Au</w:t>
            </w:r>
            <w:r w:rsidR="005F49A8" w:rsidRPr="00A346CF">
              <w:rPr>
                <w:rFonts w:cstheme="minorHAnsi"/>
                <w:sz w:val="22"/>
                <w:szCs w:val="22"/>
              </w:rPr>
              <w:t>x</w:t>
            </w:r>
            <w:r w:rsidRPr="00A346CF">
              <w:rPr>
                <w:rFonts w:cstheme="minorHAnsi"/>
                <w:sz w:val="22"/>
                <w:szCs w:val="22"/>
              </w:rPr>
              <w:t xml:space="preserve"> Président</w:t>
            </w:r>
            <w:r w:rsidR="005F49A8" w:rsidRPr="00A346CF">
              <w:rPr>
                <w:rFonts w:cstheme="minorHAnsi"/>
                <w:sz w:val="22"/>
                <w:szCs w:val="22"/>
              </w:rPr>
              <w:t>s</w:t>
            </w:r>
            <w:r w:rsidRPr="00A346CF">
              <w:rPr>
                <w:rFonts w:cstheme="minorHAnsi"/>
                <w:sz w:val="22"/>
                <w:szCs w:val="22"/>
              </w:rPr>
              <w:t xml:space="preserve"> et aux Vice-Présidents de</w:t>
            </w:r>
            <w:r w:rsidR="005F49A8" w:rsidRPr="00A346CF">
              <w:rPr>
                <w:rFonts w:cstheme="minorHAnsi"/>
                <w:sz w:val="22"/>
                <w:szCs w:val="22"/>
              </w:rPr>
              <w:t>s</w:t>
            </w:r>
            <w:r w:rsidRPr="00A346CF">
              <w:rPr>
                <w:rFonts w:cstheme="minorHAnsi"/>
                <w:sz w:val="22"/>
                <w:szCs w:val="22"/>
              </w:rPr>
              <w:t xml:space="preserve"> Commissions d'études de l'UIT-</w:t>
            </w:r>
            <w:proofErr w:type="gramStart"/>
            <w:r w:rsidRPr="00A346CF">
              <w:rPr>
                <w:rFonts w:cstheme="minorHAnsi"/>
                <w:sz w:val="22"/>
                <w:szCs w:val="22"/>
              </w:rPr>
              <w:t>T;</w:t>
            </w:r>
            <w:proofErr w:type="gramEnd"/>
          </w:p>
          <w:p w14:paraId="216E8172" w14:textId="77777777" w:rsidR="00C924FB" w:rsidRPr="00A346CF" w:rsidRDefault="00C924FB"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 xml:space="preserve">Au Directeur du Bureau de développement des </w:t>
            </w:r>
            <w:proofErr w:type="gramStart"/>
            <w:r w:rsidRPr="00A346CF">
              <w:rPr>
                <w:rFonts w:cstheme="minorHAnsi"/>
                <w:sz w:val="22"/>
                <w:szCs w:val="22"/>
              </w:rPr>
              <w:t>télécommunications;</w:t>
            </w:r>
            <w:proofErr w:type="gramEnd"/>
          </w:p>
          <w:p w14:paraId="2D782A6D" w14:textId="77777777" w:rsidR="00C924FB" w:rsidRPr="00A346CF" w:rsidRDefault="00C924FB"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 xml:space="preserve">Au Directeur du Bureau des </w:t>
            </w:r>
            <w:proofErr w:type="gramStart"/>
            <w:r w:rsidRPr="00A346CF">
              <w:rPr>
                <w:rFonts w:cstheme="minorHAnsi"/>
                <w:sz w:val="22"/>
                <w:szCs w:val="22"/>
              </w:rPr>
              <w:t>radiocommunications</w:t>
            </w:r>
            <w:r w:rsidR="005F49A8" w:rsidRPr="00A346CF">
              <w:rPr>
                <w:rFonts w:cstheme="minorHAnsi"/>
                <w:sz w:val="22"/>
                <w:szCs w:val="22"/>
              </w:rPr>
              <w:t>;</w:t>
            </w:r>
            <w:proofErr w:type="gramEnd"/>
          </w:p>
          <w:p w14:paraId="328E5E3E" w14:textId="2B8A26D6" w:rsidR="005F49A8" w:rsidRPr="00A346CF" w:rsidRDefault="005F49A8"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Au Bureau régional de l'UIT pour l'Afrique, Addis-Abeba (Éthiopie</w:t>
            </w:r>
            <w:proofErr w:type="gramStart"/>
            <w:r w:rsidRPr="00A346CF">
              <w:rPr>
                <w:rFonts w:cstheme="minorHAnsi"/>
                <w:sz w:val="22"/>
                <w:szCs w:val="22"/>
              </w:rPr>
              <w:t>);</w:t>
            </w:r>
            <w:proofErr w:type="gramEnd"/>
          </w:p>
          <w:p w14:paraId="461460AE" w14:textId="28D7491A" w:rsidR="005F49A8" w:rsidRPr="00A346CF" w:rsidRDefault="005F49A8" w:rsidP="005F49A8">
            <w:pPr>
              <w:tabs>
                <w:tab w:val="clear" w:pos="794"/>
                <w:tab w:val="clear" w:pos="1191"/>
                <w:tab w:val="clear" w:pos="1588"/>
                <w:tab w:val="clear" w:pos="1985"/>
              </w:tabs>
              <w:spacing w:before="0"/>
              <w:ind w:left="420" w:hanging="363"/>
              <w:rPr>
                <w:rFonts w:cstheme="minorHAnsi"/>
                <w:sz w:val="22"/>
                <w:szCs w:val="22"/>
              </w:rPr>
            </w:pPr>
            <w:r w:rsidRPr="00A346CF">
              <w:rPr>
                <w:rFonts w:cstheme="minorHAnsi"/>
                <w:sz w:val="22"/>
                <w:szCs w:val="22"/>
              </w:rPr>
              <w:t>–</w:t>
            </w:r>
            <w:r w:rsidRPr="00A346CF">
              <w:rPr>
                <w:rFonts w:cstheme="minorHAnsi"/>
                <w:sz w:val="22"/>
                <w:szCs w:val="22"/>
              </w:rPr>
              <w:tab/>
              <w:t>Au Bureau de zone de l'UIT pour l'Afrique de l'Ouest, Dakar (Sénégal)</w:t>
            </w:r>
          </w:p>
        </w:tc>
      </w:tr>
      <w:tr w:rsidR="00C924FB" w:rsidRPr="00A346CF" w14:paraId="06A3F0E7" w14:textId="77777777" w:rsidTr="00307FB4">
        <w:trPr>
          <w:cantSplit/>
          <w:trHeight w:val="340"/>
        </w:trPr>
        <w:tc>
          <w:tcPr>
            <w:tcW w:w="0" w:type="auto"/>
          </w:tcPr>
          <w:p w14:paraId="5CF43A7B" w14:textId="1AE299F1" w:rsidR="00C924FB" w:rsidRPr="00A346CF" w:rsidRDefault="00C924FB" w:rsidP="00C924FB">
            <w:pPr>
              <w:tabs>
                <w:tab w:val="left" w:pos="4111"/>
              </w:tabs>
              <w:spacing w:before="10"/>
              <w:ind w:left="57"/>
              <w:rPr>
                <w:rFonts w:cstheme="minorHAnsi"/>
                <w:sz w:val="22"/>
                <w:szCs w:val="22"/>
              </w:rPr>
            </w:pPr>
            <w:proofErr w:type="gramStart"/>
            <w:r w:rsidRPr="00A346CF">
              <w:rPr>
                <w:rFonts w:cstheme="minorHAnsi"/>
                <w:sz w:val="22"/>
                <w:szCs w:val="22"/>
              </w:rPr>
              <w:t>Tél.:</w:t>
            </w:r>
            <w:proofErr w:type="gramEnd"/>
          </w:p>
        </w:tc>
        <w:tc>
          <w:tcPr>
            <w:tcW w:w="3399" w:type="dxa"/>
          </w:tcPr>
          <w:p w14:paraId="2074781F" w14:textId="3B0470D8" w:rsidR="00C924FB" w:rsidRPr="00A346CF" w:rsidRDefault="00C924FB" w:rsidP="00C924FB">
            <w:pPr>
              <w:tabs>
                <w:tab w:val="left" w:pos="4111"/>
              </w:tabs>
              <w:spacing w:before="10"/>
              <w:ind w:left="57"/>
              <w:rPr>
                <w:rFonts w:cstheme="minorHAnsi"/>
                <w:b/>
                <w:sz w:val="22"/>
                <w:szCs w:val="22"/>
              </w:rPr>
            </w:pPr>
            <w:r w:rsidRPr="00A346CF">
              <w:rPr>
                <w:rFonts w:cstheme="minorHAnsi"/>
                <w:sz w:val="22"/>
                <w:szCs w:val="22"/>
              </w:rPr>
              <w:t xml:space="preserve">+41 </w:t>
            </w:r>
            <w:r w:rsidRPr="00A346CF">
              <w:rPr>
                <w:rFonts w:cstheme="minorHAnsi"/>
                <w:color w:val="000000"/>
                <w:sz w:val="22"/>
                <w:szCs w:val="22"/>
              </w:rPr>
              <w:t xml:space="preserve">22 730 </w:t>
            </w:r>
            <w:r w:rsidR="005F49A8" w:rsidRPr="00A346CF">
              <w:rPr>
                <w:rFonts w:cstheme="minorHAnsi"/>
                <w:color w:val="000000"/>
                <w:sz w:val="22"/>
                <w:szCs w:val="22"/>
              </w:rPr>
              <w:t>5885</w:t>
            </w:r>
          </w:p>
        </w:tc>
        <w:tc>
          <w:tcPr>
            <w:tcW w:w="5051" w:type="dxa"/>
            <w:vMerge/>
          </w:tcPr>
          <w:p w14:paraId="2F310545" w14:textId="67636F98" w:rsidR="00C924FB" w:rsidRPr="00A346CF" w:rsidRDefault="00C924FB" w:rsidP="00C924FB">
            <w:pPr>
              <w:tabs>
                <w:tab w:val="left" w:pos="4111"/>
              </w:tabs>
              <w:spacing w:before="0"/>
              <w:ind w:left="426" w:hanging="426"/>
              <w:rPr>
                <w:rFonts w:cstheme="minorHAnsi"/>
                <w:sz w:val="22"/>
                <w:szCs w:val="22"/>
              </w:rPr>
            </w:pPr>
          </w:p>
        </w:tc>
      </w:tr>
      <w:tr w:rsidR="00C924FB" w:rsidRPr="00A346CF" w14:paraId="724FD23E" w14:textId="77777777" w:rsidTr="00307FB4">
        <w:trPr>
          <w:cantSplit/>
        </w:trPr>
        <w:tc>
          <w:tcPr>
            <w:tcW w:w="0" w:type="auto"/>
          </w:tcPr>
          <w:p w14:paraId="73149CCD" w14:textId="66965AF6" w:rsidR="00C924FB" w:rsidRPr="00A346CF" w:rsidRDefault="00C924FB" w:rsidP="00C924FB">
            <w:pPr>
              <w:tabs>
                <w:tab w:val="left" w:pos="4111"/>
              </w:tabs>
              <w:spacing w:before="10"/>
              <w:ind w:left="57"/>
              <w:rPr>
                <w:rFonts w:cstheme="minorHAnsi"/>
                <w:sz w:val="22"/>
                <w:szCs w:val="22"/>
              </w:rPr>
            </w:pPr>
            <w:proofErr w:type="gramStart"/>
            <w:r w:rsidRPr="00A346CF">
              <w:rPr>
                <w:rFonts w:cstheme="minorHAnsi"/>
                <w:sz w:val="22"/>
                <w:szCs w:val="22"/>
              </w:rPr>
              <w:t>Télécopie:</w:t>
            </w:r>
            <w:proofErr w:type="gramEnd"/>
          </w:p>
        </w:tc>
        <w:tc>
          <w:tcPr>
            <w:tcW w:w="3399" w:type="dxa"/>
          </w:tcPr>
          <w:p w14:paraId="78D06186" w14:textId="312C707A" w:rsidR="00C924FB" w:rsidRPr="00A346CF" w:rsidRDefault="00C924FB" w:rsidP="00C924FB">
            <w:pPr>
              <w:tabs>
                <w:tab w:val="left" w:pos="4111"/>
              </w:tabs>
              <w:spacing w:before="0"/>
              <w:ind w:left="57"/>
              <w:rPr>
                <w:rFonts w:cstheme="minorHAnsi"/>
                <w:sz w:val="22"/>
                <w:szCs w:val="22"/>
              </w:rPr>
            </w:pPr>
            <w:r w:rsidRPr="00A346CF">
              <w:rPr>
                <w:rFonts w:cstheme="minorHAnsi"/>
                <w:sz w:val="22"/>
                <w:szCs w:val="22"/>
              </w:rPr>
              <w:t>+41 22 730 5853</w:t>
            </w:r>
          </w:p>
        </w:tc>
        <w:tc>
          <w:tcPr>
            <w:tcW w:w="5051" w:type="dxa"/>
            <w:vMerge/>
          </w:tcPr>
          <w:p w14:paraId="6D3A5806" w14:textId="7F53E6BE" w:rsidR="00C924FB" w:rsidRPr="00A346CF" w:rsidRDefault="00C924FB" w:rsidP="00C924FB">
            <w:pPr>
              <w:tabs>
                <w:tab w:val="left" w:pos="4111"/>
              </w:tabs>
              <w:spacing w:before="0"/>
              <w:ind w:left="426" w:hanging="426"/>
              <w:rPr>
                <w:rFonts w:cstheme="minorHAnsi"/>
                <w:b/>
                <w:sz w:val="22"/>
                <w:szCs w:val="22"/>
              </w:rPr>
            </w:pPr>
          </w:p>
        </w:tc>
      </w:tr>
      <w:tr w:rsidR="00C924FB" w:rsidRPr="00A346CF" w14:paraId="030F9AE5" w14:textId="77777777" w:rsidTr="00C924FB">
        <w:trPr>
          <w:cantSplit/>
          <w:trHeight w:val="74"/>
        </w:trPr>
        <w:tc>
          <w:tcPr>
            <w:tcW w:w="0" w:type="auto"/>
          </w:tcPr>
          <w:p w14:paraId="7B417C4C" w14:textId="692197A2" w:rsidR="00C924FB" w:rsidRPr="00A346CF" w:rsidRDefault="00C924FB" w:rsidP="00C924FB">
            <w:pPr>
              <w:tabs>
                <w:tab w:val="left" w:pos="4111"/>
              </w:tabs>
              <w:spacing w:before="10"/>
              <w:ind w:left="57"/>
              <w:rPr>
                <w:rFonts w:cstheme="minorHAnsi"/>
                <w:sz w:val="22"/>
                <w:szCs w:val="22"/>
              </w:rPr>
            </w:pPr>
            <w:proofErr w:type="gramStart"/>
            <w:r w:rsidRPr="00A346CF">
              <w:rPr>
                <w:rFonts w:cstheme="minorHAnsi"/>
                <w:sz w:val="22"/>
                <w:szCs w:val="22"/>
              </w:rPr>
              <w:t>Courriel:</w:t>
            </w:r>
            <w:proofErr w:type="gramEnd"/>
          </w:p>
        </w:tc>
        <w:tc>
          <w:tcPr>
            <w:tcW w:w="3399" w:type="dxa"/>
          </w:tcPr>
          <w:p w14:paraId="1A4A5F7B" w14:textId="5BEECA1F" w:rsidR="00C924FB" w:rsidRPr="00A346CF" w:rsidRDefault="005F49A8" w:rsidP="00C924FB">
            <w:pPr>
              <w:tabs>
                <w:tab w:val="left" w:pos="4111"/>
              </w:tabs>
              <w:spacing w:before="0"/>
              <w:ind w:left="57"/>
              <w:rPr>
                <w:rFonts w:cstheme="minorHAnsi"/>
                <w:sz w:val="22"/>
                <w:szCs w:val="22"/>
              </w:rPr>
            </w:pPr>
            <w:hyperlink r:id="rId9" w:history="1">
              <w:r w:rsidRPr="00A346CF">
                <w:rPr>
                  <w:rStyle w:val="Hyperlink"/>
                  <w:rFonts w:cstheme="minorHAnsi"/>
                  <w:sz w:val="22"/>
                  <w:szCs w:val="22"/>
                </w:rPr>
                <w:t>tsbevents@itu.int</w:t>
              </w:r>
            </w:hyperlink>
          </w:p>
        </w:tc>
        <w:tc>
          <w:tcPr>
            <w:tcW w:w="5051" w:type="dxa"/>
            <w:vMerge/>
          </w:tcPr>
          <w:p w14:paraId="323DAC81" w14:textId="5B2041E8" w:rsidR="00C924FB" w:rsidRPr="00A346CF" w:rsidRDefault="00C924FB" w:rsidP="00C924FB">
            <w:pPr>
              <w:tabs>
                <w:tab w:val="left" w:pos="4111"/>
              </w:tabs>
              <w:spacing w:before="0"/>
              <w:ind w:left="426" w:hanging="426"/>
              <w:rPr>
                <w:rFonts w:cstheme="minorHAnsi"/>
                <w:b/>
                <w:sz w:val="22"/>
                <w:szCs w:val="22"/>
              </w:rPr>
            </w:pPr>
          </w:p>
        </w:tc>
      </w:tr>
      <w:tr w:rsidR="00C924FB" w:rsidRPr="00A346CF" w14:paraId="640FB6B9" w14:textId="77777777" w:rsidTr="00307FB4">
        <w:trPr>
          <w:cantSplit/>
        </w:trPr>
        <w:tc>
          <w:tcPr>
            <w:tcW w:w="0" w:type="auto"/>
          </w:tcPr>
          <w:p w14:paraId="15527369" w14:textId="5F5F3823" w:rsidR="00C924FB" w:rsidRPr="00A346CF" w:rsidRDefault="00C924FB" w:rsidP="00C924FB">
            <w:pPr>
              <w:tabs>
                <w:tab w:val="left" w:pos="4111"/>
              </w:tabs>
              <w:spacing w:before="10"/>
              <w:ind w:left="57"/>
              <w:rPr>
                <w:rFonts w:cstheme="minorHAnsi"/>
                <w:sz w:val="22"/>
                <w:szCs w:val="22"/>
              </w:rPr>
            </w:pPr>
          </w:p>
        </w:tc>
        <w:tc>
          <w:tcPr>
            <w:tcW w:w="3399" w:type="dxa"/>
          </w:tcPr>
          <w:p w14:paraId="172249CE" w14:textId="640643AD" w:rsidR="00C924FB" w:rsidRPr="00A346CF" w:rsidRDefault="00C924FB" w:rsidP="00C924FB">
            <w:pPr>
              <w:tabs>
                <w:tab w:val="left" w:pos="4111"/>
              </w:tabs>
              <w:spacing w:before="0"/>
              <w:ind w:left="57"/>
              <w:rPr>
                <w:rFonts w:cstheme="minorHAnsi"/>
                <w:sz w:val="22"/>
                <w:szCs w:val="22"/>
              </w:rPr>
            </w:pPr>
          </w:p>
        </w:tc>
        <w:tc>
          <w:tcPr>
            <w:tcW w:w="5051" w:type="dxa"/>
            <w:vMerge/>
          </w:tcPr>
          <w:p w14:paraId="19762254" w14:textId="2125CDF9" w:rsidR="00C924FB" w:rsidRPr="00A346CF" w:rsidRDefault="00C924FB" w:rsidP="00C924FB">
            <w:pPr>
              <w:tabs>
                <w:tab w:val="clear" w:pos="794"/>
                <w:tab w:val="left" w:pos="4111"/>
              </w:tabs>
              <w:spacing w:before="0"/>
              <w:ind w:left="426" w:hanging="426"/>
              <w:rPr>
                <w:rFonts w:cstheme="minorHAnsi"/>
                <w:sz w:val="22"/>
                <w:szCs w:val="22"/>
              </w:rPr>
            </w:pPr>
          </w:p>
        </w:tc>
      </w:tr>
      <w:tr w:rsidR="00C924FB" w:rsidRPr="00A346CF" w14:paraId="5435C04A" w14:textId="77777777" w:rsidTr="00C41B89">
        <w:trPr>
          <w:cantSplit/>
          <w:trHeight w:val="397"/>
        </w:trPr>
        <w:tc>
          <w:tcPr>
            <w:tcW w:w="0" w:type="auto"/>
          </w:tcPr>
          <w:p w14:paraId="2A0B9B4F" w14:textId="77777777" w:rsidR="00C924FB" w:rsidRPr="00A346CF" w:rsidRDefault="00C924FB" w:rsidP="00C924FB">
            <w:pPr>
              <w:tabs>
                <w:tab w:val="left" w:pos="4111"/>
              </w:tabs>
              <w:ind w:left="57"/>
              <w:rPr>
                <w:rFonts w:cstheme="minorHAnsi"/>
                <w:b/>
                <w:bCs/>
                <w:sz w:val="22"/>
                <w:szCs w:val="22"/>
              </w:rPr>
            </w:pPr>
            <w:proofErr w:type="gramStart"/>
            <w:r w:rsidRPr="00A346CF">
              <w:rPr>
                <w:rFonts w:cstheme="minorHAnsi"/>
                <w:b/>
                <w:bCs/>
                <w:sz w:val="22"/>
                <w:szCs w:val="22"/>
              </w:rPr>
              <w:t>Objet:</w:t>
            </w:r>
            <w:proofErr w:type="gramEnd"/>
          </w:p>
        </w:tc>
        <w:tc>
          <w:tcPr>
            <w:tcW w:w="0" w:type="auto"/>
            <w:gridSpan w:val="2"/>
          </w:tcPr>
          <w:p w14:paraId="1A51EE75" w14:textId="1B50A7F2" w:rsidR="00C924FB" w:rsidRPr="00A346CF" w:rsidRDefault="005F49A8" w:rsidP="00C924FB">
            <w:pPr>
              <w:tabs>
                <w:tab w:val="left" w:pos="4111"/>
              </w:tabs>
              <w:spacing w:after="120"/>
              <w:ind w:left="57"/>
              <w:rPr>
                <w:rFonts w:cstheme="minorHAnsi"/>
                <w:b/>
                <w:bCs/>
                <w:sz w:val="22"/>
                <w:szCs w:val="22"/>
              </w:rPr>
            </w:pPr>
            <w:r w:rsidRPr="00A346CF">
              <w:rPr>
                <w:rFonts w:cstheme="minorHAnsi"/>
                <w:b/>
                <w:bCs/>
                <w:sz w:val="22"/>
                <w:szCs w:val="22"/>
              </w:rPr>
              <w:t>Atelier conjoint UIT-UAT sur les incidences économiques des OTT et la mise en place d'un numéro d'urgence commun en Afrique (Accra, Ghana, 14 et 15 avril 2026)</w:t>
            </w:r>
          </w:p>
        </w:tc>
      </w:tr>
    </w:tbl>
    <w:p w14:paraId="2D1EC328" w14:textId="77777777" w:rsidR="00517A03" w:rsidRPr="00A346CF" w:rsidRDefault="00517A03" w:rsidP="00A346CF">
      <w:pPr>
        <w:rPr>
          <w:rFonts w:cstheme="minorHAnsi"/>
          <w:sz w:val="22"/>
          <w:szCs w:val="22"/>
        </w:rPr>
      </w:pPr>
      <w:bookmarkStart w:id="1" w:name="StartTyping_F"/>
      <w:bookmarkEnd w:id="1"/>
      <w:r w:rsidRPr="00A346CF">
        <w:rPr>
          <w:rFonts w:cstheme="minorHAnsi"/>
          <w:sz w:val="22"/>
          <w:szCs w:val="22"/>
        </w:rPr>
        <w:t>Madame, Monsieur,</w:t>
      </w:r>
    </w:p>
    <w:p w14:paraId="040760B1" w14:textId="4ECABA9B" w:rsidR="005F49A8" w:rsidRPr="00A346CF" w:rsidRDefault="005F49A8" w:rsidP="005F49A8">
      <w:pPr>
        <w:rPr>
          <w:rFonts w:cstheme="minorHAnsi"/>
          <w:sz w:val="22"/>
          <w:szCs w:val="22"/>
        </w:rPr>
      </w:pPr>
      <w:r w:rsidRPr="00A346CF">
        <w:rPr>
          <w:rFonts w:cstheme="minorHAnsi"/>
          <w:sz w:val="22"/>
          <w:szCs w:val="22"/>
        </w:rPr>
        <w:t>1</w:t>
      </w:r>
      <w:r w:rsidRPr="00A346CF">
        <w:rPr>
          <w:rFonts w:cstheme="minorHAnsi"/>
          <w:sz w:val="22"/>
          <w:szCs w:val="22"/>
        </w:rPr>
        <w:tab/>
        <w:t>J'ai l'honneur de vous informer que l'Union internationale des télécommunications (UIT) et l'Union africaine des télécommunications (UAT) organisent un atelier sur le thème "</w:t>
      </w:r>
      <w:r w:rsidRPr="00A346CF">
        <w:rPr>
          <w:rFonts w:cstheme="minorHAnsi"/>
          <w:b/>
          <w:bCs/>
          <w:sz w:val="22"/>
          <w:szCs w:val="22"/>
        </w:rPr>
        <w:t>Incidences économiques des OTT et mise en place d'un numéro d'urgence commun en Afrique</w:t>
      </w:r>
      <w:r w:rsidRPr="00A346CF">
        <w:rPr>
          <w:rFonts w:cstheme="minorHAnsi"/>
          <w:sz w:val="22"/>
          <w:szCs w:val="22"/>
        </w:rPr>
        <w:t>", les 14 (après-midi) et 15 (matin) avril 2026 à Accra (Ghana). Cet atelier se tiendra à l'aimable invitation du Gouvernement du Ghana, au Palms Airport City Hotel, à Accra.</w:t>
      </w:r>
    </w:p>
    <w:p w14:paraId="2A151462" w14:textId="77777777" w:rsidR="005F49A8" w:rsidRPr="00A346CF" w:rsidRDefault="005F49A8" w:rsidP="005F49A8">
      <w:pPr>
        <w:rPr>
          <w:rFonts w:cstheme="minorHAnsi"/>
          <w:sz w:val="22"/>
          <w:szCs w:val="22"/>
        </w:rPr>
      </w:pPr>
      <w:r w:rsidRPr="00A346CF">
        <w:rPr>
          <w:rFonts w:cstheme="minorHAnsi"/>
          <w:sz w:val="22"/>
          <w:szCs w:val="22"/>
        </w:rPr>
        <w:t>2</w:t>
      </w:r>
      <w:r w:rsidRPr="00A346CF">
        <w:rPr>
          <w:rFonts w:cstheme="minorHAnsi"/>
          <w:sz w:val="22"/>
          <w:szCs w:val="22"/>
        </w:rPr>
        <w:tab/>
        <w:t>L'atelier s'ouvrira à 14 heures le 14 avril 2026 et l'enregistrement des participants débutera à 13 heures le même jour, sur le lieu de la manifestation. L'atelier se déroulera en anglais, avec interprétation en français. Il sera possible de participer à la manifestation à distance.</w:t>
      </w:r>
    </w:p>
    <w:p w14:paraId="05BBC248" w14:textId="467FED72" w:rsidR="005F49A8" w:rsidRPr="00A346CF" w:rsidRDefault="005F49A8" w:rsidP="005F49A8">
      <w:pPr>
        <w:rPr>
          <w:rFonts w:cstheme="minorHAnsi"/>
          <w:sz w:val="22"/>
          <w:szCs w:val="22"/>
        </w:rPr>
      </w:pPr>
      <w:r w:rsidRPr="00A346CF">
        <w:rPr>
          <w:rFonts w:cstheme="minorHAnsi"/>
          <w:sz w:val="22"/>
          <w:szCs w:val="22"/>
        </w:rPr>
        <w:t>3</w:t>
      </w:r>
      <w:r w:rsidRPr="00A346CF">
        <w:rPr>
          <w:rFonts w:cstheme="minorHAnsi"/>
          <w:sz w:val="22"/>
          <w:szCs w:val="22"/>
        </w:rPr>
        <w:tab/>
        <w:t xml:space="preserve">L'atelier se tiendra en parallèle de la </w:t>
      </w:r>
      <w:r w:rsidRPr="00A346CF">
        <w:rPr>
          <w:rFonts w:cstheme="minorHAnsi"/>
          <w:b/>
          <w:bCs/>
          <w:sz w:val="22"/>
          <w:szCs w:val="22"/>
        </w:rPr>
        <w:t>première Réunion préparatoire africaine en vue de l'AMNT-28 (APM-1)</w:t>
      </w:r>
      <w:r w:rsidRPr="00A346CF">
        <w:rPr>
          <w:rFonts w:cstheme="minorHAnsi"/>
          <w:sz w:val="22"/>
          <w:szCs w:val="22"/>
        </w:rPr>
        <w:t xml:space="preserve">, les 13 et 14 avril 2026, et des réunions du </w:t>
      </w:r>
      <w:r w:rsidRPr="00A346CF">
        <w:rPr>
          <w:rFonts w:cstheme="minorHAnsi"/>
          <w:b/>
          <w:bCs/>
          <w:sz w:val="22"/>
          <w:szCs w:val="22"/>
        </w:rPr>
        <w:t>Groupe régional de la Commission d'études 2 de l'UIT-T pour l'Afrique (SG2RG-AFR)</w:t>
      </w:r>
      <w:r w:rsidRPr="00A346CF">
        <w:rPr>
          <w:rFonts w:cstheme="minorHAnsi"/>
          <w:sz w:val="22"/>
          <w:szCs w:val="22"/>
        </w:rPr>
        <w:t xml:space="preserve">, le 15 avril 2026, et du </w:t>
      </w:r>
      <w:r w:rsidRPr="00A346CF">
        <w:rPr>
          <w:rFonts w:cstheme="minorHAnsi"/>
          <w:b/>
          <w:bCs/>
          <w:sz w:val="22"/>
          <w:szCs w:val="22"/>
        </w:rPr>
        <w:t>Groupe régional de la Commission d'études 3 de l'UIT-T pour l'Afrique (SG3RG-AFR)</w:t>
      </w:r>
      <w:r w:rsidRPr="00A346CF">
        <w:rPr>
          <w:rFonts w:cstheme="minorHAnsi"/>
          <w:sz w:val="22"/>
          <w:szCs w:val="22"/>
        </w:rPr>
        <w:t>, les 16 et 17 avril 2026, au même endroit.</w:t>
      </w:r>
    </w:p>
    <w:p w14:paraId="0F18ECFF" w14:textId="0D1F406D" w:rsidR="005F49A8" w:rsidRPr="00A346CF" w:rsidRDefault="005F49A8" w:rsidP="00A346CF">
      <w:pPr>
        <w:rPr>
          <w:rFonts w:cstheme="minorHAnsi"/>
          <w:sz w:val="22"/>
          <w:szCs w:val="22"/>
        </w:rPr>
      </w:pPr>
      <w:r w:rsidRPr="00A346CF">
        <w:rPr>
          <w:rFonts w:cstheme="minorHAnsi"/>
          <w:sz w:val="22"/>
          <w:szCs w:val="22"/>
        </w:rPr>
        <w:t>4</w:t>
      </w:r>
      <w:r w:rsidRPr="00A346CF">
        <w:rPr>
          <w:rFonts w:cstheme="minorHAnsi"/>
          <w:sz w:val="22"/>
          <w:szCs w:val="22"/>
        </w:rPr>
        <w:tab/>
        <w:t>L'atelier vise à donner suite à la Résolution 29 de l'AMNT, intitulée "Procédures d'appel alternatives utilisées sur les réseaux de télécommunication internationaux", à la Résolution 100 de l'AMNT, intitulée "Numéro d'urgence commun pour l'Afrique", ainsi qu'à la Mesure N° 4 de l'AMNT</w:t>
      </w:r>
      <w:r w:rsidRPr="00A346CF">
        <w:rPr>
          <w:rFonts w:cstheme="minorHAnsi"/>
          <w:sz w:val="22"/>
          <w:szCs w:val="22"/>
        </w:rPr>
        <w:noBreakHyphen/>
        <w:t>24, au titre de laquelle le TSB est invité à organiser des ateliers réunissant les parties prenantes de l'écosystème OTT. Les thèmes abordés lors de l'atelier concordent avec les travaux connexes menés actuellement au sein des Commissions d'études 2 et 3 de l'UIT-T.</w:t>
      </w:r>
    </w:p>
    <w:p w14:paraId="4A48A5E3" w14:textId="77777777" w:rsidR="005F49A8" w:rsidRPr="00A346CF" w:rsidRDefault="005F49A8" w:rsidP="005F49A8">
      <w:pPr>
        <w:rPr>
          <w:rFonts w:cstheme="minorHAnsi"/>
          <w:sz w:val="22"/>
          <w:szCs w:val="22"/>
        </w:rPr>
      </w:pPr>
      <w:r w:rsidRPr="00A346CF">
        <w:rPr>
          <w:rFonts w:cstheme="minorHAnsi"/>
          <w:sz w:val="22"/>
          <w:szCs w:val="22"/>
        </w:rPr>
        <w:t>5</w:t>
      </w:r>
      <w:r w:rsidRPr="00A346CF">
        <w:rPr>
          <w:rFonts w:cstheme="minorHAnsi"/>
          <w:sz w:val="22"/>
          <w:szCs w:val="22"/>
        </w:rPr>
        <w:tab/>
        <w:t>L'atelier s'adresse aux représentants des autorités nationales de régulation, des ministères, des fournisseurs et vendeurs de services et de solutions, des établissements universitaires, des organismes de recherche-développement, des groupes de défense des droits des consommateurs et d'autres organisations travaillant sur des questions relatives aux télécommunications.</w:t>
      </w:r>
    </w:p>
    <w:p w14:paraId="6010D898" w14:textId="77777777" w:rsidR="005F49A8" w:rsidRPr="00A346CF" w:rsidRDefault="005F49A8" w:rsidP="005F49A8">
      <w:pPr>
        <w:rPr>
          <w:rFonts w:cstheme="minorHAnsi"/>
          <w:sz w:val="22"/>
          <w:szCs w:val="22"/>
        </w:rPr>
      </w:pPr>
      <w:r w:rsidRPr="00A346CF">
        <w:rPr>
          <w:rFonts w:cstheme="minorHAnsi"/>
          <w:sz w:val="22"/>
          <w:szCs w:val="22"/>
        </w:rPr>
        <w:lastRenderedPageBreak/>
        <w:t>6</w:t>
      </w:r>
      <w:r w:rsidRPr="00A346CF">
        <w:rPr>
          <w:rFonts w:cstheme="minorHAnsi"/>
          <w:sz w:val="22"/>
          <w:szCs w:val="22"/>
        </w:rPr>
        <w:tab/>
        <w:t>La participation à l'atelier est gratuite et ouverte aux États Membres, aux Membres de Secteur, aux Associés de l'UIT et aux établissements universitaires participant aux travaux de l'UIT, ainsi qu'à toute personne issue d'un pays Membre de l'UIT qui souhaite contribuer aux travaux. Il peut aussi s'agir de personnes qui sont membres d'organisations internationales, régionales ou nationales.</w:t>
      </w:r>
    </w:p>
    <w:p w14:paraId="015224FA" w14:textId="73E9554E" w:rsidR="005F49A8" w:rsidRPr="00A346CF" w:rsidRDefault="005F49A8" w:rsidP="005F49A8">
      <w:pPr>
        <w:rPr>
          <w:rFonts w:cstheme="minorHAnsi"/>
          <w:sz w:val="22"/>
          <w:szCs w:val="22"/>
        </w:rPr>
      </w:pPr>
      <w:r w:rsidRPr="00A346CF">
        <w:rPr>
          <w:rFonts w:cstheme="minorHAnsi"/>
          <w:sz w:val="22"/>
          <w:szCs w:val="22"/>
        </w:rPr>
        <w:t>7</w:t>
      </w:r>
      <w:r w:rsidRPr="00A346CF">
        <w:rPr>
          <w:rFonts w:cstheme="minorHAnsi"/>
          <w:sz w:val="22"/>
          <w:szCs w:val="22"/>
        </w:rPr>
        <w:tab/>
        <w:t xml:space="preserve">Toutes les informations utiles concernant l'atelier, notamment les renseignements pratiques et le projet de programme, seront communiquées sur le site web de la manifestation à l'adresse </w:t>
      </w:r>
      <w:proofErr w:type="gramStart"/>
      <w:r w:rsidRPr="00A346CF">
        <w:rPr>
          <w:rFonts w:cstheme="minorHAnsi"/>
          <w:sz w:val="22"/>
          <w:szCs w:val="22"/>
        </w:rPr>
        <w:t>suivante:</w:t>
      </w:r>
      <w:proofErr w:type="gramEnd"/>
      <w:r w:rsidRPr="00A346CF">
        <w:rPr>
          <w:rFonts w:cstheme="minorHAnsi"/>
          <w:sz w:val="22"/>
          <w:szCs w:val="22"/>
        </w:rPr>
        <w:t xml:space="preserve"> </w:t>
      </w:r>
      <w:hyperlink r:id="rId10" w:anchor="/fr" w:history="1">
        <w:r w:rsidRPr="00A346CF">
          <w:rPr>
            <w:rStyle w:val="Hyperlink"/>
            <w:rFonts w:cstheme="minorHAnsi"/>
            <w:sz w:val="22"/>
            <w:szCs w:val="22"/>
          </w:rPr>
          <w:t>https://www.itu.int/en/ITU-T/Workshops-and-Seminars/2026/0414/Pages/default.aspx</w:t>
        </w:r>
      </w:hyperlink>
      <w:r w:rsidRPr="00A346CF">
        <w:rPr>
          <w:rFonts w:cstheme="minorHAnsi"/>
          <w:sz w:val="22"/>
          <w:szCs w:val="22"/>
        </w:rPr>
        <w:t>. Ce site web sera actualisé régulièrement à mesure que parviendront des informations nouvelles ou modifiées, et les participants sont invités à le consulter régulièrement pour prendre connaissance des dernières mises à jour.</w:t>
      </w:r>
    </w:p>
    <w:p w14:paraId="4761318F" w14:textId="251BDA16" w:rsidR="005F49A8" w:rsidRPr="00A346CF" w:rsidRDefault="005F49A8" w:rsidP="005F49A8">
      <w:pPr>
        <w:rPr>
          <w:rFonts w:cstheme="minorHAnsi"/>
          <w:b/>
          <w:bCs/>
          <w:sz w:val="22"/>
          <w:szCs w:val="22"/>
        </w:rPr>
      </w:pPr>
      <w:r w:rsidRPr="00A346CF">
        <w:rPr>
          <w:rFonts w:cstheme="minorHAnsi"/>
          <w:sz w:val="22"/>
          <w:szCs w:val="22"/>
        </w:rPr>
        <w:t>8</w:t>
      </w:r>
      <w:r w:rsidRPr="00A346CF">
        <w:rPr>
          <w:rFonts w:cstheme="minorHAnsi"/>
          <w:sz w:val="22"/>
          <w:szCs w:val="22"/>
        </w:rPr>
        <w:tab/>
        <w:t xml:space="preserve">Afin de permettre au TSB de prendre les dispositions nécessaires concernant l'organisation de cet atelier, nous vous saurions gré de bien vouloir vous inscrire dès que possible à l'adresse </w:t>
      </w:r>
      <w:hyperlink r:id="rId11" w:history="1">
        <w:r w:rsidRPr="00A346CF">
          <w:rPr>
            <w:rStyle w:val="Hyperlink"/>
            <w:rFonts w:cstheme="minorHAnsi"/>
            <w:sz w:val="22"/>
            <w:szCs w:val="22"/>
          </w:rPr>
          <w:t>https://www.itu.int/net4/CRM/xreg/web/Registration.aspx?Event=C-00016347</w:t>
        </w:r>
      </w:hyperlink>
      <w:r w:rsidRPr="00A346CF">
        <w:rPr>
          <w:rFonts w:cstheme="minorHAnsi"/>
          <w:sz w:val="22"/>
          <w:szCs w:val="22"/>
        </w:rPr>
        <w:t xml:space="preserve">. </w:t>
      </w:r>
      <w:r w:rsidRPr="00A346CF">
        <w:rPr>
          <w:rFonts w:cstheme="minorHAnsi"/>
          <w:b/>
          <w:bCs/>
          <w:sz w:val="22"/>
          <w:szCs w:val="22"/>
        </w:rPr>
        <w:t>Veuillez noter que l'inscription préalable des participants à l'atelier est obligatoire et se fait exclusivement en ligne.</w:t>
      </w:r>
    </w:p>
    <w:p w14:paraId="46F2C3C2" w14:textId="76B71144" w:rsidR="00307FB4" w:rsidRPr="00A346CF" w:rsidRDefault="005F49A8" w:rsidP="005F49A8">
      <w:pPr>
        <w:rPr>
          <w:rFonts w:cstheme="minorHAnsi"/>
          <w:sz w:val="22"/>
          <w:szCs w:val="22"/>
        </w:rPr>
      </w:pPr>
      <w:r w:rsidRPr="00A346CF">
        <w:rPr>
          <w:rFonts w:cstheme="minorHAnsi"/>
          <w:sz w:val="22"/>
          <w:szCs w:val="22"/>
        </w:rPr>
        <w:t>9</w:t>
      </w:r>
      <w:r w:rsidRPr="00A346CF">
        <w:rPr>
          <w:rFonts w:cstheme="minorHAnsi"/>
          <w:sz w:val="22"/>
          <w:szCs w:val="22"/>
        </w:rPr>
        <w:tab/>
        <w:t>Nous vous rappelons que, pour les ressortissants de certains pays, l'entrée et le séjour, quelle qu'en soit la durée, au Ghana sont soumis à l'obtention d'un visa. Ce visa doit être demandé au plus tôt et obtenu auprès de la représentation du Ghana (ambassade ou consulat) dans votre pays ou, à défaut, dans le pays le plus proche de votre pays de départ. Des renseignements supplémentaires concernant les demandes de visa seront disponibles sur la page web de la manifestation, dans la rubrique "</w:t>
      </w:r>
      <w:r w:rsidRPr="00A346CF">
        <w:rPr>
          <w:rFonts w:cstheme="minorHAnsi"/>
          <w:b/>
          <w:bCs/>
          <w:sz w:val="22"/>
          <w:szCs w:val="22"/>
        </w:rPr>
        <w:t>Informations pratiques</w:t>
      </w:r>
      <w:r w:rsidRPr="00A346CF">
        <w:rPr>
          <w:rFonts w:cstheme="minorHAnsi"/>
          <w:sz w:val="22"/>
          <w:szCs w:val="22"/>
        </w:rPr>
        <w:t>".</w:t>
      </w:r>
    </w:p>
    <w:p w14:paraId="6A4CD67F" w14:textId="77777777" w:rsidR="00307FB4" w:rsidRPr="00A346CF" w:rsidRDefault="00307FB4" w:rsidP="00307FB4">
      <w:pPr>
        <w:rPr>
          <w:rFonts w:cstheme="minorHAnsi"/>
          <w:bCs/>
          <w:sz w:val="22"/>
          <w:szCs w:val="22"/>
        </w:rPr>
      </w:pPr>
      <w:r w:rsidRPr="00A346CF">
        <w:rPr>
          <w:rFonts w:cstheme="minorHAnsi"/>
          <w:bCs/>
          <w:sz w:val="22"/>
          <w:szCs w:val="22"/>
        </w:rPr>
        <w:t>Veuillez agréer, Madame, Monsieur, l'assurance de ma considération distinguée.</w:t>
      </w:r>
    </w:p>
    <w:p w14:paraId="693C5ABE" w14:textId="3B1FFB06" w:rsidR="008F6572" w:rsidRPr="00A346CF" w:rsidRDefault="004818C5" w:rsidP="00A346CF">
      <w:pPr>
        <w:spacing w:before="720"/>
        <w:rPr>
          <w:rFonts w:cstheme="minorHAnsi"/>
          <w:sz w:val="22"/>
          <w:szCs w:val="22"/>
        </w:rPr>
      </w:pPr>
      <w:r>
        <w:rPr>
          <w:rFonts w:cstheme="minorHAnsi"/>
          <w:bCs/>
          <w:noProof/>
          <w:sz w:val="22"/>
          <w:szCs w:val="22"/>
        </w:rPr>
        <w:drawing>
          <wp:anchor distT="0" distB="0" distL="114300" distR="114300" simplePos="0" relativeHeight="251658240" behindDoc="1" locked="0" layoutInCell="1" allowOverlap="1" wp14:anchorId="54EDDA90" wp14:editId="43152BB2">
            <wp:simplePos x="0" y="0"/>
            <wp:positionH relativeFrom="margin">
              <wp:align>left</wp:align>
            </wp:positionH>
            <wp:positionV relativeFrom="paragraph">
              <wp:posOffset>59055</wp:posOffset>
            </wp:positionV>
            <wp:extent cx="692186" cy="330217"/>
            <wp:effectExtent l="0" t="0" r="0" b="0"/>
            <wp:wrapNone/>
            <wp:docPr id="1144296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96544" name="Picture 1144296544"/>
                    <pic:cNvPicPr/>
                  </pic:nvPicPr>
                  <pic:blipFill>
                    <a:blip r:embed="rId12">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A346CF">
        <w:rPr>
          <w:rFonts w:cstheme="minorHAnsi"/>
          <w:bCs/>
          <w:sz w:val="22"/>
          <w:szCs w:val="22"/>
        </w:rPr>
        <w:t>Seizo Onoe</w:t>
      </w:r>
      <w:r w:rsidR="00B60868" w:rsidRPr="00A346CF">
        <w:rPr>
          <w:rFonts w:cstheme="minorHAnsi"/>
          <w:bCs/>
          <w:sz w:val="22"/>
          <w:szCs w:val="22"/>
        </w:rPr>
        <w:br/>
      </w:r>
      <w:r w:rsidR="00307FB4" w:rsidRPr="00A346CF">
        <w:rPr>
          <w:rFonts w:cstheme="minorHAnsi"/>
          <w:bCs/>
          <w:sz w:val="22"/>
          <w:szCs w:val="22"/>
        </w:rPr>
        <w:t>Directeur du Bureau de la normalisation</w:t>
      </w:r>
      <w:r w:rsidR="00B60868" w:rsidRPr="00A346CF">
        <w:rPr>
          <w:rFonts w:cstheme="minorHAnsi"/>
          <w:bCs/>
          <w:sz w:val="22"/>
          <w:szCs w:val="22"/>
        </w:rPr>
        <w:br/>
      </w:r>
      <w:r w:rsidR="00307FB4" w:rsidRPr="00A346CF">
        <w:rPr>
          <w:rFonts w:cstheme="minorHAnsi"/>
          <w:bCs/>
          <w:sz w:val="22"/>
          <w:szCs w:val="22"/>
        </w:rPr>
        <w:t>des télécommunications</w:t>
      </w:r>
    </w:p>
    <w:sectPr w:rsidR="008F6572" w:rsidRPr="00A346CF" w:rsidSect="00A15179">
      <w:headerReference w:type="even" r:id="rId13"/>
      <w:headerReference w:type="default" r:id="rId14"/>
      <w:footerReference w:type="even" r:id="rId15"/>
      <w:footerReference w:type="default" r:id="rId16"/>
      <w:headerReference w:type="firs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5FEC" w14:textId="77777777" w:rsidR="00357A58" w:rsidRDefault="00357A58">
      <w:r>
        <w:separator/>
      </w:r>
    </w:p>
  </w:endnote>
  <w:endnote w:type="continuationSeparator" w:id="0">
    <w:p w14:paraId="6409F0F3" w14:textId="77777777" w:rsidR="00357A58" w:rsidRDefault="0035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26AF" w14:textId="77777777" w:rsidR="006F765C" w:rsidRDefault="006F7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4CF7" w14:textId="77777777" w:rsidR="006F765C" w:rsidRDefault="006F7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128FB3AD"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F21B" w14:textId="77777777" w:rsidR="00357A58" w:rsidRDefault="00357A58">
      <w:r>
        <w:t>____________________</w:t>
      </w:r>
    </w:p>
  </w:footnote>
  <w:footnote w:type="continuationSeparator" w:id="0">
    <w:p w14:paraId="21212119" w14:textId="77777777" w:rsidR="00357A58" w:rsidRDefault="0035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E6BF" w14:textId="77777777" w:rsidR="006F765C" w:rsidRDefault="006F7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31BE90A" w:rsidR="00697BC1" w:rsidRPr="00697BC1" w:rsidRDefault="006F765C" w:rsidP="00697BC1">
    <w:pPr>
      <w:pStyle w:val="Header"/>
      <w:rPr>
        <w:sz w:val="18"/>
        <w:szCs w:val="16"/>
      </w:rPr>
    </w:pPr>
    <w:r>
      <w:rPr>
        <w:sz w:val="18"/>
        <w:szCs w:val="16"/>
      </w:rPr>
      <w:t>-</w:t>
    </w: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Pr>
            <w:noProof/>
            <w:sz w:val="18"/>
            <w:szCs w:val="16"/>
          </w:rPr>
          <w:t>-</w:t>
        </w:r>
      </w:sdtContent>
    </w:sdt>
    <w:r w:rsidR="00AF0D7D">
      <w:rPr>
        <w:noProof/>
        <w:sz w:val="18"/>
        <w:szCs w:val="16"/>
      </w:rPr>
      <w:br/>
      <w:t xml:space="preserve">Circulaire TSB </w:t>
    </w:r>
    <w:r w:rsidR="00C924FB">
      <w:rPr>
        <w:noProof/>
        <w:sz w:val="18"/>
        <w:szCs w:val="16"/>
      </w:rPr>
      <w:t>11</w:t>
    </w:r>
    <w:r w:rsidR="005620B9">
      <w:rPr>
        <w:noProof/>
        <w:sz w:val="18"/>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EB43" w14:textId="77777777" w:rsidR="006F765C" w:rsidRDefault="006F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A11F9"/>
    <w:rsid w:val="000B0D96"/>
    <w:rsid w:val="000B59D8"/>
    <w:rsid w:val="000C1F6B"/>
    <w:rsid w:val="000C25CC"/>
    <w:rsid w:val="000C56BE"/>
    <w:rsid w:val="001026FD"/>
    <w:rsid w:val="001077FD"/>
    <w:rsid w:val="00115DD7"/>
    <w:rsid w:val="00142EEB"/>
    <w:rsid w:val="00167472"/>
    <w:rsid w:val="00167F92"/>
    <w:rsid w:val="00173738"/>
    <w:rsid w:val="001B79A3"/>
    <w:rsid w:val="001D0823"/>
    <w:rsid w:val="002152A3"/>
    <w:rsid w:val="0023667A"/>
    <w:rsid w:val="002937DB"/>
    <w:rsid w:val="002E395D"/>
    <w:rsid w:val="002F6613"/>
    <w:rsid w:val="00307FB4"/>
    <w:rsid w:val="003131F0"/>
    <w:rsid w:val="00321CF2"/>
    <w:rsid w:val="00327BC8"/>
    <w:rsid w:val="00333A80"/>
    <w:rsid w:val="00341117"/>
    <w:rsid w:val="00357A58"/>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818C5"/>
    <w:rsid w:val="004977C9"/>
    <w:rsid w:val="004B4C07"/>
    <w:rsid w:val="004B732E"/>
    <w:rsid w:val="004D51F4"/>
    <w:rsid w:val="004D64E0"/>
    <w:rsid w:val="005120A2"/>
    <w:rsid w:val="0051210D"/>
    <w:rsid w:val="005136D2"/>
    <w:rsid w:val="00517A03"/>
    <w:rsid w:val="005620B9"/>
    <w:rsid w:val="005A3DD9"/>
    <w:rsid w:val="005B1DFC"/>
    <w:rsid w:val="005F49A8"/>
    <w:rsid w:val="00601682"/>
    <w:rsid w:val="00603470"/>
    <w:rsid w:val="00625E79"/>
    <w:rsid w:val="006333F7"/>
    <w:rsid w:val="006427A1"/>
    <w:rsid w:val="00644741"/>
    <w:rsid w:val="00651000"/>
    <w:rsid w:val="00697BC1"/>
    <w:rsid w:val="006A6FFE"/>
    <w:rsid w:val="006C157E"/>
    <w:rsid w:val="006C5A91"/>
    <w:rsid w:val="006D7272"/>
    <w:rsid w:val="006F52F7"/>
    <w:rsid w:val="006F765C"/>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8F6572"/>
    <w:rsid w:val="00923CD6"/>
    <w:rsid w:val="00935AA8"/>
    <w:rsid w:val="00971C9A"/>
    <w:rsid w:val="009D51FA"/>
    <w:rsid w:val="009F1E23"/>
    <w:rsid w:val="00A15179"/>
    <w:rsid w:val="00A346CF"/>
    <w:rsid w:val="00A51537"/>
    <w:rsid w:val="00A5280F"/>
    <w:rsid w:val="00A5645A"/>
    <w:rsid w:val="00A60FC1"/>
    <w:rsid w:val="00A97C37"/>
    <w:rsid w:val="00AA131B"/>
    <w:rsid w:val="00AC37B5"/>
    <w:rsid w:val="00AD752F"/>
    <w:rsid w:val="00AF08A4"/>
    <w:rsid w:val="00AF0D7D"/>
    <w:rsid w:val="00B1655B"/>
    <w:rsid w:val="00B27B41"/>
    <w:rsid w:val="00B42659"/>
    <w:rsid w:val="00B46F2D"/>
    <w:rsid w:val="00B60868"/>
    <w:rsid w:val="00B8573E"/>
    <w:rsid w:val="00B94CA3"/>
    <w:rsid w:val="00BB24C0"/>
    <w:rsid w:val="00BD6ECF"/>
    <w:rsid w:val="00C26F2E"/>
    <w:rsid w:val="00C302E3"/>
    <w:rsid w:val="00C41B89"/>
    <w:rsid w:val="00C45376"/>
    <w:rsid w:val="00C9028F"/>
    <w:rsid w:val="00C924FB"/>
    <w:rsid w:val="00CA0416"/>
    <w:rsid w:val="00CB1125"/>
    <w:rsid w:val="00CB4E80"/>
    <w:rsid w:val="00CD042E"/>
    <w:rsid w:val="00CF0A57"/>
    <w:rsid w:val="00CF2560"/>
    <w:rsid w:val="00CF5B46"/>
    <w:rsid w:val="00D46B68"/>
    <w:rsid w:val="00D542A5"/>
    <w:rsid w:val="00DC3D47"/>
    <w:rsid w:val="00DD77DA"/>
    <w:rsid w:val="00E06C61"/>
    <w:rsid w:val="00E13DB3"/>
    <w:rsid w:val="00E2408B"/>
    <w:rsid w:val="00E616F5"/>
    <w:rsid w:val="00E62CEA"/>
    <w:rsid w:val="00E72AE1"/>
    <w:rsid w:val="00ED6A7A"/>
    <w:rsid w:val="00EE4C36"/>
    <w:rsid w:val="00EF6A23"/>
    <w:rsid w:val="00F346CE"/>
    <w:rsid w:val="00F34F98"/>
    <w:rsid w:val="00F40540"/>
    <w:rsid w:val="00F65E1A"/>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Reasons">
    <w:name w:val="Reasons"/>
    <w:basedOn w:val="Normal"/>
    <w:qFormat/>
    <w:rsid w:val="008F657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Registration.aspx?Event=C-0001634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ITU-T/Workshops-and-Seminars/2026/0414/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7</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5272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Chaudhary, Manvi</cp:lastModifiedBy>
  <cp:revision>2</cp:revision>
  <cp:lastPrinted>2026-03-05T10:45:00Z</cp:lastPrinted>
  <dcterms:created xsi:type="dcterms:W3CDTF">2026-03-05T16:39:00Z</dcterms:created>
  <dcterms:modified xsi:type="dcterms:W3CDTF">2026-03-05T16:39:00Z</dcterms:modified>
</cp:coreProperties>
</file>