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15"/>
        <w:tblW w:w="0" w:type="auto"/>
        <w:tblCellMar>
          <w:left w:w="0" w:type="dxa"/>
          <w:right w:w="0" w:type="dxa"/>
        </w:tblCellMar>
        <w:tblLook w:val="0000" w:firstRow="0" w:lastRow="0" w:firstColumn="0" w:lastColumn="0" w:noHBand="0" w:noVBand="0"/>
      </w:tblPr>
      <w:tblGrid>
        <w:gridCol w:w="1279"/>
        <w:gridCol w:w="3399"/>
        <w:gridCol w:w="5051"/>
      </w:tblGrid>
      <w:tr w:rsidR="00EF6A23" w:rsidRPr="004A46E0" w14:paraId="3FDAE1F3" w14:textId="77777777" w:rsidTr="00C44E31">
        <w:trPr>
          <w:cantSplit/>
        </w:trPr>
        <w:tc>
          <w:tcPr>
            <w:tcW w:w="0" w:type="auto"/>
            <w:vAlign w:val="center"/>
          </w:tcPr>
          <w:p w14:paraId="3DE42CAA" w14:textId="77777777" w:rsidR="00EF6A23" w:rsidRPr="004A46E0" w:rsidRDefault="00EF6A23" w:rsidP="00C44E31">
            <w:pPr>
              <w:tabs>
                <w:tab w:val="right" w:pos="8732"/>
              </w:tabs>
              <w:spacing w:before="0"/>
              <w:rPr>
                <w:b/>
                <w:bCs/>
                <w:iCs/>
                <w:color w:val="FFFFFF"/>
                <w:sz w:val="30"/>
                <w:szCs w:val="30"/>
              </w:rPr>
            </w:pPr>
            <w:r w:rsidRPr="004A46E0">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4A46E0" w:rsidRDefault="00EF6A23" w:rsidP="00C44E31">
            <w:pPr>
              <w:spacing w:before="0"/>
              <w:rPr>
                <w:rFonts w:cs="Times New Roman Bold"/>
                <w:b/>
                <w:bCs/>
                <w:iCs/>
                <w:smallCaps/>
                <w:sz w:val="34"/>
                <w:szCs w:val="34"/>
              </w:rPr>
            </w:pPr>
            <w:r w:rsidRPr="004A46E0">
              <w:rPr>
                <w:rFonts w:cs="Times New Roman Bold"/>
                <w:b/>
                <w:bCs/>
                <w:iCs/>
                <w:smallCaps/>
                <w:sz w:val="34"/>
                <w:szCs w:val="34"/>
              </w:rPr>
              <w:t>Union internationale des télécommunications</w:t>
            </w:r>
          </w:p>
          <w:p w14:paraId="089E66D0" w14:textId="65CE69B8" w:rsidR="00EF6A23" w:rsidRPr="004A46E0" w:rsidRDefault="00EF6A23" w:rsidP="00C44E31">
            <w:pPr>
              <w:spacing w:before="0"/>
              <w:rPr>
                <w:color w:val="FFFFFF"/>
                <w:sz w:val="26"/>
                <w:szCs w:val="26"/>
              </w:rPr>
            </w:pPr>
            <w:r w:rsidRPr="004A46E0">
              <w:rPr>
                <w:rFonts w:cs="Times New Roman Bold"/>
                <w:b/>
                <w:bCs/>
                <w:iCs/>
                <w:smallCaps/>
                <w:sz w:val="28"/>
                <w:szCs w:val="28"/>
              </w:rPr>
              <w:t>B</w:t>
            </w:r>
            <w:r w:rsidRPr="004A46E0">
              <w:rPr>
                <w:b/>
                <w:bCs/>
                <w:iCs/>
                <w:smallCaps/>
                <w:sz w:val="28"/>
                <w:szCs w:val="28"/>
              </w:rPr>
              <w:t>ureau de la Normalisation des Télécommunications</w:t>
            </w:r>
          </w:p>
        </w:tc>
      </w:tr>
      <w:tr w:rsidR="00036F4F" w:rsidRPr="00C44E31" w14:paraId="18B25741" w14:textId="77777777" w:rsidTr="00C44E31">
        <w:trPr>
          <w:cantSplit/>
        </w:trPr>
        <w:tc>
          <w:tcPr>
            <w:tcW w:w="0" w:type="auto"/>
          </w:tcPr>
          <w:p w14:paraId="4B1AFD72" w14:textId="77777777" w:rsidR="00036F4F" w:rsidRPr="00C44E31" w:rsidRDefault="00036F4F" w:rsidP="00C44E31">
            <w:pPr>
              <w:tabs>
                <w:tab w:val="left" w:pos="4111"/>
              </w:tabs>
              <w:spacing w:before="10"/>
              <w:ind w:left="57"/>
              <w:rPr>
                <w:rFonts w:cstheme="minorHAnsi"/>
                <w:sz w:val="22"/>
                <w:szCs w:val="22"/>
              </w:rPr>
            </w:pPr>
          </w:p>
        </w:tc>
        <w:tc>
          <w:tcPr>
            <w:tcW w:w="3399" w:type="dxa"/>
          </w:tcPr>
          <w:p w14:paraId="6579D3E8" w14:textId="77777777" w:rsidR="00036F4F" w:rsidRPr="00C44E31" w:rsidRDefault="00036F4F" w:rsidP="00C44E31">
            <w:pPr>
              <w:tabs>
                <w:tab w:val="left" w:pos="4111"/>
              </w:tabs>
              <w:spacing w:before="10"/>
              <w:ind w:left="57"/>
              <w:rPr>
                <w:rFonts w:cstheme="minorHAnsi"/>
                <w:b/>
                <w:sz w:val="22"/>
                <w:szCs w:val="22"/>
              </w:rPr>
            </w:pPr>
          </w:p>
        </w:tc>
        <w:tc>
          <w:tcPr>
            <w:tcW w:w="5051" w:type="dxa"/>
          </w:tcPr>
          <w:p w14:paraId="0DC34ECA" w14:textId="27BF2ABB" w:rsidR="00036F4F" w:rsidRPr="00C44E31" w:rsidRDefault="00036F4F" w:rsidP="00C44E31">
            <w:pPr>
              <w:tabs>
                <w:tab w:val="clear" w:pos="794"/>
                <w:tab w:val="clear" w:pos="1191"/>
                <w:tab w:val="clear" w:pos="1588"/>
                <w:tab w:val="clear" w:pos="1985"/>
                <w:tab w:val="left" w:pos="284"/>
              </w:tabs>
              <w:spacing w:after="120"/>
              <w:ind w:left="284" w:hanging="227"/>
              <w:rPr>
                <w:rFonts w:cstheme="minorHAnsi"/>
                <w:sz w:val="22"/>
                <w:szCs w:val="22"/>
              </w:rPr>
            </w:pPr>
            <w:r w:rsidRPr="00C44E31">
              <w:rPr>
                <w:rFonts w:cstheme="minorHAnsi"/>
                <w:sz w:val="22"/>
                <w:szCs w:val="22"/>
              </w:rPr>
              <w:t>Genève, le</w:t>
            </w:r>
            <w:r w:rsidR="004419E9" w:rsidRPr="00C44E31">
              <w:rPr>
                <w:rFonts w:cstheme="minorHAnsi"/>
                <w:sz w:val="22"/>
                <w:szCs w:val="22"/>
              </w:rPr>
              <w:t xml:space="preserve"> </w:t>
            </w:r>
            <w:r w:rsidR="00EF0639" w:rsidRPr="00C44E31">
              <w:rPr>
                <w:rFonts w:cstheme="minorHAnsi"/>
                <w:color w:val="000000"/>
                <w:sz w:val="22"/>
                <w:szCs w:val="22"/>
              </w:rPr>
              <w:t>13 février 2026</w:t>
            </w:r>
          </w:p>
        </w:tc>
      </w:tr>
      <w:tr w:rsidR="00C44E31" w:rsidRPr="00C44E31" w14:paraId="16CDDFEF" w14:textId="77777777" w:rsidTr="00C44E31">
        <w:trPr>
          <w:cantSplit/>
          <w:trHeight w:val="340"/>
        </w:trPr>
        <w:tc>
          <w:tcPr>
            <w:tcW w:w="0" w:type="auto"/>
          </w:tcPr>
          <w:p w14:paraId="3EFF375D" w14:textId="58556577" w:rsidR="00C44E31" w:rsidRPr="00C44E31" w:rsidRDefault="00C44E31" w:rsidP="00C44E31">
            <w:pPr>
              <w:tabs>
                <w:tab w:val="left" w:pos="4111"/>
              </w:tabs>
              <w:spacing w:before="10"/>
              <w:ind w:left="57"/>
              <w:rPr>
                <w:rFonts w:cstheme="minorHAnsi"/>
                <w:b/>
                <w:bCs/>
                <w:sz w:val="22"/>
                <w:szCs w:val="22"/>
              </w:rPr>
            </w:pPr>
            <w:proofErr w:type="gramStart"/>
            <w:r w:rsidRPr="00C44E31">
              <w:rPr>
                <w:rFonts w:cstheme="minorHAnsi"/>
                <w:b/>
                <w:bCs/>
                <w:sz w:val="22"/>
                <w:szCs w:val="22"/>
              </w:rPr>
              <w:t>Réf.:</w:t>
            </w:r>
            <w:proofErr w:type="gramEnd"/>
          </w:p>
        </w:tc>
        <w:tc>
          <w:tcPr>
            <w:tcW w:w="3399" w:type="dxa"/>
          </w:tcPr>
          <w:p w14:paraId="6DC526C4" w14:textId="77777777" w:rsidR="00C44E31" w:rsidRPr="00C44E31" w:rsidRDefault="00C44E31" w:rsidP="00C44E31">
            <w:pPr>
              <w:tabs>
                <w:tab w:val="left" w:pos="4111"/>
              </w:tabs>
              <w:spacing w:before="40" w:after="40"/>
              <w:ind w:left="227" w:hanging="170"/>
              <w:rPr>
                <w:rFonts w:cstheme="minorHAnsi"/>
                <w:b/>
                <w:sz w:val="22"/>
                <w:szCs w:val="22"/>
              </w:rPr>
            </w:pPr>
            <w:r w:rsidRPr="00C44E31">
              <w:rPr>
                <w:rFonts w:cstheme="minorHAnsi"/>
                <w:b/>
                <w:sz w:val="22"/>
                <w:szCs w:val="22"/>
              </w:rPr>
              <w:t>Lettre collective TSB 112</w:t>
            </w:r>
          </w:p>
          <w:p w14:paraId="577F6DA2" w14:textId="3F6D0CB3" w:rsidR="00C44E31" w:rsidRPr="00C44E31" w:rsidRDefault="00C44E31" w:rsidP="00C44E31">
            <w:pPr>
              <w:tabs>
                <w:tab w:val="left" w:pos="4111"/>
              </w:tabs>
              <w:spacing w:before="10"/>
              <w:ind w:left="57"/>
              <w:rPr>
                <w:rFonts w:cstheme="minorHAnsi"/>
                <w:b/>
                <w:bCs/>
                <w:sz w:val="22"/>
                <w:szCs w:val="22"/>
              </w:rPr>
            </w:pPr>
            <w:r w:rsidRPr="00C44E31">
              <w:rPr>
                <w:rFonts w:cstheme="minorHAnsi"/>
                <w:color w:val="000000"/>
                <w:sz w:val="22"/>
                <w:szCs w:val="22"/>
              </w:rPr>
              <w:t>Manifestations du TSB/XY</w:t>
            </w:r>
          </w:p>
        </w:tc>
        <w:tc>
          <w:tcPr>
            <w:tcW w:w="5051" w:type="dxa"/>
            <w:vMerge w:val="restart"/>
          </w:tcPr>
          <w:p w14:paraId="43211CD1" w14:textId="77777777" w:rsidR="00C44E31" w:rsidRPr="00C44E31" w:rsidRDefault="00C44E31" w:rsidP="00C44E31">
            <w:pPr>
              <w:spacing w:before="0" w:after="40"/>
              <w:ind w:left="432" w:hanging="432"/>
              <w:rPr>
                <w:rFonts w:cstheme="minorHAnsi"/>
                <w:sz w:val="22"/>
                <w:szCs w:val="22"/>
              </w:rPr>
            </w:pPr>
            <w:bookmarkStart w:id="0" w:name="Addressee_F"/>
            <w:bookmarkEnd w:id="0"/>
            <w:r w:rsidRPr="00C44E31">
              <w:rPr>
                <w:rFonts w:cstheme="minorHAnsi"/>
                <w:sz w:val="22"/>
                <w:szCs w:val="22"/>
              </w:rPr>
              <w:t>–</w:t>
            </w:r>
            <w:r w:rsidRPr="00C44E31">
              <w:rPr>
                <w:rFonts w:cstheme="minorHAnsi"/>
                <w:sz w:val="22"/>
                <w:szCs w:val="22"/>
              </w:rPr>
              <w:tab/>
            </w:r>
            <w:r w:rsidRPr="00C44E31">
              <w:rPr>
                <w:rFonts w:cstheme="minorHAnsi"/>
                <w:color w:val="000000"/>
                <w:sz w:val="22"/>
                <w:szCs w:val="22"/>
              </w:rPr>
              <w:t xml:space="preserve">Aux Administrations des États Membres de </w:t>
            </w:r>
            <w:proofErr w:type="gramStart"/>
            <w:r w:rsidRPr="00C44E31">
              <w:rPr>
                <w:rFonts w:cstheme="minorHAnsi"/>
                <w:color w:val="000000"/>
                <w:sz w:val="22"/>
                <w:szCs w:val="22"/>
              </w:rPr>
              <w:t>l'Union;</w:t>
            </w:r>
            <w:proofErr w:type="gramEnd"/>
          </w:p>
          <w:p w14:paraId="685B5E22" w14:textId="110B42CC" w:rsidR="00C44E31" w:rsidRPr="00C44E31" w:rsidRDefault="00C44E31" w:rsidP="00C44E31">
            <w:pPr>
              <w:spacing w:before="0" w:after="40"/>
              <w:ind w:left="432" w:hanging="432"/>
              <w:rPr>
                <w:rFonts w:cstheme="minorHAnsi"/>
                <w:sz w:val="22"/>
                <w:szCs w:val="22"/>
              </w:rPr>
            </w:pPr>
            <w:r w:rsidRPr="00C44E31">
              <w:rPr>
                <w:rFonts w:cstheme="minorHAnsi"/>
                <w:sz w:val="22"/>
                <w:szCs w:val="22"/>
              </w:rPr>
              <w:t>–</w:t>
            </w:r>
            <w:r w:rsidRPr="00C44E31">
              <w:rPr>
                <w:rFonts w:cstheme="minorHAnsi"/>
                <w:sz w:val="22"/>
                <w:szCs w:val="22"/>
              </w:rPr>
              <w:tab/>
            </w:r>
            <w:r w:rsidRPr="00C44E31">
              <w:rPr>
                <w:rFonts w:cstheme="minorHAnsi"/>
                <w:color w:val="000000"/>
                <w:sz w:val="22"/>
                <w:szCs w:val="22"/>
              </w:rPr>
              <w:t>À l'État de Palestine</w:t>
            </w:r>
            <w:r w:rsidRPr="00C44E31">
              <w:rPr>
                <w:rFonts w:cstheme="minorHAnsi"/>
                <w:color w:val="000000"/>
                <w:sz w:val="22"/>
                <w:szCs w:val="22"/>
              </w:rPr>
              <w:br/>
              <w:t>(Rés. 99 (Rév. Dubaï, 2018)</w:t>
            </w:r>
            <w:proofErr w:type="gramStart"/>
            <w:r w:rsidRPr="00C44E31">
              <w:rPr>
                <w:rFonts w:cstheme="minorHAnsi"/>
                <w:color w:val="000000"/>
                <w:sz w:val="22"/>
                <w:szCs w:val="22"/>
              </w:rPr>
              <w:t>);</w:t>
            </w:r>
            <w:proofErr w:type="gramEnd"/>
          </w:p>
          <w:p w14:paraId="143720E3" w14:textId="77777777" w:rsidR="00C44E31" w:rsidRPr="00C44E31" w:rsidRDefault="00C44E31" w:rsidP="00C44E31">
            <w:pPr>
              <w:spacing w:before="0" w:after="40"/>
              <w:ind w:left="432" w:hanging="432"/>
              <w:rPr>
                <w:rFonts w:cstheme="minorHAnsi"/>
                <w:sz w:val="22"/>
                <w:szCs w:val="22"/>
              </w:rPr>
            </w:pPr>
            <w:r w:rsidRPr="00C44E31">
              <w:rPr>
                <w:rFonts w:cstheme="minorHAnsi"/>
                <w:sz w:val="22"/>
                <w:szCs w:val="22"/>
              </w:rPr>
              <w:t>–</w:t>
            </w:r>
            <w:r w:rsidRPr="00C44E31">
              <w:rPr>
                <w:rFonts w:cstheme="minorHAnsi"/>
                <w:sz w:val="22"/>
                <w:szCs w:val="22"/>
              </w:rPr>
              <w:tab/>
            </w:r>
            <w:r w:rsidRPr="00C44E31">
              <w:rPr>
                <w:rFonts w:cstheme="minorHAnsi"/>
                <w:color w:val="000000"/>
                <w:sz w:val="22"/>
                <w:szCs w:val="22"/>
              </w:rPr>
              <w:t>Aux Membres du Secteur de l'UIT-</w:t>
            </w:r>
            <w:proofErr w:type="gramStart"/>
            <w:r w:rsidRPr="00C44E31">
              <w:rPr>
                <w:rFonts w:cstheme="minorHAnsi"/>
                <w:color w:val="000000"/>
                <w:sz w:val="22"/>
                <w:szCs w:val="22"/>
              </w:rPr>
              <w:t>T;</w:t>
            </w:r>
            <w:proofErr w:type="gramEnd"/>
          </w:p>
          <w:p w14:paraId="21F55279" w14:textId="77777777" w:rsidR="00C44E31" w:rsidRPr="00C44E31" w:rsidRDefault="00C44E31" w:rsidP="00C44E31">
            <w:pPr>
              <w:spacing w:before="0" w:after="40"/>
              <w:ind w:left="432" w:hanging="432"/>
              <w:rPr>
                <w:rFonts w:cstheme="minorHAnsi"/>
                <w:sz w:val="22"/>
                <w:szCs w:val="22"/>
              </w:rPr>
            </w:pPr>
            <w:r w:rsidRPr="00C44E31">
              <w:rPr>
                <w:rFonts w:cstheme="minorHAnsi"/>
                <w:sz w:val="22"/>
                <w:szCs w:val="22"/>
              </w:rPr>
              <w:t>–</w:t>
            </w:r>
            <w:r w:rsidRPr="00C44E31">
              <w:rPr>
                <w:rFonts w:cstheme="minorHAnsi"/>
                <w:sz w:val="22"/>
                <w:szCs w:val="22"/>
              </w:rPr>
              <w:tab/>
            </w:r>
            <w:r w:rsidRPr="00C44E31">
              <w:rPr>
                <w:rFonts w:cstheme="minorHAnsi"/>
                <w:color w:val="000000"/>
                <w:sz w:val="22"/>
                <w:szCs w:val="22"/>
              </w:rPr>
              <w:t>Aux Associés de l'UIT-</w:t>
            </w:r>
            <w:proofErr w:type="gramStart"/>
            <w:r w:rsidRPr="00C44E31">
              <w:rPr>
                <w:rFonts w:cstheme="minorHAnsi"/>
                <w:color w:val="000000"/>
                <w:sz w:val="22"/>
                <w:szCs w:val="22"/>
              </w:rPr>
              <w:t>T;</w:t>
            </w:r>
            <w:proofErr w:type="gramEnd"/>
          </w:p>
          <w:p w14:paraId="00A0D34F" w14:textId="77777777" w:rsidR="00C44E31" w:rsidRPr="00C44E31" w:rsidRDefault="00C44E31" w:rsidP="00C44E31">
            <w:pPr>
              <w:tabs>
                <w:tab w:val="left" w:pos="4111"/>
              </w:tabs>
              <w:spacing w:before="0" w:after="40"/>
              <w:ind w:left="432" w:hanging="432"/>
              <w:rPr>
                <w:rFonts w:cstheme="minorHAnsi"/>
                <w:sz w:val="22"/>
                <w:szCs w:val="22"/>
              </w:rPr>
            </w:pPr>
            <w:r w:rsidRPr="00C44E31">
              <w:rPr>
                <w:rFonts w:cstheme="minorHAnsi"/>
                <w:sz w:val="22"/>
                <w:szCs w:val="22"/>
              </w:rPr>
              <w:t>–</w:t>
            </w:r>
            <w:r w:rsidRPr="00C44E31">
              <w:rPr>
                <w:rFonts w:cstheme="minorHAnsi"/>
                <w:sz w:val="22"/>
                <w:szCs w:val="22"/>
              </w:rPr>
              <w:tab/>
            </w:r>
            <w:r w:rsidRPr="00C44E31">
              <w:rPr>
                <w:rFonts w:cstheme="minorHAnsi"/>
                <w:color w:val="000000"/>
                <w:sz w:val="22"/>
                <w:szCs w:val="22"/>
              </w:rPr>
              <w:t>Aux établissements universitaires participant aux travaux de l'UIT</w:t>
            </w:r>
          </w:p>
          <w:p w14:paraId="34D724AA" w14:textId="77777777" w:rsidR="00C44E31" w:rsidRPr="00C44E31" w:rsidRDefault="00C44E31" w:rsidP="00C44E31">
            <w:pPr>
              <w:tabs>
                <w:tab w:val="clear" w:pos="794"/>
                <w:tab w:val="left" w:pos="4111"/>
              </w:tabs>
              <w:spacing w:before="0" w:after="40"/>
              <w:ind w:left="432" w:hanging="432"/>
              <w:rPr>
                <w:rFonts w:cstheme="minorHAnsi"/>
                <w:b/>
                <w:bCs/>
                <w:sz w:val="22"/>
                <w:szCs w:val="22"/>
              </w:rPr>
            </w:pPr>
            <w:proofErr w:type="gramStart"/>
            <w:r w:rsidRPr="00C44E31">
              <w:rPr>
                <w:rFonts w:cstheme="minorHAnsi"/>
                <w:b/>
                <w:bCs/>
                <w:sz w:val="22"/>
                <w:szCs w:val="22"/>
              </w:rPr>
              <w:t>Copie:</w:t>
            </w:r>
            <w:proofErr w:type="gramEnd"/>
          </w:p>
          <w:p w14:paraId="3CA6529E" w14:textId="77777777" w:rsidR="00C44E31" w:rsidRPr="00C44E31" w:rsidRDefault="00C44E31" w:rsidP="00C44E31">
            <w:pPr>
              <w:pStyle w:val="Tabletext0"/>
              <w:tabs>
                <w:tab w:val="clear" w:pos="284"/>
              </w:tabs>
              <w:spacing w:before="0"/>
              <w:ind w:left="432" w:hanging="432"/>
              <w:rPr>
                <w:rFonts w:asciiTheme="minorHAnsi" w:hAnsiTheme="minorHAnsi" w:cstheme="minorHAnsi"/>
                <w:sz w:val="22"/>
                <w:szCs w:val="22"/>
                <w:lang w:val="fr-FR"/>
              </w:rPr>
            </w:pPr>
            <w:r w:rsidRPr="00C44E31">
              <w:rPr>
                <w:rFonts w:asciiTheme="minorHAnsi" w:hAnsiTheme="minorHAnsi" w:cstheme="minorHAnsi"/>
                <w:sz w:val="22"/>
                <w:szCs w:val="22"/>
                <w:lang w:val="fr-FR"/>
              </w:rPr>
              <w:t>–</w:t>
            </w:r>
            <w:r w:rsidRPr="00C44E31">
              <w:rPr>
                <w:rFonts w:asciiTheme="minorHAnsi" w:hAnsiTheme="minorHAnsi" w:cstheme="minorHAnsi"/>
                <w:sz w:val="22"/>
                <w:szCs w:val="22"/>
                <w:lang w:val="fr-FR"/>
              </w:rPr>
              <w:tab/>
            </w:r>
            <w:r w:rsidRPr="00C44E31">
              <w:rPr>
                <w:rFonts w:asciiTheme="minorHAnsi" w:hAnsiTheme="minorHAnsi" w:cstheme="minorHAnsi"/>
                <w:color w:val="000000"/>
                <w:sz w:val="22"/>
                <w:szCs w:val="22"/>
                <w:lang w:val="fr-FR"/>
              </w:rPr>
              <w:t xml:space="preserve">Aux Présidents et Vice-Présidents des commissions </w:t>
            </w:r>
            <w:proofErr w:type="gramStart"/>
            <w:r w:rsidRPr="00C44E31">
              <w:rPr>
                <w:rFonts w:asciiTheme="minorHAnsi" w:hAnsiTheme="minorHAnsi" w:cstheme="minorHAnsi"/>
                <w:color w:val="000000"/>
                <w:sz w:val="22"/>
                <w:szCs w:val="22"/>
                <w:lang w:val="fr-FR"/>
              </w:rPr>
              <w:t>d'études;</w:t>
            </w:r>
            <w:proofErr w:type="gramEnd"/>
          </w:p>
          <w:p w14:paraId="53BC59F7" w14:textId="77777777" w:rsidR="00C44E31" w:rsidRPr="00C44E31" w:rsidRDefault="00C44E31" w:rsidP="00C44E31">
            <w:pPr>
              <w:pStyle w:val="Tabletext0"/>
              <w:tabs>
                <w:tab w:val="clear" w:pos="284"/>
              </w:tabs>
              <w:spacing w:before="0"/>
              <w:ind w:left="432" w:hanging="432"/>
              <w:rPr>
                <w:rFonts w:asciiTheme="minorHAnsi" w:hAnsiTheme="minorHAnsi" w:cstheme="minorHAnsi"/>
                <w:sz w:val="22"/>
                <w:szCs w:val="22"/>
                <w:lang w:val="fr-FR"/>
              </w:rPr>
            </w:pPr>
            <w:r w:rsidRPr="00C44E31">
              <w:rPr>
                <w:rFonts w:asciiTheme="minorHAnsi" w:hAnsiTheme="minorHAnsi" w:cstheme="minorHAnsi"/>
                <w:sz w:val="22"/>
                <w:szCs w:val="22"/>
                <w:lang w:val="fr-FR"/>
              </w:rPr>
              <w:t>–</w:t>
            </w:r>
            <w:r w:rsidRPr="00C44E31">
              <w:rPr>
                <w:rFonts w:asciiTheme="minorHAnsi" w:hAnsiTheme="minorHAnsi" w:cstheme="minorHAnsi"/>
                <w:sz w:val="22"/>
                <w:szCs w:val="22"/>
                <w:lang w:val="fr-FR"/>
              </w:rPr>
              <w:tab/>
            </w:r>
            <w:r w:rsidRPr="00C44E31">
              <w:rPr>
                <w:rFonts w:asciiTheme="minorHAnsi" w:hAnsiTheme="minorHAnsi" w:cstheme="minorHAnsi"/>
                <w:color w:val="000000"/>
                <w:sz w:val="22"/>
                <w:szCs w:val="22"/>
                <w:lang w:val="fr-FR"/>
              </w:rPr>
              <w:t xml:space="preserve">Au Directeur du Bureau de développement des </w:t>
            </w:r>
            <w:proofErr w:type="gramStart"/>
            <w:r w:rsidRPr="00C44E31">
              <w:rPr>
                <w:rFonts w:asciiTheme="minorHAnsi" w:hAnsiTheme="minorHAnsi" w:cstheme="minorHAnsi"/>
                <w:color w:val="000000"/>
                <w:sz w:val="22"/>
                <w:szCs w:val="22"/>
                <w:lang w:val="fr-FR"/>
              </w:rPr>
              <w:t>télécommunications;</w:t>
            </w:r>
            <w:proofErr w:type="gramEnd"/>
          </w:p>
          <w:p w14:paraId="7BD443BA" w14:textId="77777777" w:rsidR="00C44E31" w:rsidRPr="00C44E31" w:rsidRDefault="00C44E31" w:rsidP="00C44E31">
            <w:pPr>
              <w:pStyle w:val="Tabletext0"/>
              <w:tabs>
                <w:tab w:val="clear" w:pos="284"/>
              </w:tabs>
              <w:spacing w:before="0"/>
              <w:ind w:left="432" w:hanging="432"/>
              <w:rPr>
                <w:rFonts w:asciiTheme="minorHAnsi" w:hAnsiTheme="minorHAnsi" w:cstheme="minorHAnsi"/>
                <w:sz w:val="22"/>
                <w:szCs w:val="22"/>
                <w:lang w:val="fr-FR"/>
              </w:rPr>
            </w:pPr>
            <w:r w:rsidRPr="00C44E31">
              <w:rPr>
                <w:rFonts w:asciiTheme="minorHAnsi" w:hAnsiTheme="minorHAnsi" w:cstheme="minorHAnsi"/>
                <w:sz w:val="22"/>
                <w:szCs w:val="22"/>
                <w:lang w:val="fr-FR"/>
              </w:rPr>
              <w:t>–</w:t>
            </w:r>
            <w:r w:rsidRPr="00C44E31">
              <w:rPr>
                <w:rFonts w:asciiTheme="minorHAnsi" w:hAnsiTheme="minorHAnsi" w:cstheme="minorHAnsi"/>
                <w:sz w:val="22"/>
                <w:szCs w:val="22"/>
                <w:lang w:val="fr-FR"/>
              </w:rPr>
              <w:tab/>
            </w:r>
            <w:r w:rsidRPr="00C44E31">
              <w:rPr>
                <w:rFonts w:asciiTheme="minorHAnsi" w:hAnsiTheme="minorHAnsi" w:cstheme="minorHAnsi"/>
                <w:color w:val="000000"/>
                <w:sz w:val="22"/>
                <w:szCs w:val="22"/>
                <w:lang w:val="fr-FR"/>
              </w:rPr>
              <w:t xml:space="preserve">Au Directeur du Bureau des </w:t>
            </w:r>
            <w:proofErr w:type="gramStart"/>
            <w:r w:rsidRPr="00C44E31">
              <w:rPr>
                <w:rFonts w:asciiTheme="minorHAnsi" w:hAnsiTheme="minorHAnsi" w:cstheme="minorHAnsi"/>
                <w:color w:val="000000"/>
                <w:sz w:val="22"/>
                <w:szCs w:val="22"/>
                <w:lang w:val="fr-FR"/>
              </w:rPr>
              <w:t>radiocommunications;</w:t>
            </w:r>
            <w:proofErr w:type="gramEnd"/>
          </w:p>
          <w:p w14:paraId="461460AE" w14:textId="19371F19" w:rsidR="00C44E31" w:rsidRPr="00C44E31" w:rsidRDefault="00C44E31" w:rsidP="00C44E31">
            <w:pPr>
              <w:tabs>
                <w:tab w:val="left" w:pos="4111"/>
              </w:tabs>
              <w:spacing w:before="0" w:after="40"/>
              <w:ind w:left="432" w:hanging="432"/>
              <w:rPr>
                <w:rFonts w:cstheme="minorHAnsi"/>
                <w:sz w:val="22"/>
                <w:szCs w:val="22"/>
              </w:rPr>
            </w:pPr>
            <w:r w:rsidRPr="00C44E31">
              <w:rPr>
                <w:rFonts w:cstheme="minorHAnsi"/>
                <w:sz w:val="22"/>
                <w:szCs w:val="22"/>
              </w:rPr>
              <w:t>–</w:t>
            </w:r>
            <w:r w:rsidRPr="00C44E31">
              <w:rPr>
                <w:rFonts w:cstheme="minorHAnsi"/>
                <w:sz w:val="22"/>
                <w:szCs w:val="22"/>
              </w:rPr>
              <w:tab/>
            </w:r>
            <w:r w:rsidRPr="00C44E31">
              <w:rPr>
                <w:rFonts w:cstheme="minorHAnsi"/>
                <w:color w:val="000000"/>
                <w:sz w:val="22"/>
                <w:szCs w:val="22"/>
              </w:rPr>
              <w:t>Aux Directeurs des bureaux régionaux de l'UIT</w:t>
            </w:r>
          </w:p>
        </w:tc>
      </w:tr>
      <w:tr w:rsidR="00C44E31" w:rsidRPr="00C44E31" w14:paraId="06A3F0E7" w14:textId="77777777" w:rsidTr="00C44E31">
        <w:trPr>
          <w:cantSplit/>
          <w:trHeight w:val="340"/>
        </w:trPr>
        <w:tc>
          <w:tcPr>
            <w:tcW w:w="0" w:type="auto"/>
          </w:tcPr>
          <w:p w14:paraId="5CF43A7B" w14:textId="3933CF6D" w:rsidR="00C44E31" w:rsidRPr="00C44E31" w:rsidRDefault="00C44E31" w:rsidP="00C44E31">
            <w:pPr>
              <w:tabs>
                <w:tab w:val="left" w:pos="4111"/>
              </w:tabs>
              <w:spacing w:before="0"/>
              <w:ind w:left="57"/>
              <w:rPr>
                <w:rFonts w:cstheme="minorHAnsi"/>
                <w:sz w:val="22"/>
                <w:szCs w:val="22"/>
              </w:rPr>
            </w:pPr>
            <w:proofErr w:type="gramStart"/>
            <w:r w:rsidRPr="00C44E31">
              <w:rPr>
                <w:rFonts w:cstheme="minorHAnsi"/>
                <w:sz w:val="22"/>
                <w:szCs w:val="22"/>
              </w:rPr>
              <w:t>Contact:</w:t>
            </w:r>
            <w:proofErr w:type="gramEnd"/>
          </w:p>
        </w:tc>
        <w:tc>
          <w:tcPr>
            <w:tcW w:w="3399" w:type="dxa"/>
          </w:tcPr>
          <w:p w14:paraId="2074781F" w14:textId="770E95FB" w:rsidR="00C44E31" w:rsidRPr="00C44E31" w:rsidRDefault="00C44E31" w:rsidP="00C44E31">
            <w:pPr>
              <w:tabs>
                <w:tab w:val="left" w:pos="4111"/>
              </w:tabs>
              <w:spacing w:before="0"/>
              <w:ind w:left="57"/>
              <w:rPr>
                <w:rFonts w:cstheme="minorHAnsi"/>
                <w:b/>
                <w:sz w:val="22"/>
                <w:szCs w:val="22"/>
              </w:rPr>
            </w:pPr>
            <w:r w:rsidRPr="00C44E31">
              <w:rPr>
                <w:rFonts w:cstheme="minorHAnsi"/>
                <w:b/>
                <w:bCs/>
                <w:color w:val="000000"/>
                <w:sz w:val="22"/>
                <w:szCs w:val="22"/>
              </w:rPr>
              <w:t>Xiaoya Yang</w:t>
            </w:r>
          </w:p>
        </w:tc>
        <w:tc>
          <w:tcPr>
            <w:tcW w:w="5051" w:type="dxa"/>
            <w:vMerge/>
          </w:tcPr>
          <w:p w14:paraId="2F310545" w14:textId="540FE3BE" w:rsidR="00C44E31" w:rsidRPr="00C44E31" w:rsidRDefault="00C44E31" w:rsidP="00B41878">
            <w:pPr>
              <w:tabs>
                <w:tab w:val="left" w:pos="4111"/>
              </w:tabs>
              <w:spacing w:before="0"/>
              <w:ind w:left="430" w:hanging="430"/>
              <w:rPr>
                <w:rFonts w:cstheme="minorHAnsi"/>
                <w:sz w:val="22"/>
                <w:szCs w:val="22"/>
              </w:rPr>
            </w:pPr>
          </w:p>
        </w:tc>
      </w:tr>
      <w:tr w:rsidR="00C44E31" w:rsidRPr="00C44E31" w14:paraId="724FD23E" w14:textId="77777777" w:rsidTr="00C44E31">
        <w:trPr>
          <w:cantSplit/>
        </w:trPr>
        <w:tc>
          <w:tcPr>
            <w:tcW w:w="0" w:type="auto"/>
          </w:tcPr>
          <w:p w14:paraId="73149CCD" w14:textId="77777777" w:rsidR="00C44E31" w:rsidRPr="00C44E31" w:rsidRDefault="00C44E31" w:rsidP="00C44E31">
            <w:pPr>
              <w:tabs>
                <w:tab w:val="left" w:pos="4111"/>
              </w:tabs>
              <w:spacing w:before="10"/>
              <w:ind w:left="57"/>
              <w:rPr>
                <w:rFonts w:cstheme="minorHAnsi"/>
                <w:sz w:val="22"/>
                <w:szCs w:val="22"/>
              </w:rPr>
            </w:pPr>
            <w:proofErr w:type="gramStart"/>
            <w:r w:rsidRPr="00C44E31">
              <w:rPr>
                <w:rFonts w:cstheme="minorHAnsi"/>
                <w:sz w:val="22"/>
                <w:szCs w:val="22"/>
              </w:rPr>
              <w:t>Tél.:</w:t>
            </w:r>
            <w:proofErr w:type="gramEnd"/>
          </w:p>
        </w:tc>
        <w:tc>
          <w:tcPr>
            <w:tcW w:w="3399" w:type="dxa"/>
          </w:tcPr>
          <w:p w14:paraId="78D06186" w14:textId="68F5F112" w:rsidR="00C44E31" w:rsidRPr="00C44E31" w:rsidRDefault="00C44E31" w:rsidP="00C44E31">
            <w:pPr>
              <w:tabs>
                <w:tab w:val="left" w:pos="4111"/>
              </w:tabs>
              <w:spacing w:before="0"/>
              <w:ind w:left="57"/>
              <w:rPr>
                <w:rFonts w:cstheme="minorHAnsi"/>
                <w:sz w:val="22"/>
                <w:szCs w:val="22"/>
              </w:rPr>
            </w:pPr>
            <w:r w:rsidRPr="00C44E31">
              <w:rPr>
                <w:rFonts w:cstheme="minorHAnsi"/>
                <w:color w:val="000000"/>
                <w:sz w:val="22"/>
                <w:szCs w:val="22"/>
              </w:rPr>
              <w:t>+41 22 730 6206</w:t>
            </w:r>
          </w:p>
        </w:tc>
        <w:tc>
          <w:tcPr>
            <w:tcW w:w="5051" w:type="dxa"/>
            <w:vMerge/>
          </w:tcPr>
          <w:p w14:paraId="6D3A5806" w14:textId="6ED5948C" w:rsidR="00C44E31" w:rsidRPr="00C44E31" w:rsidRDefault="00C44E31" w:rsidP="00B41878">
            <w:pPr>
              <w:tabs>
                <w:tab w:val="left" w:pos="4111"/>
              </w:tabs>
              <w:spacing w:before="0"/>
              <w:ind w:left="430" w:hanging="430"/>
              <w:rPr>
                <w:rFonts w:cstheme="minorHAnsi"/>
                <w:b/>
                <w:sz w:val="22"/>
                <w:szCs w:val="22"/>
              </w:rPr>
            </w:pPr>
          </w:p>
        </w:tc>
      </w:tr>
      <w:tr w:rsidR="00C44E31" w:rsidRPr="00C44E31" w14:paraId="1FCC5592" w14:textId="77777777" w:rsidTr="00C44E31">
        <w:trPr>
          <w:cantSplit/>
          <w:trHeight w:val="74"/>
        </w:trPr>
        <w:tc>
          <w:tcPr>
            <w:tcW w:w="0" w:type="auto"/>
          </w:tcPr>
          <w:p w14:paraId="2FAC6C51" w14:textId="5DF34536" w:rsidR="00C44E31" w:rsidRPr="00C44E31" w:rsidRDefault="00C44E31" w:rsidP="00C44E31">
            <w:pPr>
              <w:tabs>
                <w:tab w:val="left" w:pos="4111"/>
              </w:tabs>
              <w:spacing w:before="10"/>
              <w:ind w:left="57"/>
              <w:rPr>
                <w:rFonts w:cstheme="minorHAnsi"/>
                <w:sz w:val="22"/>
                <w:szCs w:val="22"/>
              </w:rPr>
            </w:pPr>
            <w:proofErr w:type="gramStart"/>
            <w:r w:rsidRPr="00C44E31">
              <w:rPr>
                <w:rFonts w:cstheme="minorHAnsi"/>
                <w:sz w:val="22"/>
                <w:szCs w:val="22"/>
              </w:rPr>
              <w:t>Télécopie:</w:t>
            </w:r>
            <w:proofErr w:type="gramEnd"/>
          </w:p>
        </w:tc>
        <w:tc>
          <w:tcPr>
            <w:tcW w:w="3399" w:type="dxa"/>
          </w:tcPr>
          <w:p w14:paraId="04C429FC" w14:textId="58B30501" w:rsidR="00C44E31" w:rsidRPr="00C44E31" w:rsidRDefault="00C44E31" w:rsidP="00C44E31">
            <w:pPr>
              <w:tabs>
                <w:tab w:val="left" w:pos="4111"/>
              </w:tabs>
              <w:spacing w:before="0"/>
              <w:ind w:left="57"/>
              <w:rPr>
                <w:rFonts w:cstheme="minorHAnsi"/>
                <w:sz w:val="22"/>
                <w:szCs w:val="22"/>
              </w:rPr>
            </w:pPr>
            <w:r w:rsidRPr="00C44E31">
              <w:rPr>
                <w:rFonts w:cstheme="minorHAnsi"/>
                <w:sz w:val="22"/>
                <w:szCs w:val="22"/>
              </w:rPr>
              <w:t>+41 22 730 5853</w:t>
            </w:r>
          </w:p>
        </w:tc>
        <w:tc>
          <w:tcPr>
            <w:tcW w:w="5051" w:type="dxa"/>
            <w:vMerge/>
          </w:tcPr>
          <w:p w14:paraId="748B51C1" w14:textId="1573B6A4" w:rsidR="00C44E31" w:rsidRPr="00C44E31" w:rsidRDefault="00C44E31" w:rsidP="00B41878">
            <w:pPr>
              <w:tabs>
                <w:tab w:val="left" w:pos="4111"/>
              </w:tabs>
              <w:spacing w:before="0"/>
              <w:ind w:left="430" w:hanging="430"/>
              <w:rPr>
                <w:rFonts w:cstheme="minorHAnsi"/>
                <w:b/>
                <w:sz w:val="22"/>
                <w:szCs w:val="22"/>
              </w:rPr>
            </w:pPr>
          </w:p>
        </w:tc>
      </w:tr>
      <w:tr w:rsidR="00C44E31" w:rsidRPr="00C44E31" w14:paraId="030F9AE5" w14:textId="77777777" w:rsidTr="00C44E31">
        <w:trPr>
          <w:cantSplit/>
          <w:trHeight w:val="586"/>
        </w:trPr>
        <w:tc>
          <w:tcPr>
            <w:tcW w:w="0" w:type="auto"/>
          </w:tcPr>
          <w:p w14:paraId="7B417C4C" w14:textId="6CEDDCC7" w:rsidR="00C44E31" w:rsidRPr="00C44E31" w:rsidRDefault="00C44E31" w:rsidP="00C44E31">
            <w:pPr>
              <w:tabs>
                <w:tab w:val="left" w:pos="4111"/>
              </w:tabs>
              <w:spacing w:before="10"/>
              <w:ind w:left="57"/>
              <w:rPr>
                <w:rFonts w:cstheme="minorHAnsi"/>
                <w:sz w:val="22"/>
                <w:szCs w:val="22"/>
              </w:rPr>
            </w:pPr>
            <w:proofErr w:type="gramStart"/>
            <w:r w:rsidRPr="00C44E31">
              <w:rPr>
                <w:rFonts w:cstheme="minorHAnsi"/>
                <w:sz w:val="22"/>
                <w:szCs w:val="22"/>
              </w:rPr>
              <w:t>Courriel:</w:t>
            </w:r>
            <w:proofErr w:type="gramEnd"/>
          </w:p>
        </w:tc>
        <w:tc>
          <w:tcPr>
            <w:tcW w:w="3399" w:type="dxa"/>
          </w:tcPr>
          <w:p w14:paraId="1A4A5F7B" w14:textId="7C3BC28A" w:rsidR="00C44E31" w:rsidRPr="00C44E31" w:rsidRDefault="00C44E31" w:rsidP="00C44E31">
            <w:pPr>
              <w:tabs>
                <w:tab w:val="left" w:pos="4111"/>
              </w:tabs>
              <w:spacing w:before="0"/>
              <w:ind w:left="57"/>
              <w:rPr>
                <w:rFonts w:cstheme="minorHAnsi"/>
                <w:sz w:val="22"/>
                <w:szCs w:val="22"/>
              </w:rPr>
            </w:pPr>
            <w:r w:rsidRPr="00C44E31">
              <w:rPr>
                <w:rStyle w:val="Hyperlink"/>
                <w:rFonts w:cstheme="minorHAnsi"/>
                <w:sz w:val="22"/>
                <w:szCs w:val="22"/>
              </w:rPr>
              <w:t>tsbevents@itu.int</w:t>
            </w:r>
          </w:p>
        </w:tc>
        <w:tc>
          <w:tcPr>
            <w:tcW w:w="5051" w:type="dxa"/>
            <w:vMerge/>
          </w:tcPr>
          <w:p w14:paraId="323DAC81" w14:textId="58072587" w:rsidR="00C44E31" w:rsidRPr="00C44E31" w:rsidRDefault="00C44E31" w:rsidP="00B41878">
            <w:pPr>
              <w:tabs>
                <w:tab w:val="left" w:pos="4111"/>
              </w:tabs>
              <w:spacing w:before="0"/>
              <w:ind w:left="430" w:hanging="430"/>
              <w:rPr>
                <w:rFonts w:cstheme="minorHAnsi"/>
                <w:b/>
                <w:sz w:val="22"/>
                <w:szCs w:val="22"/>
              </w:rPr>
            </w:pPr>
          </w:p>
        </w:tc>
      </w:tr>
      <w:tr w:rsidR="00C44E31" w:rsidRPr="00C44E31" w14:paraId="640FB6B9" w14:textId="77777777" w:rsidTr="00C44E31">
        <w:trPr>
          <w:cantSplit/>
        </w:trPr>
        <w:tc>
          <w:tcPr>
            <w:tcW w:w="0" w:type="auto"/>
          </w:tcPr>
          <w:p w14:paraId="15527369" w14:textId="22D7DAED" w:rsidR="00C44E31" w:rsidRPr="00C44E31" w:rsidRDefault="00C44E31" w:rsidP="00C44E31">
            <w:pPr>
              <w:tabs>
                <w:tab w:val="left" w:pos="4111"/>
              </w:tabs>
              <w:spacing w:before="10"/>
              <w:ind w:left="57"/>
              <w:rPr>
                <w:rFonts w:cstheme="minorHAnsi"/>
                <w:b/>
                <w:bCs/>
                <w:sz w:val="22"/>
                <w:szCs w:val="22"/>
              </w:rPr>
            </w:pPr>
          </w:p>
        </w:tc>
        <w:tc>
          <w:tcPr>
            <w:tcW w:w="3399" w:type="dxa"/>
          </w:tcPr>
          <w:p w14:paraId="172249CE" w14:textId="6EFE0A23" w:rsidR="00C44E31" w:rsidRPr="00C44E31" w:rsidRDefault="00C44E31" w:rsidP="00C44E31">
            <w:pPr>
              <w:tabs>
                <w:tab w:val="left" w:pos="4111"/>
              </w:tabs>
              <w:spacing w:before="0"/>
              <w:ind w:left="57"/>
              <w:rPr>
                <w:rFonts w:cstheme="minorHAnsi"/>
                <w:sz w:val="22"/>
                <w:szCs w:val="22"/>
              </w:rPr>
            </w:pPr>
          </w:p>
        </w:tc>
        <w:tc>
          <w:tcPr>
            <w:tcW w:w="5051" w:type="dxa"/>
            <w:vMerge/>
          </w:tcPr>
          <w:p w14:paraId="19762254" w14:textId="1E03DE3D" w:rsidR="00C44E31" w:rsidRPr="00C44E31" w:rsidRDefault="00C44E31" w:rsidP="00C44E31">
            <w:pPr>
              <w:tabs>
                <w:tab w:val="clear" w:pos="794"/>
                <w:tab w:val="left" w:pos="4111"/>
              </w:tabs>
              <w:spacing w:before="0"/>
              <w:ind w:left="430" w:hanging="430"/>
              <w:rPr>
                <w:rFonts w:cstheme="minorHAnsi"/>
                <w:sz w:val="22"/>
                <w:szCs w:val="22"/>
              </w:rPr>
            </w:pPr>
          </w:p>
        </w:tc>
      </w:tr>
      <w:tr w:rsidR="00EF0639" w:rsidRPr="00C44E31" w14:paraId="5435C04A" w14:textId="77777777" w:rsidTr="00C44E31">
        <w:trPr>
          <w:cantSplit/>
          <w:trHeight w:val="543"/>
        </w:trPr>
        <w:tc>
          <w:tcPr>
            <w:tcW w:w="0" w:type="auto"/>
          </w:tcPr>
          <w:p w14:paraId="2A0B9B4F" w14:textId="77777777" w:rsidR="00EF0639" w:rsidRPr="00C44E31" w:rsidRDefault="00EF0639" w:rsidP="00C44E31">
            <w:pPr>
              <w:tabs>
                <w:tab w:val="left" w:pos="4111"/>
              </w:tabs>
              <w:ind w:left="57"/>
              <w:rPr>
                <w:rFonts w:cstheme="minorHAnsi"/>
                <w:b/>
                <w:bCs/>
                <w:sz w:val="22"/>
                <w:szCs w:val="22"/>
              </w:rPr>
            </w:pPr>
            <w:proofErr w:type="gramStart"/>
            <w:r w:rsidRPr="00C44E31">
              <w:rPr>
                <w:rFonts w:cstheme="minorHAnsi"/>
                <w:b/>
                <w:bCs/>
                <w:sz w:val="22"/>
                <w:szCs w:val="22"/>
              </w:rPr>
              <w:t>Objet:</w:t>
            </w:r>
            <w:proofErr w:type="gramEnd"/>
          </w:p>
        </w:tc>
        <w:tc>
          <w:tcPr>
            <w:tcW w:w="0" w:type="auto"/>
            <w:gridSpan w:val="2"/>
          </w:tcPr>
          <w:p w14:paraId="1A51EE75" w14:textId="5B2C59F1" w:rsidR="00EF0639" w:rsidRPr="00C44E31" w:rsidRDefault="00EF0639" w:rsidP="00C44E31">
            <w:pPr>
              <w:tabs>
                <w:tab w:val="left" w:pos="4111"/>
              </w:tabs>
              <w:spacing w:after="120"/>
              <w:ind w:left="57"/>
              <w:rPr>
                <w:rFonts w:cstheme="minorHAnsi"/>
                <w:b/>
                <w:bCs/>
                <w:sz w:val="22"/>
                <w:szCs w:val="22"/>
              </w:rPr>
            </w:pPr>
            <w:r w:rsidRPr="00C44E31">
              <w:rPr>
                <w:rFonts w:cstheme="minorHAnsi"/>
                <w:b/>
                <w:bCs/>
                <w:color w:val="000000"/>
                <w:sz w:val="22"/>
                <w:szCs w:val="22"/>
              </w:rPr>
              <w:t>Cinquième journée sur la Recommandation UIT-T X.509</w:t>
            </w:r>
            <w:r w:rsidRPr="00C44E31">
              <w:rPr>
                <w:rFonts w:cstheme="minorHAnsi"/>
                <w:b/>
                <w:bCs/>
                <w:color w:val="000000"/>
                <w:sz w:val="22"/>
                <w:szCs w:val="22"/>
              </w:rPr>
              <w:br/>
              <w:t>(Genève, Suisse, 12 mai 2026)</w:t>
            </w:r>
          </w:p>
        </w:tc>
      </w:tr>
    </w:tbl>
    <w:p w14:paraId="2D1EC328" w14:textId="77777777" w:rsidR="00517A03" w:rsidRPr="00C44E31" w:rsidRDefault="00517A03" w:rsidP="002657DF">
      <w:pPr>
        <w:rPr>
          <w:rFonts w:cstheme="minorHAnsi"/>
          <w:sz w:val="22"/>
          <w:szCs w:val="22"/>
        </w:rPr>
      </w:pPr>
      <w:bookmarkStart w:id="1" w:name="StartTyping_F"/>
      <w:bookmarkEnd w:id="1"/>
      <w:r w:rsidRPr="00C44E31">
        <w:rPr>
          <w:rFonts w:cstheme="minorHAnsi"/>
          <w:sz w:val="22"/>
          <w:szCs w:val="22"/>
        </w:rPr>
        <w:t>Madame, Monsieur,</w:t>
      </w:r>
    </w:p>
    <w:p w14:paraId="5399D02B" w14:textId="77777777" w:rsidR="00EF0639" w:rsidRPr="00C44E31" w:rsidRDefault="00EF0639" w:rsidP="00EF0639">
      <w:pPr>
        <w:rPr>
          <w:rFonts w:cstheme="minorHAnsi"/>
          <w:bCs/>
          <w:sz w:val="22"/>
          <w:szCs w:val="22"/>
        </w:rPr>
      </w:pPr>
      <w:r w:rsidRPr="00C44E31">
        <w:rPr>
          <w:rFonts w:cstheme="minorHAnsi"/>
          <w:bCs/>
          <w:sz w:val="22"/>
          <w:szCs w:val="22"/>
        </w:rPr>
        <w:t>1</w:t>
      </w:r>
      <w:r w:rsidRPr="00C44E31">
        <w:rPr>
          <w:rFonts w:cstheme="minorHAnsi"/>
          <w:bCs/>
          <w:sz w:val="22"/>
          <w:szCs w:val="22"/>
        </w:rPr>
        <w:tab/>
        <w:t xml:space="preserve">J'ai l'honneur de vous informer que l'Union internationale des télécommunications (UIT) organise la </w:t>
      </w:r>
      <w:r w:rsidRPr="00C44E31">
        <w:rPr>
          <w:rFonts w:cstheme="minorHAnsi"/>
          <w:b/>
          <w:bCs/>
          <w:sz w:val="22"/>
          <w:szCs w:val="22"/>
        </w:rPr>
        <w:t>cinquième Journée sur la Recommandation UIT-T X.509</w:t>
      </w:r>
      <w:r w:rsidRPr="00C44E31">
        <w:rPr>
          <w:rFonts w:cstheme="minorHAnsi"/>
          <w:bCs/>
          <w:sz w:val="22"/>
          <w:szCs w:val="22"/>
        </w:rPr>
        <w:t xml:space="preserve">, qui se tiendra le </w:t>
      </w:r>
      <w:r w:rsidRPr="00C44E31">
        <w:rPr>
          <w:rFonts w:cstheme="minorHAnsi"/>
          <w:b/>
          <w:bCs/>
          <w:sz w:val="22"/>
          <w:szCs w:val="22"/>
        </w:rPr>
        <w:t>12 mai 2026 de 9 heures à 18 heures (heure de Genève) au siège de l'UIT à Genève (Suisse)</w:t>
      </w:r>
      <w:r w:rsidRPr="00C44E31">
        <w:rPr>
          <w:rFonts w:cstheme="minorHAnsi"/>
          <w:bCs/>
          <w:sz w:val="22"/>
          <w:szCs w:val="22"/>
        </w:rPr>
        <w:t>.</w:t>
      </w:r>
    </w:p>
    <w:p w14:paraId="4ED3E846" w14:textId="722EBE04" w:rsidR="00EF0639" w:rsidRPr="00C44E31" w:rsidRDefault="00EF0639" w:rsidP="00EF0639">
      <w:pPr>
        <w:rPr>
          <w:rFonts w:cstheme="minorHAnsi"/>
          <w:bCs/>
          <w:sz w:val="22"/>
          <w:szCs w:val="22"/>
        </w:rPr>
      </w:pPr>
      <w:r w:rsidRPr="00C44E31">
        <w:rPr>
          <w:rFonts w:cstheme="minorHAnsi"/>
          <w:bCs/>
          <w:sz w:val="22"/>
          <w:szCs w:val="22"/>
        </w:rPr>
        <w:t>2</w:t>
      </w:r>
      <w:r w:rsidRPr="00C44E31">
        <w:rPr>
          <w:rFonts w:cstheme="minorHAnsi"/>
          <w:bCs/>
          <w:sz w:val="22"/>
          <w:szCs w:val="22"/>
        </w:rPr>
        <w:tab/>
        <w:t xml:space="preserve">La Recommandation </w:t>
      </w:r>
      <w:hyperlink r:id="rId9" w:history="1">
        <w:r w:rsidRPr="00C44E31">
          <w:rPr>
            <w:rStyle w:val="Hyperlink"/>
            <w:rFonts w:cstheme="minorHAnsi"/>
            <w:bCs/>
            <w:sz w:val="22"/>
            <w:szCs w:val="22"/>
          </w:rPr>
          <w:t>UIT-T X.5</w:t>
        </w:r>
        <w:r w:rsidRPr="00C44E31">
          <w:rPr>
            <w:rStyle w:val="Hyperlink"/>
            <w:rFonts w:cstheme="minorHAnsi"/>
            <w:bCs/>
            <w:sz w:val="22"/>
            <w:szCs w:val="22"/>
          </w:rPr>
          <w:t>0</w:t>
        </w:r>
        <w:r w:rsidRPr="00C44E31">
          <w:rPr>
            <w:rStyle w:val="Hyperlink"/>
            <w:rFonts w:cstheme="minorHAnsi"/>
            <w:bCs/>
            <w:sz w:val="22"/>
            <w:szCs w:val="22"/>
          </w:rPr>
          <w:t>9</w:t>
        </w:r>
      </w:hyperlink>
      <w:r w:rsidRPr="00C44E31">
        <w:rPr>
          <w:rFonts w:cstheme="minorHAnsi"/>
          <w:bCs/>
          <w:sz w:val="22"/>
          <w:szCs w:val="22"/>
        </w:rPr>
        <w:t xml:space="preserve"> est le langage mondial commun pour l</w:t>
      </w:r>
      <w:r w:rsidR="002657DF" w:rsidRPr="00C44E31">
        <w:rPr>
          <w:rFonts w:cstheme="minorHAnsi"/>
          <w:bCs/>
          <w:sz w:val="22"/>
          <w:szCs w:val="22"/>
        </w:rPr>
        <w:t>'</w:t>
      </w:r>
      <w:r w:rsidRPr="00C44E31">
        <w:rPr>
          <w:rFonts w:cstheme="minorHAnsi"/>
          <w:bCs/>
          <w:sz w:val="22"/>
          <w:szCs w:val="22"/>
        </w:rPr>
        <w:t>infrastructure de clé publique (PKI) et l</w:t>
      </w:r>
      <w:r w:rsidR="002657DF" w:rsidRPr="00C44E31">
        <w:rPr>
          <w:rFonts w:cstheme="minorHAnsi"/>
          <w:bCs/>
          <w:sz w:val="22"/>
          <w:szCs w:val="22"/>
        </w:rPr>
        <w:t>'</w:t>
      </w:r>
      <w:r w:rsidRPr="00C44E31">
        <w:rPr>
          <w:rFonts w:cstheme="minorHAnsi"/>
          <w:bCs/>
          <w:sz w:val="22"/>
          <w:szCs w:val="22"/>
        </w:rPr>
        <w:t>infrastructure de gestion des privilèges (PMI). Elle définit un cadre pour la gestion des certificats numériques et de la confiance.</w:t>
      </w:r>
    </w:p>
    <w:p w14:paraId="3282A4E4" w14:textId="5E080A50" w:rsidR="00EF0639" w:rsidRPr="00C44E31" w:rsidRDefault="00EF0639" w:rsidP="00EF0639">
      <w:pPr>
        <w:rPr>
          <w:rFonts w:cstheme="minorHAnsi"/>
          <w:bCs/>
          <w:sz w:val="22"/>
          <w:szCs w:val="22"/>
        </w:rPr>
      </w:pPr>
      <w:r w:rsidRPr="00C44E31">
        <w:rPr>
          <w:rFonts w:cstheme="minorHAnsi"/>
          <w:bCs/>
          <w:sz w:val="22"/>
          <w:szCs w:val="22"/>
        </w:rPr>
        <w:t>Publiée pour la première fois en 1988, fruit de la collaboration entre l</w:t>
      </w:r>
      <w:r w:rsidR="002657DF" w:rsidRPr="00C44E31">
        <w:rPr>
          <w:rFonts w:cstheme="minorHAnsi"/>
          <w:bCs/>
          <w:sz w:val="22"/>
          <w:szCs w:val="22"/>
        </w:rPr>
        <w:t>'</w:t>
      </w:r>
      <w:r w:rsidRPr="00C44E31">
        <w:rPr>
          <w:rFonts w:cstheme="minorHAnsi"/>
          <w:bCs/>
          <w:sz w:val="22"/>
          <w:szCs w:val="22"/>
        </w:rPr>
        <w:t>UIT, le Comité consultatif international télégraphique et téléphonique (CCITT), l</w:t>
      </w:r>
      <w:r w:rsidR="002657DF" w:rsidRPr="00C44E31">
        <w:rPr>
          <w:rFonts w:cstheme="minorHAnsi"/>
          <w:bCs/>
          <w:sz w:val="22"/>
          <w:szCs w:val="22"/>
        </w:rPr>
        <w:t>'</w:t>
      </w:r>
      <w:r w:rsidRPr="00C44E31">
        <w:rPr>
          <w:rFonts w:cstheme="minorHAnsi"/>
          <w:bCs/>
          <w:sz w:val="22"/>
          <w:szCs w:val="22"/>
        </w:rPr>
        <w:t>Organisation internationale de normalisation (ISO) et la Commission électrotechnique internationale (CEI), la Recommandation UIT-T X.509 a depuis connu neuf éditions (la plus récente ayant été approuvée en octobre 2019), la dixième</w:t>
      </w:r>
      <w:r w:rsidR="002657DF" w:rsidRPr="00C44E31">
        <w:rPr>
          <w:rFonts w:cstheme="minorHAnsi"/>
          <w:bCs/>
          <w:sz w:val="22"/>
          <w:szCs w:val="22"/>
        </w:rPr>
        <w:t> </w:t>
      </w:r>
      <w:r w:rsidRPr="00C44E31">
        <w:rPr>
          <w:rFonts w:cstheme="minorHAnsi"/>
          <w:bCs/>
          <w:sz w:val="22"/>
          <w:szCs w:val="22"/>
        </w:rPr>
        <w:t>édition étant à l</w:t>
      </w:r>
      <w:r w:rsidR="002657DF" w:rsidRPr="00C44E31">
        <w:rPr>
          <w:rFonts w:cstheme="minorHAnsi"/>
          <w:bCs/>
          <w:sz w:val="22"/>
          <w:szCs w:val="22"/>
        </w:rPr>
        <w:t>'</w:t>
      </w:r>
      <w:r w:rsidRPr="00C44E31">
        <w:rPr>
          <w:rFonts w:cstheme="minorHAnsi"/>
          <w:bCs/>
          <w:sz w:val="22"/>
          <w:szCs w:val="22"/>
        </w:rPr>
        <w:t>étude pour répondre à des besoins émergents tels que la cryptographie à l'épreuve des attaques quantiques. Ses structures de certificat et de liste CRL, avec leur extensibilité, sous-tendent les transactions sécurisées dans les interactions entreprise-entreprise (B2B), entreprise-consommateur (B2C) et administration publique-citoyen (G2C). Cette norme largement reconnue constitue une base fiable pour un large éventail de secteurs – de l</w:t>
      </w:r>
      <w:r w:rsidR="002657DF" w:rsidRPr="00C44E31">
        <w:rPr>
          <w:rFonts w:cstheme="minorHAnsi"/>
          <w:bCs/>
          <w:sz w:val="22"/>
          <w:szCs w:val="22"/>
        </w:rPr>
        <w:t>'</w:t>
      </w:r>
      <w:r w:rsidRPr="00C44E31">
        <w:rPr>
          <w:rFonts w:cstheme="minorHAnsi"/>
          <w:bCs/>
          <w:sz w:val="22"/>
          <w:szCs w:val="22"/>
        </w:rPr>
        <w:t>agriculture et de la finance aux soins de santé, aux transports et aux services publics – ce qui la rend indispensable pour les entreprises, les consommateurs et les gouvernements du monde entier.</w:t>
      </w:r>
    </w:p>
    <w:p w14:paraId="58FC820A" w14:textId="5AC01AC8" w:rsidR="00EF0639" w:rsidRPr="00C44E31" w:rsidRDefault="00EF0639" w:rsidP="00EF0639">
      <w:pPr>
        <w:rPr>
          <w:rFonts w:cstheme="minorHAnsi"/>
          <w:bCs/>
          <w:sz w:val="22"/>
          <w:szCs w:val="22"/>
        </w:rPr>
      </w:pPr>
      <w:r w:rsidRPr="00C44E31">
        <w:rPr>
          <w:rFonts w:cstheme="minorHAnsi"/>
          <w:bCs/>
          <w:sz w:val="22"/>
          <w:szCs w:val="22"/>
        </w:rPr>
        <w:t>Avec plus de 38 ans de mise en œuvre réussie, la Recommandation X.509 a été adoptée presque partout dans le monde, permettant une interopérabilité et une sécurité fondamentales dans d</w:t>
      </w:r>
      <w:r w:rsidR="002657DF" w:rsidRPr="00C44E31">
        <w:rPr>
          <w:rFonts w:cstheme="minorHAnsi"/>
          <w:bCs/>
          <w:sz w:val="22"/>
          <w:szCs w:val="22"/>
        </w:rPr>
        <w:t>'</w:t>
      </w:r>
      <w:r w:rsidRPr="00C44E31">
        <w:rPr>
          <w:rFonts w:cstheme="minorHAnsi"/>
          <w:bCs/>
          <w:sz w:val="22"/>
          <w:szCs w:val="22"/>
        </w:rPr>
        <w:t>innombrables applications. Depuis 2022, l</w:t>
      </w:r>
      <w:r w:rsidR="002657DF" w:rsidRPr="00C44E31">
        <w:rPr>
          <w:rFonts w:cstheme="minorHAnsi"/>
          <w:bCs/>
          <w:sz w:val="22"/>
          <w:szCs w:val="22"/>
        </w:rPr>
        <w:t>'</w:t>
      </w:r>
      <w:r w:rsidRPr="00C44E31">
        <w:rPr>
          <w:rFonts w:cstheme="minorHAnsi"/>
          <w:bCs/>
          <w:sz w:val="22"/>
          <w:szCs w:val="22"/>
        </w:rPr>
        <w:t>UIT organise quatre manifestations annuelles à l</w:t>
      </w:r>
      <w:r w:rsidR="002657DF" w:rsidRPr="00C44E31">
        <w:rPr>
          <w:rFonts w:cstheme="minorHAnsi"/>
          <w:bCs/>
          <w:sz w:val="22"/>
          <w:szCs w:val="22"/>
        </w:rPr>
        <w:t>'</w:t>
      </w:r>
      <w:r w:rsidRPr="00C44E31">
        <w:rPr>
          <w:rFonts w:cstheme="minorHAnsi"/>
          <w:bCs/>
          <w:sz w:val="22"/>
          <w:szCs w:val="22"/>
        </w:rPr>
        <w:t xml:space="preserve">occasion de la Journée sur la Recommandation UIT-T X.509. En particulier, le thème de la quatrième manifestation était </w:t>
      </w:r>
      <w:r w:rsidR="002657DF" w:rsidRPr="00C44E31">
        <w:rPr>
          <w:rFonts w:cstheme="minorHAnsi"/>
          <w:bCs/>
          <w:sz w:val="22"/>
          <w:szCs w:val="22"/>
        </w:rPr>
        <w:t>"</w:t>
      </w:r>
      <w:r w:rsidRPr="00C44E31">
        <w:rPr>
          <w:rFonts w:cstheme="minorHAnsi"/>
          <w:bCs/>
          <w:sz w:val="22"/>
          <w:szCs w:val="22"/>
        </w:rPr>
        <w:t xml:space="preserve">la Recommandation X.509 en </w:t>
      </w:r>
      <w:proofErr w:type="gramStart"/>
      <w:r w:rsidRPr="00C44E31">
        <w:rPr>
          <w:rFonts w:cstheme="minorHAnsi"/>
          <w:bCs/>
          <w:sz w:val="22"/>
          <w:szCs w:val="22"/>
        </w:rPr>
        <w:t>2025:</w:t>
      </w:r>
      <w:proofErr w:type="gramEnd"/>
      <w:r w:rsidRPr="00C44E31">
        <w:rPr>
          <w:rFonts w:cstheme="minorHAnsi"/>
          <w:bCs/>
          <w:sz w:val="22"/>
          <w:szCs w:val="22"/>
        </w:rPr>
        <w:t xml:space="preserve"> s'adapter à l</w:t>
      </w:r>
      <w:r w:rsidR="002657DF" w:rsidRPr="00C44E31">
        <w:rPr>
          <w:rFonts w:cstheme="minorHAnsi"/>
          <w:bCs/>
          <w:sz w:val="22"/>
          <w:szCs w:val="22"/>
        </w:rPr>
        <w:t>'</w:t>
      </w:r>
      <w:r w:rsidRPr="00C44E31">
        <w:rPr>
          <w:rFonts w:cstheme="minorHAnsi"/>
          <w:bCs/>
          <w:sz w:val="22"/>
          <w:szCs w:val="22"/>
        </w:rPr>
        <w:t>ère post</w:t>
      </w:r>
      <w:r w:rsidR="002657DF" w:rsidRPr="00C44E31">
        <w:rPr>
          <w:rFonts w:cstheme="minorHAnsi"/>
          <w:bCs/>
          <w:sz w:val="22"/>
          <w:szCs w:val="22"/>
        </w:rPr>
        <w:noBreakHyphen/>
      </w:r>
      <w:r w:rsidRPr="00C44E31">
        <w:rPr>
          <w:rFonts w:cstheme="minorHAnsi"/>
          <w:bCs/>
          <w:sz w:val="22"/>
          <w:szCs w:val="22"/>
        </w:rPr>
        <w:t>quantique</w:t>
      </w:r>
      <w:r w:rsidR="002657DF" w:rsidRPr="00C44E31">
        <w:rPr>
          <w:rFonts w:cstheme="minorHAnsi"/>
          <w:bCs/>
          <w:sz w:val="22"/>
          <w:szCs w:val="22"/>
        </w:rPr>
        <w:t>"</w:t>
      </w:r>
      <w:r w:rsidRPr="00C44E31">
        <w:rPr>
          <w:rFonts w:cstheme="minorHAnsi"/>
          <w:bCs/>
          <w:sz w:val="22"/>
          <w:szCs w:val="22"/>
        </w:rPr>
        <w:t>, soulignant l</w:t>
      </w:r>
      <w:r w:rsidR="002657DF" w:rsidRPr="00C44E31">
        <w:rPr>
          <w:rFonts w:cstheme="minorHAnsi"/>
          <w:bCs/>
          <w:sz w:val="22"/>
          <w:szCs w:val="22"/>
        </w:rPr>
        <w:t>'</w:t>
      </w:r>
      <w:r w:rsidRPr="00C44E31">
        <w:rPr>
          <w:rFonts w:cstheme="minorHAnsi"/>
          <w:bCs/>
          <w:sz w:val="22"/>
          <w:szCs w:val="22"/>
        </w:rPr>
        <w:t>importance croissante des justificatifs d</w:t>
      </w:r>
      <w:r w:rsidR="002657DF" w:rsidRPr="00C44E31">
        <w:rPr>
          <w:rFonts w:cstheme="minorHAnsi"/>
          <w:bCs/>
          <w:sz w:val="22"/>
          <w:szCs w:val="22"/>
        </w:rPr>
        <w:t>'</w:t>
      </w:r>
      <w:r w:rsidRPr="00C44E31">
        <w:rPr>
          <w:rFonts w:cstheme="minorHAnsi"/>
          <w:bCs/>
          <w:sz w:val="22"/>
          <w:szCs w:val="22"/>
        </w:rPr>
        <w:t>identité à l</w:t>
      </w:r>
      <w:r w:rsidR="002657DF" w:rsidRPr="00C44E31">
        <w:rPr>
          <w:rFonts w:cstheme="minorHAnsi"/>
          <w:bCs/>
          <w:sz w:val="22"/>
          <w:szCs w:val="22"/>
        </w:rPr>
        <w:t>'</w:t>
      </w:r>
      <w:r w:rsidRPr="00C44E31">
        <w:rPr>
          <w:rFonts w:cstheme="minorHAnsi"/>
          <w:bCs/>
          <w:sz w:val="22"/>
          <w:szCs w:val="22"/>
        </w:rPr>
        <w:t>épreuve des attaques quantiques.</w:t>
      </w:r>
    </w:p>
    <w:p w14:paraId="6A1590D9" w14:textId="52C600EF" w:rsidR="00EF0639" w:rsidRPr="00C44E31" w:rsidRDefault="00EF0639" w:rsidP="00EF0639">
      <w:pPr>
        <w:rPr>
          <w:rFonts w:cstheme="minorHAnsi"/>
          <w:bCs/>
          <w:sz w:val="22"/>
          <w:szCs w:val="22"/>
        </w:rPr>
      </w:pPr>
      <w:r w:rsidRPr="00C44E31">
        <w:rPr>
          <w:rFonts w:cstheme="minorHAnsi"/>
          <w:bCs/>
          <w:sz w:val="22"/>
          <w:szCs w:val="22"/>
        </w:rPr>
        <w:t>Depuis lors, les progrès réalisés dans la normalisation de la cryptographie post-quantique et l'évolution des cadres de confiance décentralisés pour les identités et l</w:t>
      </w:r>
      <w:r w:rsidR="002657DF" w:rsidRPr="00C44E31">
        <w:rPr>
          <w:rFonts w:cstheme="minorHAnsi"/>
          <w:bCs/>
          <w:sz w:val="22"/>
          <w:szCs w:val="22"/>
        </w:rPr>
        <w:t>'</w:t>
      </w:r>
      <w:r w:rsidRPr="00C44E31">
        <w:rPr>
          <w:rFonts w:cstheme="minorHAnsi"/>
          <w:bCs/>
          <w:sz w:val="22"/>
          <w:szCs w:val="22"/>
        </w:rPr>
        <w:t>IA se sont encore accélérés. La cinquième Journée sur la Recommandation UIT-T X.509 sera l</w:t>
      </w:r>
      <w:r w:rsidR="002657DF" w:rsidRPr="00C44E31">
        <w:rPr>
          <w:rFonts w:cstheme="minorHAnsi"/>
          <w:bCs/>
          <w:sz w:val="22"/>
          <w:szCs w:val="22"/>
        </w:rPr>
        <w:t>'</w:t>
      </w:r>
      <w:r w:rsidRPr="00C44E31">
        <w:rPr>
          <w:rFonts w:cstheme="minorHAnsi"/>
          <w:bCs/>
          <w:sz w:val="22"/>
          <w:szCs w:val="22"/>
        </w:rPr>
        <w:t>occasion de passer en revue les dernières avancées, de traiter les défis qui se font jour (tels que la préparation face aux ordinateurs quantiques et à l</w:t>
      </w:r>
      <w:r w:rsidR="002657DF" w:rsidRPr="00C44E31">
        <w:rPr>
          <w:rFonts w:cstheme="minorHAnsi"/>
          <w:bCs/>
          <w:sz w:val="22"/>
          <w:szCs w:val="22"/>
        </w:rPr>
        <w:t>'</w:t>
      </w:r>
      <w:r w:rsidRPr="00C44E31">
        <w:rPr>
          <w:rFonts w:cstheme="minorHAnsi"/>
          <w:bCs/>
          <w:sz w:val="22"/>
          <w:szCs w:val="22"/>
        </w:rPr>
        <w:t xml:space="preserve">infrastructure PKI </w:t>
      </w:r>
      <w:r w:rsidRPr="00C44E31">
        <w:rPr>
          <w:rFonts w:cstheme="minorHAnsi"/>
          <w:bCs/>
          <w:sz w:val="22"/>
          <w:szCs w:val="22"/>
        </w:rPr>
        <w:lastRenderedPageBreak/>
        <w:t>décentralisée) et de présenter l</w:t>
      </w:r>
      <w:r w:rsidR="002657DF" w:rsidRPr="00C44E31">
        <w:rPr>
          <w:rFonts w:cstheme="minorHAnsi"/>
          <w:bCs/>
          <w:sz w:val="22"/>
          <w:szCs w:val="22"/>
        </w:rPr>
        <w:t>'</w:t>
      </w:r>
      <w:r w:rsidRPr="00C44E31">
        <w:rPr>
          <w:rFonts w:cstheme="minorHAnsi"/>
          <w:bCs/>
          <w:sz w:val="22"/>
          <w:szCs w:val="22"/>
        </w:rPr>
        <w:t>adoption concrète de la norme</w:t>
      </w:r>
      <w:r w:rsidR="002657DF" w:rsidRPr="00C44E31">
        <w:rPr>
          <w:rFonts w:cstheme="minorHAnsi"/>
          <w:bCs/>
          <w:sz w:val="22"/>
          <w:szCs w:val="22"/>
        </w:rPr>
        <w:t> </w:t>
      </w:r>
      <w:r w:rsidRPr="00C44E31">
        <w:rPr>
          <w:rFonts w:cstheme="minorHAnsi"/>
          <w:bCs/>
          <w:sz w:val="22"/>
          <w:szCs w:val="22"/>
        </w:rPr>
        <w:t>X.509 dans tous les secteurs. Un atelier sur la résistance quantique sera également organisé conjointement avec la GSMA.</w:t>
      </w:r>
    </w:p>
    <w:p w14:paraId="5862BF27" w14:textId="111E9FA7" w:rsidR="00EF0639" w:rsidRPr="00C44E31" w:rsidRDefault="00EF0639" w:rsidP="00EF0639">
      <w:pPr>
        <w:rPr>
          <w:rFonts w:cstheme="minorHAnsi"/>
          <w:bCs/>
          <w:sz w:val="22"/>
          <w:szCs w:val="22"/>
        </w:rPr>
      </w:pPr>
      <w:r w:rsidRPr="00C44E31">
        <w:rPr>
          <w:rFonts w:cstheme="minorHAnsi"/>
          <w:bCs/>
          <w:sz w:val="22"/>
          <w:szCs w:val="22"/>
        </w:rPr>
        <w:t>3</w:t>
      </w:r>
      <w:r w:rsidRPr="00C44E31">
        <w:rPr>
          <w:rFonts w:cstheme="minorHAnsi"/>
          <w:bCs/>
          <w:sz w:val="22"/>
          <w:szCs w:val="22"/>
        </w:rPr>
        <w:tab/>
        <w:t xml:space="preserve">Les objectifs de cette cinquième Journée sur la Recommandation UIT-T X.509 (2026) sont les </w:t>
      </w:r>
      <w:proofErr w:type="gramStart"/>
      <w:r w:rsidRPr="00C44E31">
        <w:rPr>
          <w:rFonts w:cstheme="minorHAnsi"/>
          <w:bCs/>
          <w:sz w:val="22"/>
          <w:szCs w:val="22"/>
        </w:rPr>
        <w:t>suivants:</w:t>
      </w:r>
      <w:bookmarkStart w:id="2" w:name="_Int_T6yRLhA0"/>
      <w:bookmarkEnd w:id="2"/>
      <w:proofErr w:type="gramEnd"/>
    </w:p>
    <w:p w14:paraId="5F4C31B4" w14:textId="1208354F" w:rsidR="00EF0639" w:rsidRPr="00C44E31" w:rsidRDefault="002657DF" w:rsidP="002657DF">
      <w:pPr>
        <w:pStyle w:val="enumlev1"/>
        <w:rPr>
          <w:rFonts w:cstheme="minorHAnsi"/>
          <w:sz w:val="22"/>
          <w:szCs w:val="22"/>
        </w:rPr>
      </w:pPr>
      <w:r w:rsidRPr="00C44E31">
        <w:rPr>
          <w:rFonts w:cstheme="minorHAnsi"/>
          <w:sz w:val="22"/>
          <w:szCs w:val="22"/>
        </w:rPr>
        <w:t>a)</w:t>
      </w:r>
      <w:r w:rsidRPr="00C44E31">
        <w:rPr>
          <w:rFonts w:cstheme="minorHAnsi"/>
          <w:sz w:val="22"/>
          <w:szCs w:val="22"/>
        </w:rPr>
        <w:tab/>
      </w:r>
      <w:r w:rsidR="00EF0639" w:rsidRPr="00C44E31">
        <w:rPr>
          <w:rFonts w:cstheme="minorHAnsi"/>
          <w:sz w:val="22"/>
          <w:szCs w:val="22"/>
        </w:rPr>
        <w:t>Organisation d'une session conjointe avec la GSMA durant l'atelier sur les aspects des réseaux de télécommunication et, en particulier, des réseaux mobiles, liés à la résistance face aux attaque</w:t>
      </w:r>
      <w:r w:rsidRPr="00C44E31">
        <w:rPr>
          <w:rFonts w:cstheme="minorHAnsi"/>
          <w:sz w:val="22"/>
          <w:szCs w:val="22"/>
        </w:rPr>
        <w:t>s</w:t>
      </w:r>
      <w:r w:rsidR="00EF0639" w:rsidRPr="00C44E31">
        <w:rPr>
          <w:rFonts w:cstheme="minorHAnsi"/>
          <w:sz w:val="22"/>
          <w:szCs w:val="22"/>
        </w:rPr>
        <w:t xml:space="preserve"> quantiques, aspects qui recoupent l</w:t>
      </w:r>
      <w:r w:rsidRPr="00C44E31">
        <w:rPr>
          <w:rFonts w:cstheme="minorHAnsi"/>
          <w:sz w:val="22"/>
          <w:szCs w:val="22"/>
        </w:rPr>
        <w:t>'</w:t>
      </w:r>
      <w:r w:rsidR="00EF0639" w:rsidRPr="00C44E31">
        <w:rPr>
          <w:rFonts w:cstheme="minorHAnsi"/>
          <w:sz w:val="22"/>
          <w:szCs w:val="22"/>
        </w:rPr>
        <w:t>infrastructure PKI mais vont aussi au</w:t>
      </w:r>
      <w:r w:rsidRPr="00C44E31">
        <w:rPr>
          <w:rFonts w:cstheme="minorHAnsi"/>
          <w:sz w:val="22"/>
          <w:szCs w:val="22"/>
        </w:rPr>
        <w:noBreakHyphen/>
      </w:r>
      <w:r w:rsidR="00EF0639" w:rsidRPr="00C44E31">
        <w:rPr>
          <w:rFonts w:cstheme="minorHAnsi"/>
          <w:sz w:val="22"/>
          <w:szCs w:val="22"/>
        </w:rPr>
        <w:t>delà, selon le modèle de déploiement du réseau.</w:t>
      </w:r>
    </w:p>
    <w:p w14:paraId="091BADDF" w14:textId="3666E238" w:rsidR="00EF0639" w:rsidRPr="00C44E31" w:rsidRDefault="002657DF" w:rsidP="002657DF">
      <w:pPr>
        <w:pStyle w:val="enumlev1"/>
        <w:rPr>
          <w:rFonts w:cstheme="minorHAnsi"/>
          <w:sz w:val="22"/>
          <w:szCs w:val="22"/>
        </w:rPr>
      </w:pPr>
      <w:r w:rsidRPr="00C44E31">
        <w:rPr>
          <w:rFonts w:cstheme="minorHAnsi"/>
          <w:sz w:val="22"/>
          <w:szCs w:val="22"/>
        </w:rPr>
        <w:t>b)</w:t>
      </w:r>
      <w:r w:rsidRPr="00C44E31">
        <w:rPr>
          <w:rFonts w:cstheme="minorHAnsi"/>
          <w:sz w:val="22"/>
          <w:szCs w:val="22"/>
        </w:rPr>
        <w:tab/>
      </w:r>
      <w:r w:rsidR="00EF0639" w:rsidRPr="00C44E31">
        <w:rPr>
          <w:rFonts w:cstheme="minorHAnsi"/>
          <w:sz w:val="22"/>
          <w:szCs w:val="22"/>
        </w:rPr>
        <w:t>Au sein des groupes concernés, examen des progrès accomplis dans le cadre de la Recommandation UIT-T X.509, y compris les mises à jour des travaux en cours et des collaborations.</w:t>
      </w:r>
    </w:p>
    <w:p w14:paraId="05E9F192" w14:textId="5A376D14" w:rsidR="00EF0639" w:rsidRPr="00C44E31" w:rsidRDefault="002657DF" w:rsidP="002657DF">
      <w:pPr>
        <w:pStyle w:val="enumlev1"/>
        <w:rPr>
          <w:rFonts w:cstheme="minorHAnsi"/>
          <w:sz w:val="22"/>
          <w:szCs w:val="22"/>
        </w:rPr>
      </w:pPr>
      <w:r w:rsidRPr="00C44E31">
        <w:rPr>
          <w:rFonts w:cstheme="minorHAnsi"/>
          <w:sz w:val="22"/>
          <w:szCs w:val="22"/>
        </w:rPr>
        <w:t>c)</w:t>
      </w:r>
      <w:r w:rsidRPr="00C44E31">
        <w:rPr>
          <w:rFonts w:cstheme="minorHAnsi"/>
          <w:sz w:val="22"/>
          <w:szCs w:val="22"/>
        </w:rPr>
        <w:tab/>
        <w:t>Évaluation</w:t>
      </w:r>
      <w:r w:rsidR="00EF0639" w:rsidRPr="00C44E31">
        <w:rPr>
          <w:rFonts w:cstheme="minorHAnsi"/>
          <w:sz w:val="22"/>
          <w:szCs w:val="22"/>
        </w:rPr>
        <w:t xml:space="preserve"> de l</w:t>
      </w:r>
      <w:r w:rsidRPr="00C44E31">
        <w:rPr>
          <w:rFonts w:cstheme="minorHAnsi"/>
          <w:sz w:val="22"/>
          <w:szCs w:val="22"/>
        </w:rPr>
        <w:t>'</w:t>
      </w:r>
      <w:r w:rsidR="00EF0639" w:rsidRPr="00C44E31">
        <w:rPr>
          <w:rFonts w:cstheme="minorHAnsi"/>
          <w:sz w:val="22"/>
          <w:szCs w:val="22"/>
        </w:rPr>
        <w:t>état de préparation à la cryptographie post-quantique (PQC) dans l</w:t>
      </w:r>
      <w:r w:rsidRPr="00C44E31">
        <w:rPr>
          <w:rFonts w:cstheme="minorHAnsi"/>
          <w:sz w:val="22"/>
          <w:szCs w:val="22"/>
        </w:rPr>
        <w:t>'</w:t>
      </w:r>
      <w:r w:rsidR="00EF0639" w:rsidRPr="00C44E31">
        <w:rPr>
          <w:rFonts w:cstheme="minorHAnsi"/>
          <w:sz w:val="22"/>
          <w:szCs w:val="22"/>
        </w:rPr>
        <w:t>écosystème X.509.</w:t>
      </w:r>
    </w:p>
    <w:p w14:paraId="7AE5324C" w14:textId="60310E85" w:rsidR="00EF0639" w:rsidRPr="00C44E31" w:rsidRDefault="002657DF" w:rsidP="002657DF">
      <w:pPr>
        <w:pStyle w:val="enumlev1"/>
        <w:rPr>
          <w:rFonts w:cstheme="minorHAnsi"/>
          <w:sz w:val="22"/>
          <w:szCs w:val="22"/>
        </w:rPr>
      </w:pPr>
      <w:r w:rsidRPr="00C44E31">
        <w:rPr>
          <w:rFonts w:cstheme="minorHAnsi"/>
          <w:sz w:val="22"/>
          <w:szCs w:val="22"/>
        </w:rPr>
        <w:t>d)</w:t>
      </w:r>
      <w:r w:rsidRPr="00C44E31">
        <w:rPr>
          <w:rFonts w:cstheme="minorHAnsi"/>
          <w:sz w:val="22"/>
          <w:szCs w:val="22"/>
        </w:rPr>
        <w:tab/>
        <w:t>Étude</w:t>
      </w:r>
      <w:r w:rsidR="00EF0639" w:rsidRPr="00C44E31">
        <w:rPr>
          <w:rFonts w:cstheme="minorHAnsi"/>
          <w:sz w:val="22"/>
          <w:szCs w:val="22"/>
        </w:rPr>
        <w:t xml:space="preserve"> de l</w:t>
      </w:r>
      <w:r w:rsidRPr="00C44E31">
        <w:rPr>
          <w:rFonts w:cstheme="minorHAnsi"/>
          <w:sz w:val="22"/>
          <w:szCs w:val="22"/>
        </w:rPr>
        <w:t>'</w:t>
      </w:r>
      <w:r w:rsidR="00EF0639" w:rsidRPr="00C44E31">
        <w:rPr>
          <w:rFonts w:cstheme="minorHAnsi"/>
          <w:sz w:val="22"/>
          <w:szCs w:val="22"/>
        </w:rPr>
        <w:t>évolution de l</w:t>
      </w:r>
      <w:r w:rsidRPr="00C44E31">
        <w:rPr>
          <w:rFonts w:cstheme="minorHAnsi"/>
          <w:sz w:val="22"/>
          <w:szCs w:val="22"/>
        </w:rPr>
        <w:t>'</w:t>
      </w:r>
      <w:r w:rsidR="00EF0639" w:rsidRPr="00C44E31">
        <w:rPr>
          <w:rFonts w:cstheme="minorHAnsi"/>
          <w:sz w:val="22"/>
          <w:szCs w:val="22"/>
        </w:rPr>
        <w:t>infrastructure PKI décentralisée (DPKI) et des modèles de confiance.</w:t>
      </w:r>
    </w:p>
    <w:p w14:paraId="45C779A8" w14:textId="00645B1A" w:rsidR="00EF0639" w:rsidRPr="00C44E31" w:rsidRDefault="002657DF" w:rsidP="002657DF">
      <w:pPr>
        <w:pStyle w:val="enumlev1"/>
        <w:rPr>
          <w:rFonts w:cstheme="minorHAnsi"/>
          <w:sz w:val="22"/>
          <w:szCs w:val="22"/>
        </w:rPr>
      </w:pPr>
      <w:r w:rsidRPr="00C44E31">
        <w:rPr>
          <w:rFonts w:cstheme="minorHAnsi"/>
          <w:sz w:val="22"/>
          <w:szCs w:val="22"/>
        </w:rPr>
        <w:t>e)</w:t>
      </w:r>
      <w:r w:rsidRPr="00C44E31">
        <w:rPr>
          <w:rFonts w:cstheme="minorHAnsi"/>
          <w:sz w:val="22"/>
          <w:szCs w:val="22"/>
        </w:rPr>
        <w:tab/>
      </w:r>
      <w:r w:rsidR="00EF0639" w:rsidRPr="00C44E31">
        <w:rPr>
          <w:rFonts w:cstheme="minorHAnsi"/>
          <w:sz w:val="22"/>
          <w:szCs w:val="22"/>
        </w:rPr>
        <w:t>Renforcement de la confiance dans les systèmes fondés sur l</w:t>
      </w:r>
      <w:r w:rsidRPr="00C44E31">
        <w:rPr>
          <w:rFonts w:cstheme="minorHAnsi"/>
          <w:sz w:val="22"/>
          <w:szCs w:val="22"/>
        </w:rPr>
        <w:t>'</w:t>
      </w:r>
      <w:r w:rsidR="00EF0639" w:rsidRPr="00C44E31">
        <w:rPr>
          <w:rFonts w:cstheme="minorHAnsi"/>
          <w:sz w:val="22"/>
          <w:szCs w:val="22"/>
        </w:rPr>
        <w:t>IA en tirant parti de la Recommandation X.509.</w:t>
      </w:r>
    </w:p>
    <w:p w14:paraId="1092F92D" w14:textId="65311A9E" w:rsidR="00EF0639" w:rsidRPr="00C44E31" w:rsidRDefault="002657DF" w:rsidP="002657DF">
      <w:pPr>
        <w:pStyle w:val="enumlev1"/>
        <w:rPr>
          <w:rFonts w:cstheme="minorHAnsi"/>
          <w:sz w:val="22"/>
          <w:szCs w:val="22"/>
        </w:rPr>
      </w:pPr>
      <w:r w:rsidRPr="00C44E31">
        <w:rPr>
          <w:rFonts w:cstheme="minorHAnsi"/>
          <w:sz w:val="22"/>
          <w:szCs w:val="22"/>
        </w:rPr>
        <w:t>f)</w:t>
      </w:r>
      <w:r w:rsidRPr="00C44E31">
        <w:rPr>
          <w:rFonts w:cstheme="minorHAnsi"/>
          <w:sz w:val="22"/>
          <w:szCs w:val="22"/>
        </w:rPr>
        <w:tab/>
      </w:r>
      <w:r w:rsidR="00EF0639" w:rsidRPr="00C44E31">
        <w:rPr>
          <w:rFonts w:cstheme="minorHAnsi"/>
          <w:sz w:val="22"/>
          <w:szCs w:val="22"/>
        </w:rPr>
        <w:t>Présentation de la façon dont les certificats X.509 permettent l</w:t>
      </w:r>
      <w:r w:rsidRPr="00C44E31">
        <w:rPr>
          <w:rFonts w:cstheme="minorHAnsi"/>
          <w:sz w:val="22"/>
          <w:szCs w:val="22"/>
        </w:rPr>
        <w:t>'</w:t>
      </w:r>
      <w:r w:rsidR="00EF0639" w:rsidRPr="00C44E31">
        <w:rPr>
          <w:rFonts w:cstheme="minorHAnsi"/>
          <w:sz w:val="22"/>
          <w:szCs w:val="22"/>
        </w:rPr>
        <w:t>interopérabilité des identités numériques au-delà des frontières et des secteurs.</w:t>
      </w:r>
    </w:p>
    <w:p w14:paraId="716DF056" w14:textId="04FE0544" w:rsidR="00EF0639" w:rsidRPr="00C44E31" w:rsidRDefault="002657DF" w:rsidP="002657DF">
      <w:pPr>
        <w:pStyle w:val="enumlev1"/>
        <w:rPr>
          <w:rFonts w:cstheme="minorHAnsi"/>
          <w:sz w:val="22"/>
          <w:szCs w:val="22"/>
        </w:rPr>
      </w:pPr>
      <w:r w:rsidRPr="00C44E31">
        <w:rPr>
          <w:rFonts w:cstheme="minorHAnsi"/>
          <w:sz w:val="22"/>
          <w:szCs w:val="22"/>
        </w:rPr>
        <w:t>g)</w:t>
      </w:r>
      <w:r w:rsidRPr="00C44E31">
        <w:rPr>
          <w:rFonts w:cstheme="minorHAnsi"/>
          <w:sz w:val="22"/>
          <w:szCs w:val="22"/>
        </w:rPr>
        <w:tab/>
      </w:r>
      <w:r w:rsidR="00EF0639" w:rsidRPr="00C44E31">
        <w:rPr>
          <w:rFonts w:cstheme="minorHAnsi"/>
          <w:sz w:val="22"/>
          <w:szCs w:val="22"/>
        </w:rPr>
        <w:t>Présentation de l</w:t>
      </w:r>
      <w:r w:rsidRPr="00C44E31">
        <w:rPr>
          <w:rFonts w:cstheme="minorHAnsi"/>
          <w:sz w:val="22"/>
          <w:szCs w:val="22"/>
        </w:rPr>
        <w:t>'</w:t>
      </w:r>
      <w:r w:rsidR="00EF0639" w:rsidRPr="00C44E31">
        <w:rPr>
          <w:rFonts w:cstheme="minorHAnsi"/>
          <w:sz w:val="22"/>
          <w:szCs w:val="22"/>
        </w:rPr>
        <w:t>adoption concrète par tous les secteurs à travers des études de cas</w:t>
      </w:r>
      <w:r w:rsidRPr="00C44E31">
        <w:rPr>
          <w:rFonts w:cstheme="minorHAnsi"/>
          <w:sz w:val="22"/>
          <w:szCs w:val="22"/>
        </w:rPr>
        <w:t>.</w:t>
      </w:r>
    </w:p>
    <w:p w14:paraId="21AA0DE7" w14:textId="429C7A62" w:rsidR="00EF0639" w:rsidRPr="00C44E31" w:rsidRDefault="002657DF" w:rsidP="002657DF">
      <w:pPr>
        <w:pStyle w:val="enumlev1"/>
        <w:rPr>
          <w:rFonts w:cstheme="minorHAnsi"/>
          <w:sz w:val="22"/>
          <w:szCs w:val="22"/>
        </w:rPr>
      </w:pPr>
      <w:r w:rsidRPr="00C44E31">
        <w:rPr>
          <w:rFonts w:cstheme="minorHAnsi"/>
          <w:sz w:val="22"/>
          <w:szCs w:val="22"/>
        </w:rPr>
        <w:t>h)</w:t>
      </w:r>
      <w:r w:rsidRPr="00C44E31">
        <w:rPr>
          <w:rFonts w:cstheme="minorHAnsi"/>
          <w:sz w:val="22"/>
          <w:szCs w:val="22"/>
        </w:rPr>
        <w:tab/>
      </w:r>
      <w:r w:rsidR="00EF0639" w:rsidRPr="00C44E31">
        <w:rPr>
          <w:rFonts w:cstheme="minorHAnsi"/>
          <w:sz w:val="22"/>
          <w:szCs w:val="22"/>
        </w:rPr>
        <w:t>Détermination des orientations futures pour l'évolution de la Recommandation UIT-T X.509 et les possibilités de collaboration.</w:t>
      </w:r>
    </w:p>
    <w:p w14:paraId="13E417BC" w14:textId="08C11222" w:rsidR="00EF0639" w:rsidRPr="00C44E31" w:rsidRDefault="00EF0639" w:rsidP="00EF0639">
      <w:pPr>
        <w:rPr>
          <w:rFonts w:cstheme="minorHAnsi"/>
          <w:bCs/>
          <w:sz w:val="22"/>
          <w:szCs w:val="22"/>
        </w:rPr>
      </w:pPr>
      <w:r w:rsidRPr="00C44E31">
        <w:rPr>
          <w:rFonts w:cstheme="minorHAnsi"/>
          <w:bCs/>
          <w:sz w:val="22"/>
          <w:szCs w:val="22"/>
        </w:rPr>
        <w:t>4</w:t>
      </w:r>
      <w:r w:rsidRPr="00C44E31">
        <w:rPr>
          <w:rFonts w:cstheme="minorHAnsi"/>
          <w:bCs/>
          <w:sz w:val="22"/>
          <w:szCs w:val="22"/>
        </w:rPr>
        <w:tab/>
        <w:t xml:space="preserve">Toutes les informations utiles concernant l'atelier (projet de programme, intervenants, lien pour l'inscription, modalités de connexion à distance) seront communiquées sur la page web de la manifestation, à l'adresse </w:t>
      </w:r>
      <w:hyperlink r:id="rId10" w:anchor="/fr" w:history="1">
        <w:r w:rsidRPr="00C44E31">
          <w:rPr>
            <w:rStyle w:val="Hyperlink"/>
            <w:rFonts w:cstheme="minorHAnsi"/>
            <w:bCs/>
            <w:sz w:val="22"/>
            <w:szCs w:val="22"/>
          </w:rPr>
          <w:t>https://w</w:t>
        </w:r>
        <w:r w:rsidRPr="00C44E31">
          <w:rPr>
            <w:rStyle w:val="Hyperlink"/>
            <w:rFonts w:cstheme="minorHAnsi"/>
            <w:bCs/>
            <w:sz w:val="22"/>
            <w:szCs w:val="22"/>
          </w:rPr>
          <w:t>w</w:t>
        </w:r>
        <w:r w:rsidRPr="00C44E31">
          <w:rPr>
            <w:rStyle w:val="Hyperlink"/>
            <w:rFonts w:cstheme="minorHAnsi"/>
            <w:bCs/>
            <w:sz w:val="22"/>
            <w:szCs w:val="22"/>
          </w:rPr>
          <w:t>w.itu.int/en/ITU-T/Workshops-and-Seminars/2026/0512/Pages/default.aspx</w:t>
        </w:r>
      </w:hyperlink>
      <w:r w:rsidRPr="00C44E31">
        <w:rPr>
          <w:rFonts w:cstheme="minorHAnsi"/>
          <w:bCs/>
          <w:sz w:val="22"/>
          <w:szCs w:val="22"/>
        </w:rPr>
        <w:t>. Ce site web sera actualisé régulièrement à mesure que de plus amples informations seront mises à disposition, et les participants sont invités à le consulter régulièrement pour prendre connaissance des dernières mises à jour.</w:t>
      </w:r>
    </w:p>
    <w:p w14:paraId="306F3F58" w14:textId="477FE4B7" w:rsidR="00EF0639" w:rsidRPr="00C44E31" w:rsidRDefault="00EF0639" w:rsidP="00EF0639">
      <w:pPr>
        <w:rPr>
          <w:rFonts w:cstheme="minorHAnsi"/>
          <w:bCs/>
          <w:sz w:val="22"/>
          <w:szCs w:val="22"/>
        </w:rPr>
      </w:pPr>
      <w:r w:rsidRPr="00C44E31">
        <w:rPr>
          <w:rFonts w:cstheme="minorHAnsi"/>
          <w:bCs/>
          <w:sz w:val="22"/>
          <w:szCs w:val="22"/>
        </w:rPr>
        <w:t>5</w:t>
      </w:r>
      <w:r w:rsidRPr="00C44E31">
        <w:rPr>
          <w:rFonts w:cstheme="minorHAnsi"/>
          <w:bCs/>
          <w:sz w:val="22"/>
          <w:szCs w:val="22"/>
        </w:rPr>
        <w:tab/>
        <w:t xml:space="preserve">Afin de permettre au TSB de prendre les dispositions nécessaires concernant l'organisation de l'atelier, je vous saurais gré de bien vouloir vous inscrire dès que possible à l'adresse </w:t>
      </w:r>
      <w:proofErr w:type="gramStart"/>
      <w:r w:rsidRPr="00C44E31">
        <w:rPr>
          <w:rFonts w:cstheme="minorHAnsi"/>
          <w:bCs/>
          <w:sz w:val="22"/>
          <w:szCs w:val="22"/>
        </w:rPr>
        <w:t>suivante:</w:t>
      </w:r>
      <w:proofErr w:type="gramEnd"/>
      <w:r w:rsidRPr="00C44E31">
        <w:rPr>
          <w:rFonts w:cstheme="minorHAnsi"/>
          <w:bCs/>
          <w:sz w:val="22"/>
          <w:szCs w:val="22"/>
        </w:rPr>
        <w:t xml:space="preserve"> </w:t>
      </w:r>
      <w:hyperlink r:id="rId11" w:history="1">
        <w:r w:rsidRPr="00C44E31">
          <w:rPr>
            <w:rStyle w:val="Hyperlink"/>
            <w:rFonts w:cstheme="minorHAnsi"/>
            <w:bCs/>
            <w:sz w:val="22"/>
            <w:szCs w:val="22"/>
          </w:rPr>
          <w:t>https://www.itu.int</w:t>
        </w:r>
        <w:r w:rsidRPr="00C44E31">
          <w:rPr>
            <w:rStyle w:val="Hyperlink"/>
            <w:rFonts w:cstheme="minorHAnsi"/>
            <w:bCs/>
            <w:sz w:val="22"/>
            <w:szCs w:val="22"/>
          </w:rPr>
          <w:t>/</w:t>
        </w:r>
        <w:r w:rsidRPr="00C44E31">
          <w:rPr>
            <w:rStyle w:val="Hyperlink"/>
            <w:rFonts w:cstheme="minorHAnsi"/>
            <w:bCs/>
            <w:sz w:val="22"/>
            <w:szCs w:val="22"/>
          </w:rPr>
          <w:t>net4/CRM/xreg/web/Registration.aspx?Event=C-00016105</w:t>
        </w:r>
      </w:hyperlink>
      <w:r w:rsidRPr="00C44E31">
        <w:rPr>
          <w:rFonts w:cstheme="minorHAnsi"/>
          <w:bCs/>
          <w:sz w:val="22"/>
          <w:szCs w:val="22"/>
        </w:rPr>
        <w:t xml:space="preserve">. </w:t>
      </w:r>
      <w:r w:rsidRPr="00C44E31">
        <w:rPr>
          <w:rFonts w:cstheme="minorHAnsi"/>
          <w:b/>
          <w:sz w:val="22"/>
          <w:szCs w:val="22"/>
        </w:rPr>
        <w:t>Veuillez noter que l'inscription préalable des participants à l'atelier est obligatoire et se fait exclusivement en ligne</w:t>
      </w:r>
      <w:r w:rsidRPr="00C44E31">
        <w:rPr>
          <w:rFonts w:cstheme="minorHAnsi"/>
          <w:bCs/>
          <w:sz w:val="22"/>
          <w:szCs w:val="22"/>
        </w:rPr>
        <w:t>.</w:t>
      </w:r>
    </w:p>
    <w:p w14:paraId="36DDE7B7" w14:textId="77777777" w:rsidR="00EF0639" w:rsidRPr="00C44E31" w:rsidRDefault="00EF0639" w:rsidP="00EF0639">
      <w:pPr>
        <w:rPr>
          <w:rFonts w:cstheme="minorHAnsi"/>
          <w:bCs/>
          <w:sz w:val="22"/>
          <w:szCs w:val="22"/>
        </w:rPr>
      </w:pPr>
      <w:r w:rsidRPr="00C44E31">
        <w:rPr>
          <w:rFonts w:cstheme="minorHAnsi"/>
          <w:bCs/>
          <w:sz w:val="22"/>
          <w:szCs w:val="22"/>
        </w:rPr>
        <w:t>6</w:t>
      </w:r>
      <w:r w:rsidRPr="00C44E31">
        <w:rPr>
          <w:rFonts w:cstheme="minorHAnsi"/>
          <w:bCs/>
          <w:sz w:val="22"/>
          <w:szCs w:val="22"/>
        </w:rPr>
        <w:tab/>
        <w:t>La participation est gratuite et ouverte à toutes les parties prenantes intéressées, notamment les États Membres, les Membres de Secteur, les Associés de l'UIT et les établissements universitaires participant aux travaux de l'UIT, ainsi qu'à toute personne issue d'un pays membre de l'UIT qui souhaite contribuer aux travaux.</w:t>
      </w:r>
    </w:p>
    <w:p w14:paraId="46F2C3C2" w14:textId="7A0F1BA9" w:rsidR="00307FB4" w:rsidRPr="00C44E31" w:rsidRDefault="00EF0639" w:rsidP="00EF0639">
      <w:pPr>
        <w:rPr>
          <w:rFonts w:cstheme="minorHAnsi"/>
          <w:bCs/>
          <w:sz w:val="22"/>
          <w:szCs w:val="22"/>
        </w:rPr>
      </w:pPr>
      <w:r w:rsidRPr="00C44E31">
        <w:rPr>
          <w:rFonts w:cstheme="minorHAnsi"/>
          <w:bCs/>
          <w:sz w:val="22"/>
          <w:szCs w:val="22"/>
        </w:rPr>
        <w:t>7</w:t>
      </w:r>
      <w:r w:rsidRPr="00C44E31">
        <w:rPr>
          <w:rFonts w:cstheme="minorHAnsi"/>
          <w:bCs/>
          <w:sz w:val="22"/>
          <w:szCs w:val="22"/>
        </w:rPr>
        <w:tab/>
        <w:t>Nous vous rappelons que, pour les ressortissants de certains pays, l'entrée et le séjour en Suisse, quelle qu'en soit la durée, sont soumis à l'obtention d'un visa. Ce visa doit être demandé au plus tôt et obtenu auprès de la représentation de la Suisse (ambassade ou consulat) dans votre pays ou, à défaut, dans le pays le plus proche de votre pays de départ.</w:t>
      </w:r>
    </w:p>
    <w:p w14:paraId="6A4CD67F" w14:textId="77777777" w:rsidR="00307FB4" w:rsidRPr="00C44E31" w:rsidRDefault="00307FB4" w:rsidP="00307FB4">
      <w:pPr>
        <w:rPr>
          <w:rFonts w:cstheme="minorHAnsi"/>
          <w:bCs/>
          <w:sz w:val="22"/>
          <w:szCs w:val="22"/>
        </w:rPr>
      </w:pPr>
      <w:r w:rsidRPr="00C44E31">
        <w:rPr>
          <w:rFonts w:cstheme="minorHAnsi"/>
          <w:bCs/>
          <w:sz w:val="22"/>
          <w:szCs w:val="22"/>
        </w:rPr>
        <w:t>Veuillez agréer, Madame, Monsieur, l'assurance de ma considération distinguée.</w:t>
      </w:r>
    </w:p>
    <w:p w14:paraId="558FB742" w14:textId="3474D17F" w:rsidR="002937DB" w:rsidRPr="00C44E31" w:rsidRDefault="00373AF4" w:rsidP="00C44E31">
      <w:pPr>
        <w:spacing w:before="720"/>
        <w:rPr>
          <w:rFonts w:cstheme="minorHAnsi"/>
          <w:bCs/>
          <w:sz w:val="22"/>
          <w:szCs w:val="22"/>
        </w:rPr>
      </w:pPr>
      <w:r>
        <w:rPr>
          <w:rFonts w:cstheme="minorHAnsi"/>
          <w:bCs/>
          <w:noProof/>
          <w:sz w:val="22"/>
          <w:szCs w:val="22"/>
        </w:rPr>
        <w:drawing>
          <wp:anchor distT="0" distB="0" distL="114300" distR="114300" simplePos="0" relativeHeight="251658240" behindDoc="1" locked="0" layoutInCell="1" allowOverlap="1" wp14:anchorId="0095C4A4" wp14:editId="74EA1D9A">
            <wp:simplePos x="0" y="0"/>
            <wp:positionH relativeFrom="margin">
              <wp:align>left</wp:align>
            </wp:positionH>
            <wp:positionV relativeFrom="paragraph">
              <wp:posOffset>52070</wp:posOffset>
            </wp:positionV>
            <wp:extent cx="692186" cy="330217"/>
            <wp:effectExtent l="0" t="0" r="0" b="0"/>
            <wp:wrapNone/>
            <wp:docPr id="181270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01599" name="Picture 1812701599"/>
                    <pic:cNvPicPr/>
                  </pic:nvPicPr>
                  <pic:blipFill>
                    <a:blip r:embed="rId12">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C44E31">
        <w:rPr>
          <w:rFonts w:cstheme="minorHAnsi"/>
          <w:bCs/>
          <w:sz w:val="22"/>
          <w:szCs w:val="22"/>
        </w:rPr>
        <w:t>Seizo Onoe</w:t>
      </w:r>
      <w:r w:rsidR="00B60868" w:rsidRPr="00C44E31">
        <w:rPr>
          <w:rFonts w:cstheme="minorHAnsi"/>
          <w:bCs/>
          <w:sz w:val="22"/>
          <w:szCs w:val="22"/>
        </w:rPr>
        <w:br/>
      </w:r>
      <w:r w:rsidR="00307FB4" w:rsidRPr="00C44E31">
        <w:rPr>
          <w:rFonts w:cstheme="minorHAnsi"/>
          <w:bCs/>
          <w:sz w:val="22"/>
          <w:szCs w:val="22"/>
        </w:rPr>
        <w:t>Directeur du Bureau de la normalisation</w:t>
      </w:r>
      <w:r w:rsidR="00B60868" w:rsidRPr="00C44E31">
        <w:rPr>
          <w:rFonts w:cstheme="minorHAnsi"/>
          <w:bCs/>
          <w:sz w:val="22"/>
          <w:szCs w:val="22"/>
        </w:rPr>
        <w:br/>
      </w:r>
      <w:r w:rsidR="00307FB4" w:rsidRPr="00C44E31">
        <w:rPr>
          <w:rFonts w:cstheme="minorHAnsi"/>
          <w:bCs/>
          <w:sz w:val="22"/>
          <w:szCs w:val="22"/>
        </w:rPr>
        <w:t>des télécommunications</w:t>
      </w:r>
    </w:p>
    <w:sectPr w:rsidR="002937DB" w:rsidRPr="00C44E31" w:rsidSect="00A15179">
      <w:headerReference w:type="even" r:id="rId13"/>
      <w:headerReference w:type="default" r:id="rId14"/>
      <w:footerReference w:type="even" r:id="rId15"/>
      <w:footerReference w:type="default" r:id="rId16"/>
      <w:headerReference w:type="first" r:id="rId17"/>
      <w:footerReference w:type="first" r:id="rId18"/>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6214" w14:textId="77777777" w:rsidR="00AB777A" w:rsidRDefault="00AB777A">
      <w:r>
        <w:separator/>
      </w:r>
    </w:p>
  </w:endnote>
  <w:endnote w:type="continuationSeparator" w:id="0">
    <w:p w14:paraId="621EF78C" w14:textId="77777777" w:rsidR="00AB777A" w:rsidRDefault="00AB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3CCF" w14:textId="77777777" w:rsidR="003869A2" w:rsidRDefault="0038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1526" w14:textId="77777777" w:rsidR="003869A2" w:rsidRDefault="00386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54F6BAB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5A96" w14:textId="77777777" w:rsidR="00AB777A" w:rsidRDefault="00AB777A">
      <w:r>
        <w:t>____________________</w:t>
      </w:r>
    </w:p>
  </w:footnote>
  <w:footnote w:type="continuationSeparator" w:id="0">
    <w:p w14:paraId="43FDA8E5" w14:textId="77777777" w:rsidR="00AB777A" w:rsidRDefault="00AB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2D8C" w14:textId="77777777" w:rsidR="003869A2" w:rsidRDefault="0038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58DD879D" w:rsidR="00697BC1" w:rsidRPr="00697BC1" w:rsidRDefault="003869A2" w:rsidP="00697BC1">
    <w:pPr>
      <w:pStyle w:val="Header"/>
      <w:rPr>
        <w:sz w:val="18"/>
        <w:szCs w:val="16"/>
      </w:rPr>
    </w:pPr>
    <w:r>
      <w:rPr>
        <w:sz w:val="18"/>
        <w:szCs w:val="16"/>
      </w:rPr>
      <w:t>-</w:t>
    </w: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Pr>
            <w:noProof/>
            <w:sz w:val="18"/>
            <w:szCs w:val="16"/>
          </w:rPr>
          <w:t>-</w:t>
        </w:r>
      </w:sdtContent>
    </w:sdt>
    <w:r w:rsidR="00AF0D7D">
      <w:rPr>
        <w:noProof/>
        <w:sz w:val="18"/>
        <w:szCs w:val="16"/>
      </w:rPr>
      <w:br/>
      <w:t xml:space="preserve">Circulaire TSB </w:t>
    </w:r>
    <w:r w:rsidR="00EF0639">
      <w:rPr>
        <w:noProof/>
        <w:sz w:val="18"/>
        <w:szCs w:val="16"/>
      </w:rPr>
      <w:t>112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D61" w14:textId="77777777" w:rsidR="003869A2" w:rsidRDefault="0038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345144CE"/>
    <w:multiLevelType w:val="hybridMultilevel"/>
    <w:tmpl w:val="B1801274"/>
    <w:lvl w:ilvl="0" w:tplc="20000017">
      <w:start w:val="1"/>
      <w:numFmt w:val="lowerLetter"/>
      <w:lvlText w:val="%1)"/>
      <w:lvlJc w:val="left"/>
      <w:pPr>
        <w:ind w:left="1245" w:hanging="360"/>
      </w:pPr>
    </w:lvl>
    <w:lvl w:ilvl="1" w:tplc="20000019">
      <w:start w:val="1"/>
      <w:numFmt w:val="lowerLetter"/>
      <w:lvlText w:val="%2."/>
      <w:lvlJc w:val="left"/>
      <w:pPr>
        <w:ind w:left="1965" w:hanging="360"/>
      </w:pPr>
    </w:lvl>
    <w:lvl w:ilvl="2" w:tplc="2000001B">
      <w:start w:val="1"/>
      <w:numFmt w:val="lowerRoman"/>
      <w:lvlText w:val="%3."/>
      <w:lvlJc w:val="right"/>
      <w:pPr>
        <w:ind w:left="2685" w:hanging="180"/>
      </w:pPr>
    </w:lvl>
    <w:lvl w:ilvl="3" w:tplc="2000000F">
      <w:start w:val="1"/>
      <w:numFmt w:val="decimal"/>
      <w:lvlText w:val="%4."/>
      <w:lvlJc w:val="left"/>
      <w:pPr>
        <w:ind w:left="3405" w:hanging="360"/>
      </w:pPr>
    </w:lvl>
    <w:lvl w:ilvl="4" w:tplc="20000019">
      <w:start w:val="1"/>
      <w:numFmt w:val="lowerLetter"/>
      <w:lvlText w:val="%5."/>
      <w:lvlJc w:val="left"/>
      <w:pPr>
        <w:ind w:left="4125" w:hanging="360"/>
      </w:pPr>
    </w:lvl>
    <w:lvl w:ilvl="5" w:tplc="2000001B">
      <w:start w:val="1"/>
      <w:numFmt w:val="lowerRoman"/>
      <w:lvlText w:val="%6."/>
      <w:lvlJc w:val="right"/>
      <w:pPr>
        <w:ind w:left="4845" w:hanging="180"/>
      </w:pPr>
    </w:lvl>
    <w:lvl w:ilvl="6" w:tplc="2000000F">
      <w:start w:val="1"/>
      <w:numFmt w:val="decimal"/>
      <w:lvlText w:val="%7."/>
      <w:lvlJc w:val="left"/>
      <w:pPr>
        <w:ind w:left="5565" w:hanging="360"/>
      </w:pPr>
    </w:lvl>
    <w:lvl w:ilvl="7" w:tplc="20000019">
      <w:start w:val="1"/>
      <w:numFmt w:val="lowerLetter"/>
      <w:lvlText w:val="%8."/>
      <w:lvlJc w:val="left"/>
      <w:pPr>
        <w:ind w:left="6285" w:hanging="360"/>
      </w:pPr>
    </w:lvl>
    <w:lvl w:ilvl="8" w:tplc="2000001B">
      <w:start w:val="1"/>
      <w:numFmt w:val="lowerRoman"/>
      <w:lvlText w:val="%9."/>
      <w:lvlJc w:val="right"/>
      <w:pPr>
        <w:ind w:left="7005" w:hanging="180"/>
      </w:p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4"/>
  </w:num>
  <w:num w:numId="3" w16cid:durableId="2075545744">
    <w:abstractNumId w:val="3"/>
  </w:num>
  <w:num w:numId="4" w16cid:durableId="1871449755">
    <w:abstractNumId w:val="0"/>
  </w:num>
  <w:num w:numId="5" w16cid:durableId="54487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2693F"/>
    <w:rsid w:val="0023667A"/>
    <w:rsid w:val="002657DF"/>
    <w:rsid w:val="002937DB"/>
    <w:rsid w:val="002E395D"/>
    <w:rsid w:val="00307FB4"/>
    <w:rsid w:val="003131F0"/>
    <w:rsid w:val="00333A80"/>
    <w:rsid w:val="00341117"/>
    <w:rsid w:val="00364E95"/>
    <w:rsid w:val="00372875"/>
    <w:rsid w:val="00373AF4"/>
    <w:rsid w:val="003742F8"/>
    <w:rsid w:val="003869A2"/>
    <w:rsid w:val="003B1E80"/>
    <w:rsid w:val="003B66E8"/>
    <w:rsid w:val="003E66AD"/>
    <w:rsid w:val="004033F1"/>
    <w:rsid w:val="00414B0C"/>
    <w:rsid w:val="00423C21"/>
    <w:rsid w:val="004257AC"/>
    <w:rsid w:val="0043711B"/>
    <w:rsid w:val="004419E9"/>
    <w:rsid w:val="00445B68"/>
    <w:rsid w:val="0048088B"/>
    <w:rsid w:val="004977C9"/>
    <w:rsid w:val="004A46E0"/>
    <w:rsid w:val="004B732E"/>
    <w:rsid w:val="004D51F4"/>
    <w:rsid w:val="004D64E0"/>
    <w:rsid w:val="005120A2"/>
    <w:rsid w:val="0051210D"/>
    <w:rsid w:val="005136D2"/>
    <w:rsid w:val="00517A03"/>
    <w:rsid w:val="005A3DD9"/>
    <w:rsid w:val="005A6185"/>
    <w:rsid w:val="005B1DFC"/>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B777A"/>
    <w:rsid w:val="00AC37B5"/>
    <w:rsid w:val="00AD752F"/>
    <w:rsid w:val="00AF08A4"/>
    <w:rsid w:val="00AF0D7D"/>
    <w:rsid w:val="00B27B41"/>
    <w:rsid w:val="00B42659"/>
    <w:rsid w:val="00B46805"/>
    <w:rsid w:val="00B46F2D"/>
    <w:rsid w:val="00B60868"/>
    <w:rsid w:val="00B8573E"/>
    <w:rsid w:val="00BB24C0"/>
    <w:rsid w:val="00BD6ECF"/>
    <w:rsid w:val="00C26F2E"/>
    <w:rsid w:val="00C302E3"/>
    <w:rsid w:val="00C41B89"/>
    <w:rsid w:val="00C44E31"/>
    <w:rsid w:val="00C45376"/>
    <w:rsid w:val="00C9028F"/>
    <w:rsid w:val="00CA0416"/>
    <w:rsid w:val="00CB1125"/>
    <w:rsid w:val="00CB4E80"/>
    <w:rsid w:val="00CD042E"/>
    <w:rsid w:val="00CF2560"/>
    <w:rsid w:val="00CF5B46"/>
    <w:rsid w:val="00D46B68"/>
    <w:rsid w:val="00D542A5"/>
    <w:rsid w:val="00DC3D47"/>
    <w:rsid w:val="00DD3058"/>
    <w:rsid w:val="00DD77DA"/>
    <w:rsid w:val="00E06C61"/>
    <w:rsid w:val="00E13DB3"/>
    <w:rsid w:val="00E2408B"/>
    <w:rsid w:val="00E62CEA"/>
    <w:rsid w:val="00E72AE1"/>
    <w:rsid w:val="00ED6A7A"/>
    <w:rsid w:val="00EE4C36"/>
    <w:rsid w:val="00EF0639"/>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Style 58,超????,超?级链,하이퍼링크2,CEO_Hyperlink,超链接1"/>
    <w:uiPriority w:val="99"/>
    <w:qFormat/>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Tabletext0">
    <w:name w:val="Table_text"/>
    <w:basedOn w:val="Normal"/>
    <w:rsid w:val="00EF06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textAlignment w:val="auto"/>
    </w:pPr>
    <w:rPr>
      <w:rFonts w:ascii="Calibri" w:eastAsia="Batang"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4/CRM/xreg/web/Registration.aspx?Event=C-000161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ITU-T/Workshops-and-Seminars/2026/0512/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ITU-T/recommendations/rec.aspx?id=14033&amp;lang=en"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1</TotalTime>
  <Pages>2</Pages>
  <Words>947</Words>
  <Characters>5988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6922</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4</cp:revision>
  <cp:lastPrinted>2026-02-20T07:28:00Z</cp:lastPrinted>
  <dcterms:created xsi:type="dcterms:W3CDTF">2026-02-19T15:47:00Z</dcterms:created>
  <dcterms:modified xsi:type="dcterms:W3CDTF">2026-02-20T07:28:00Z</dcterms:modified>
</cp:coreProperties>
</file>