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9871" w:type="dxa"/>
        <w:tblLayout w:type="fixed"/>
        <w:tblLook w:val="0000" w:firstRow="0" w:lastRow="0" w:firstColumn="0" w:lastColumn="0" w:noHBand="0" w:noVBand="0"/>
      </w:tblPr>
      <w:tblGrid>
        <w:gridCol w:w="1530"/>
        <w:gridCol w:w="3238"/>
        <w:gridCol w:w="3119"/>
        <w:gridCol w:w="1984"/>
      </w:tblGrid>
      <w:tr w:rsidR="00D90832" w:rsidRPr="00E61CA4" w14:paraId="2CFA127B" w14:textId="77777777" w:rsidTr="00E95A8A">
        <w:trPr>
          <w:trHeight w:val="987"/>
        </w:trPr>
        <w:tc>
          <w:tcPr>
            <w:tcW w:w="1530" w:type="dxa"/>
            <w:tcMar>
              <w:left w:w="0" w:type="dxa"/>
              <w:right w:w="0" w:type="dxa"/>
            </w:tcMar>
            <w:vAlign w:val="center"/>
          </w:tcPr>
          <w:p w14:paraId="74D67BD6" w14:textId="77777777" w:rsidR="00D90832" w:rsidRPr="00E61CA4" w:rsidRDefault="00D90832" w:rsidP="00E61CA4">
            <w:pPr>
              <w:pStyle w:val="Tabletext"/>
              <w:jc w:val="center"/>
            </w:pPr>
            <w:r w:rsidRPr="00E61CA4">
              <w:rPr>
                <w:noProof/>
                <w:lang w:eastAsia="zh-CN"/>
              </w:rPr>
              <w:drawing>
                <wp:inline distT="0" distB="0" distL="0" distR="0" wp14:anchorId="16BAEBB3" wp14:editId="12713E20">
                  <wp:extent cx="771525" cy="77152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tc>
        <w:tc>
          <w:tcPr>
            <w:tcW w:w="6357" w:type="dxa"/>
            <w:gridSpan w:val="2"/>
            <w:tcMar>
              <w:left w:w="142" w:type="dxa"/>
            </w:tcMar>
            <w:vAlign w:val="center"/>
          </w:tcPr>
          <w:p w14:paraId="6359B242" w14:textId="4878BCD5" w:rsidR="00D90832" w:rsidRPr="00E61CA4" w:rsidRDefault="00D90832" w:rsidP="00E61CA4">
            <w:pPr>
              <w:spacing w:before="240" w:after="0"/>
              <w:rPr>
                <w:rFonts w:cs="Times New Roman Bold"/>
                <w:b/>
                <w:bCs/>
                <w:smallCaps/>
                <w:sz w:val="26"/>
                <w:szCs w:val="26"/>
              </w:rPr>
            </w:pPr>
            <w:r w:rsidRPr="00E61CA4">
              <w:rPr>
                <w:rFonts w:cs="Times New Roman Bold"/>
                <w:b/>
                <w:bCs/>
                <w:smallCaps/>
                <w:sz w:val="36"/>
                <w:szCs w:val="36"/>
              </w:rPr>
              <w:t>International telecommunication union</w:t>
            </w:r>
          </w:p>
          <w:p w14:paraId="03186F03" w14:textId="77777777" w:rsidR="00D90832" w:rsidRPr="00E61CA4" w:rsidRDefault="00D90832" w:rsidP="00E61CA4">
            <w:pPr>
              <w:rPr>
                <w:rFonts w:ascii="Verdana" w:hAnsi="Verdana"/>
                <w:color w:val="FFFFFF"/>
                <w:sz w:val="26"/>
                <w:szCs w:val="26"/>
              </w:rPr>
            </w:pPr>
            <w:r w:rsidRPr="00E61CA4">
              <w:rPr>
                <w:rFonts w:cs="Times New Roman Bold"/>
                <w:b/>
                <w:bCs/>
                <w:iCs/>
                <w:smallCaps/>
                <w:sz w:val="28"/>
                <w:szCs w:val="28"/>
              </w:rPr>
              <w:t>Telecommunication Standardization Bureau</w:t>
            </w:r>
          </w:p>
        </w:tc>
        <w:tc>
          <w:tcPr>
            <w:tcW w:w="1984" w:type="dxa"/>
            <w:vAlign w:val="center"/>
          </w:tcPr>
          <w:p w14:paraId="5B67822E" w14:textId="77777777" w:rsidR="00D90832" w:rsidRPr="00E61CA4" w:rsidRDefault="00D90832" w:rsidP="00E61CA4">
            <w:pPr>
              <w:jc w:val="right"/>
              <w:rPr>
                <w:rFonts w:ascii="Verdana" w:hAnsi="Verdana"/>
                <w:color w:val="FFFFFF"/>
                <w:sz w:val="26"/>
                <w:szCs w:val="26"/>
              </w:rPr>
            </w:pPr>
          </w:p>
        </w:tc>
      </w:tr>
      <w:tr w:rsidR="00D90832" w:rsidRPr="00E61CA4" w14:paraId="2D09A0F2" w14:textId="77777777" w:rsidTr="00E95A8A">
        <w:trPr>
          <w:cantSplit/>
          <w:trHeight w:val="510"/>
        </w:trPr>
        <w:tc>
          <w:tcPr>
            <w:tcW w:w="4768" w:type="dxa"/>
            <w:gridSpan w:val="2"/>
            <w:vAlign w:val="center"/>
          </w:tcPr>
          <w:p w14:paraId="10A3B527" w14:textId="77777777" w:rsidR="00D90832" w:rsidRPr="00E61CA4" w:rsidRDefault="00D90832" w:rsidP="00E61CA4">
            <w:pPr>
              <w:pStyle w:val="Tabletext"/>
              <w:jc w:val="right"/>
              <w:rPr>
                <w:sz w:val="22"/>
                <w:szCs w:val="22"/>
              </w:rPr>
            </w:pPr>
          </w:p>
        </w:tc>
        <w:tc>
          <w:tcPr>
            <w:tcW w:w="5103" w:type="dxa"/>
            <w:gridSpan w:val="2"/>
            <w:vAlign w:val="center"/>
          </w:tcPr>
          <w:p w14:paraId="7369630B" w14:textId="30497821" w:rsidR="00D90832" w:rsidRPr="00E61CA4" w:rsidRDefault="00D90832" w:rsidP="00E95A8A">
            <w:pPr>
              <w:pStyle w:val="Tabletext"/>
              <w:spacing w:before="0" w:after="0"/>
              <w:ind w:left="-115"/>
              <w:rPr>
                <w:rFonts w:eastAsia="SimSun"/>
                <w:sz w:val="22"/>
                <w:szCs w:val="22"/>
                <w:lang w:eastAsia="zh-CN"/>
              </w:rPr>
            </w:pPr>
            <w:r w:rsidRPr="00E61CA4">
              <w:rPr>
                <w:sz w:val="22"/>
                <w:szCs w:val="22"/>
              </w:rPr>
              <w:t xml:space="preserve">Geneva, </w:t>
            </w:r>
            <w:r w:rsidR="00A71750">
              <w:rPr>
                <w:sz w:val="22"/>
                <w:szCs w:val="22"/>
              </w:rPr>
              <w:t>13</w:t>
            </w:r>
            <w:r w:rsidR="00DB5CBF">
              <w:rPr>
                <w:rFonts w:eastAsia="SimSun"/>
                <w:sz w:val="22"/>
                <w:szCs w:val="22"/>
                <w:lang w:eastAsia="zh-CN"/>
              </w:rPr>
              <w:t xml:space="preserve"> February</w:t>
            </w:r>
            <w:r w:rsidR="00901D26" w:rsidRPr="00E61CA4">
              <w:rPr>
                <w:sz w:val="22"/>
                <w:szCs w:val="22"/>
              </w:rPr>
              <w:t xml:space="preserve"> </w:t>
            </w:r>
            <w:r w:rsidR="00D824AF" w:rsidRPr="00E61CA4">
              <w:rPr>
                <w:sz w:val="22"/>
                <w:szCs w:val="22"/>
              </w:rPr>
              <w:t>202</w:t>
            </w:r>
            <w:r w:rsidR="009F0AC1">
              <w:rPr>
                <w:rFonts w:eastAsia="SimSun"/>
                <w:sz w:val="22"/>
                <w:szCs w:val="22"/>
                <w:lang w:eastAsia="zh-CN"/>
              </w:rPr>
              <w:t>6</w:t>
            </w:r>
          </w:p>
        </w:tc>
      </w:tr>
      <w:tr w:rsidR="00D90832" w:rsidRPr="00E61CA4" w14:paraId="5E366E1E" w14:textId="77777777" w:rsidTr="00E95A8A">
        <w:trPr>
          <w:cantSplit/>
          <w:trHeight w:val="553"/>
        </w:trPr>
        <w:tc>
          <w:tcPr>
            <w:tcW w:w="1530" w:type="dxa"/>
          </w:tcPr>
          <w:p w14:paraId="657038CE" w14:textId="77777777" w:rsidR="00D90832" w:rsidRPr="00E61CA4" w:rsidRDefault="00D90832" w:rsidP="00E61CA4">
            <w:pPr>
              <w:pStyle w:val="Tabletext"/>
              <w:ind w:left="-110"/>
              <w:rPr>
                <w:sz w:val="22"/>
                <w:szCs w:val="22"/>
              </w:rPr>
            </w:pPr>
            <w:r w:rsidRPr="00E61CA4">
              <w:rPr>
                <w:b/>
                <w:sz w:val="22"/>
                <w:szCs w:val="22"/>
              </w:rPr>
              <w:t xml:space="preserve">Ref: </w:t>
            </w:r>
          </w:p>
        </w:tc>
        <w:tc>
          <w:tcPr>
            <w:tcW w:w="3238" w:type="dxa"/>
          </w:tcPr>
          <w:p w14:paraId="46FA728A" w14:textId="66286FA6" w:rsidR="00387688" w:rsidRPr="00E61CA4" w:rsidRDefault="00D90832" w:rsidP="00E61CA4">
            <w:pPr>
              <w:pStyle w:val="Docnumber"/>
              <w:framePr w:hSpace="0" w:wrap="auto" w:vAnchor="margin" w:hAnchor="text" w:xAlign="left" w:yAlign="inline"/>
            </w:pPr>
            <w:r w:rsidRPr="00E61CA4">
              <w:t>TSB Circula</w:t>
            </w:r>
            <w:r w:rsidR="002E0EDA">
              <w:t>r</w:t>
            </w:r>
            <w:r w:rsidR="002E0EDA" w:rsidRPr="0024424B">
              <w:t xml:space="preserve"> </w:t>
            </w:r>
            <w:r w:rsidR="0024424B" w:rsidRPr="0024424B">
              <w:t>112</w:t>
            </w:r>
          </w:p>
          <w:p w14:paraId="1D402F53" w14:textId="6B362508" w:rsidR="00D90832" w:rsidRPr="00E61CA4" w:rsidRDefault="00D90832" w:rsidP="00E61CA4">
            <w:pPr>
              <w:pStyle w:val="Tabletext"/>
              <w:rPr>
                <w:b/>
                <w:bCs/>
                <w:sz w:val="22"/>
                <w:szCs w:val="22"/>
              </w:rPr>
            </w:pPr>
            <w:r w:rsidRPr="00E61CA4">
              <w:rPr>
                <w:sz w:val="22"/>
                <w:szCs w:val="22"/>
              </w:rPr>
              <w:t>TSB Events/XY</w:t>
            </w:r>
          </w:p>
        </w:tc>
        <w:tc>
          <w:tcPr>
            <w:tcW w:w="5103" w:type="dxa"/>
            <w:gridSpan w:val="2"/>
            <w:vMerge w:val="restart"/>
          </w:tcPr>
          <w:p w14:paraId="426439A0" w14:textId="77777777" w:rsidR="00D90832" w:rsidRPr="00E61CA4" w:rsidRDefault="00D90832" w:rsidP="00E95A8A">
            <w:pPr>
              <w:tabs>
                <w:tab w:val="left" w:pos="241"/>
              </w:tabs>
              <w:spacing w:before="20" w:after="20"/>
              <w:ind w:left="274" w:hanging="389"/>
            </w:pPr>
            <w:r w:rsidRPr="00E61CA4">
              <w:rPr>
                <w:b/>
              </w:rPr>
              <w:t>To:</w:t>
            </w:r>
          </w:p>
          <w:p w14:paraId="1A038AFD" w14:textId="77777777" w:rsidR="00D90832" w:rsidRDefault="00D90832" w:rsidP="00E95A8A">
            <w:pPr>
              <w:spacing w:before="20" w:after="20"/>
              <w:ind w:left="274" w:hanging="389"/>
            </w:pPr>
            <w:r w:rsidRPr="00E61CA4">
              <w:t>-</w:t>
            </w:r>
            <w:r w:rsidRPr="00E61CA4">
              <w:tab/>
              <w:t xml:space="preserve">Administrations of Member States of the </w:t>
            </w:r>
            <w:proofErr w:type="gramStart"/>
            <w:r w:rsidRPr="00E61CA4">
              <w:t>Union;</w:t>
            </w:r>
            <w:proofErr w:type="gramEnd"/>
          </w:p>
          <w:p w14:paraId="505D3634" w14:textId="10E5E2F7" w:rsidR="00D55289" w:rsidRPr="00E61CA4" w:rsidRDefault="007F6416" w:rsidP="00E95A8A">
            <w:pPr>
              <w:spacing w:before="20" w:after="20"/>
              <w:ind w:left="274" w:hanging="389"/>
            </w:pPr>
            <w:r>
              <w:rPr>
                <w:rFonts w:cs="Calibri"/>
              </w:rPr>
              <w:t>-</w:t>
            </w:r>
            <w:r>
              <w:rPr>
                <w:rFonts w:cs="Calibri"/>
              </w:rPr>
              <w:tab/>
            </w:r>
            <w:r w:rsidRPr="004417EF">
              <w:rPr>
                <w:rFonts w:cs="Calibri"/>
              </w:rPr>
              <w:t>The State of Palestine (Res. 99 (Rev. Dubai, 2018)</w:t>
            </w:r>
            <w:proofErr w:type="gramStart"/>
            <w:r w:rsidRPr="004417EF">
              <w:rPr>
                <w:rFonts w:cs="Calibri"/>
              </w:rPr>
              <w:t>);</w:t>
            </w:r>
            <w:proofErr w:type="gramEnd"/>
          </w:p>
          <w:p w14:paraId="14F7D9EA" w14:textId="77777777" w:rsidR="00D90832" w:rsidRPr="009B4C24" w:rsidRDefault="00D90832" w:rsidP="00E95A8A">
            <w:pPr>
              <w:spacing w:before="20" w:after="20"/>
              <w:ind w:left="274" w:hanging="389"/>
              <w:rPr>
                <w:lang w:val="fr-FR"/>
              </w:rPr>
            </w:pPr>
            <w:r w:rsidRPr="009B4C24">
              <w:rPr>
                <w:lang w:val="fr-FR"/>
              </w:rPr>
              <w:t>-</w:t>
            </w:r>
            <w:r w:rsidRPr="009B4C24">
              <w:rPr>
                <w:lang w:val="fr-FR"/>
              </w:rPr>
              <w:tab/>
              <w:t xml:space="preserve">ITU-T </w:t>
            </w:r>
            <w:proofErr w:type="spellStart"/>
            <w:r w:rsidRPr="009B4C24">
              <w:rPr>
                <w:lang w:val="fr-FR"/>
              </w:rPr>
              <w:t>Sector</w:t>
            </w:r>
            <w:proofErr w:type="spellEnd"/>
            <w:r w:rsidRPr="009B4C24">
              <w:rPr>
                <w:lang w:val="fr-FR"/>
              </w:rPr>
              <w:t xml:space="preserve"> </w:t>
            </w:r>
            <w:proofErr w:type="gramStart"/>
            <w:r w:rsidRPr="009B4C24">
              <w:rPr>
                <w:lang w:val="fr-FR"/>
              </w:rPr>
              <w:t>Members;</w:t>
            </w:r>
            <w:proofErr w:type="gramEnd"/>
          </w:p>
          <w:p w14:paraId="036F9CDC" w14:textId="77777777" w:rsidR="00D90832" w:rsidRPr="009B4C24" w:rsidRDefault="00D90832" w:rsidP="00E95A8A">
            <w:pPr>
              <w:spacing w:before="20" w:after="20"/>
              <w:ind w:left="274" w:hanging="389"/>
              <w:rPr>
                <w:lang w:val="fr-FR"/>
              </w:rPr>
            </w:pPr>
            <w:r w:rsidRPr="009B4C24">
              <w:rPr>
                <w:lang w:val="fr-FR"/>
              </w:rPr>
              <w:t>-</w:t>
            </w:r>
            <w:r w:rsidRPr="009B4C24">
              <w:rPr>
                <w:lang w:val="fr-FR"/>
              </w:rPr>
              <w:tab/>
              <w:t xml:space="preserve">ITU-T </w:t>
            </w:r>
            <w:proofErr w:type="gramStart"/>
            <w:r w:rsidRPr="009B4C24">
              <w:rPr>
                <w:lang w:val="fr-FR"/>
              </w:rPr>
              <w:t>Associates;</w:t>
            </w:r>
            <w:proofErr w:type="gramEnd"/>
          </w:p>
          <w:p w14:paraId="6BE155E6" w14:textId="455A208E" w:rsidR="00D90832" w:rsidRPr="00E61CA4" w:rsidRDefault="00D90832" w:rsidP="00E95A8A">
            <w:pPr>
              <w:pStyle w:val="Tabletext"/>
              <w:spacing w:before="20" w:after="20"/>
              <w:ind w:left="274" w:hanging="389"/>
              <w:rPr>
                <w:sz w:val="22"/>
                <w:szCs w:val="22"/>
              </w:rPr>
            </w:pPr>
            <w:r w:rsidRPr="00E61CA4">
              <w:rPr>
                <w:sz w:val="22"/>
                <w:szCs w:val="22"/>
              </w:rPr>
              <w:t>-</w:t>
            </w:r>
            <w:r w:rsidRPr="00E61CA4">
              <w:rPr>
                <w:sz w:val="22"/>
                <w:szCs w:val="22"/>
              </w:rPr>
              <w:tab/>
              <w:t>ITU Academia</w:t>
            </w:r>
          </w:p>
          <w:p w14:paraId="3EA93850" w14:textId="77777777" w:rsidR="00D90832" w:rsidRPr="00E61CA4" w:rsidRDefault="00D90832" w:rsidP="00E95A8A">
            <w:pPr>
              <w:pStyle w:val="Tabletext"/>
              <w:spacing w:before="20" w:after="20"/>
              <w:ind w:left="274" w:hanging="389"/>
              <w:rPr>
                <w:sz w:val="22"/>
                <w:szCs w:val="22"/>
              </w:rPr>
            </w:pPr>
            <w:r w:rsidRPr="00E61CA4">
              <w:rPr>
                <w:b/>
                <w:sz w:val="22"/>
                <w:szCs w:val="22"/>
              </w:rPr>
              <w:t>Copy to:</w:t>
            </w:r>
          </w:p>
          <w:p w14:paraId="7CE23425" w14:textId="769C9119" w:rsidR="00D90832" w:rsidRPr="00E61CA4" w:rsidRDefault="00D90832" w:rsidP="00E95A8A">
            <w:pPr>
              <w:pStyle w:val="Tabletext"/>
              <w:tabs>
                <w:tab w:val="clear" w:pos="284"/>
              </w:tabs>
              <w:spacing w:before="20" w:after="20"/>
              <w:ind w:left="274" w:hanging="389"/>
              <w:rPr>
                <w:sz w:val="22"/>
                <w:szCs w:val="22"/>
              </w:rPr>
            </w:pPr>
            <w:r w:rsidRPr="00E61CA4">
              <w:rPr>
                <w:sz w:val="22"/>
                <w:szCs w:val="22"/>
              </w:rPr>
              <w:t>-</w:t>
            </w:r>
            <w:r w:rsidRPr="00E61CA4">
              <w:rPr>
                <w:sz w:val="22"/>
                <w:szCs w:val="22"/>
              </w:rPr>
              <w:tab/>
              <w:t>The Chair</w:t>
            </w:r>
            <w:r w:rsidR="001B1947" w:rsidRPr="00E61CA4">
              <w:rPr>
                <w:sz w:val="22"/>
                <w:szCs w:val="22"/>
              </w:rPr>
              <w:t>s</w:t>
            </w:r>
            <w:r w:rsidRPr="00E61CA4">
              <w:rPr>
                <w:sz w:val="22"/>
                <w:szCs w:val="22"/>
              </w:rPr>
              <w:t xml:space="preserve"> and Vice-</w:t>
            </w:r>
            <w:r w:rsidR="001B1947" w:rsidRPr="00E61CA4">
              <w:rPr>
                <w:sz w:val="22"/>
                <w:szCs w:val="22"/>
              </w:rPr>
              <w:t xml:space="preserve">Chairs </w:t>
            </w:r>
            <w:r w:rsidRPr="00E61CA4">
              <w:rPr>
                <w:sz w:val="22"/>
                <w:szCs w:val="22"/>
              </w:rPr>
              <w:t xml:space="preserve">of Study </w:t>
            </w:r>
            <w:proofErr w:type="gramStart"/>
            <w:r w:rsidRPr="00E61CA4">
              <w:rPr>
                <w:sz w:val="22"/>
                <w:szCs w:val="22"/>
              </w:rPr>
              <w:t>Groups;</w:t>
            </w:r>
            <w:proofErr w:type="gramEnd"/>
          </w:p>
          <w:p w14:paraId="0CF75C8A" w14:textId="77777777" w:rsidR="00D90832" w:rsidRPr="00E61CA4" w:rsidRDefault="00D90832" w:rsidP="00E95A8A">
            <w:pPr>
              <w:pStyle w:val="Tabletext"/>
              <w:tabs>
                <w:tab w:val="clear" w:pos="284"/>
              </w:tabs>
              <w:spacing w:before="20" w:after="20"/>
              <w:ind w:left="274" w:hanging="389"/>
              <w:rPr>
                <w:sz w:val="22"/>
                <w:szCs w:val="22"/>
              </w:rPr>
            </w:pPr>
            <w:r w:rsidRPr="00E61CA4">
              <w:rPr>
                <w:sz w:val="22"/>
                <w:szCs w:val="22"/>
              </w:rPr>
              <w:t>-</w:t>
            </w:r>
            <w:r w:rsidRPr="00E61CA4">
              <w:rPr>
                <w:sz w:val="22"/>
                <w:szCs w:val="22"/>
              </w:rPr>
              <w:tab/>
              <w:t xml:space="preserve">The Director of the Telecommunication Development </w:t>
            </w:r>
            <w:proofErr w:type="gramStart"/>
            <w:r w:rsidRPr="00E61CA4">
              <w:rPr>
                <w:sz w:val="22"/>
                <w:szCs w:val="22"/>
              </w:rPr>
              <w:t>Bureau;</w:t>
            </w:r>
            <w:proofErr w:type="gramEnd"/>
          </w:p>
          <w:p w14:paraId="08A5DF98" w14:textId="77777777" w:rsidR="00D90832" w:rsidRPr="00E61CA4" w:rsidRDefault="00D90832" w:rsidP="00E95A8A">
            <w:pPr>
              <w:pStyle w:val="Tabletext"/>
              <w:tabs>
                <w:tab w:val="clear" w:pos="284"/>
              </w:tabs>
              <w:spacing w:before="20" w:after="20"/>
              <w:ind w:left="274" w:hanging="389"/>
              <w:rPr>
                <w:sz w:val="22"/>
                <w:szCs w:val="22"/>
              </w:rPr>
            </w:pPr>
            <w:r w:rsidRPr="00E61CA4">
              <w:rPr>
                <w:sz w:val="22"/>
                <w:szCs w:val="22"/>
              </w:rPr>
              <w:t>-</w:t>
            </w:r>
            <w:r w:rsidRPr="00E61CA4">
              <w:rPr>
                <w:sz w:val="22"/>
                <w:szCs w:val="22"/>
              </w:rPr>
              <w:tab/>
              <w:t xml:space="preserve">The Director of the Radiocommunication </w:t>
            </w:r>
            <w:proofErr w:type="gramStart"/>
            <w:r w:rsidRPr="00E61CA4">
              <w:rPr>
                <w:sz w:val="22"/>
                <w:szCs w:val="22"/>
              </w:rPr>
              <w:t>Bureau;</w:t>
            </w:r>
            <w:proofErr w:type="gramEnd"/>
          </w:p>
          <w:p w14:paraId="5E7F8C4E" w14:textId="6E336943" w:rsidR="00D55289" w:rsidRPr="00E61CA4" w:rsidRDefault="00A51AA9" w:rsidP="00E95A8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274" w:hanging="389"/>
            </w:pPr>
            <w:r w:rsidRPr="00E61CA4">
              <w:t>-</w:t>
            </w:r>
            <w:r w:rsidRPr="00E61CA4">
              <w:tab/>
            </w:r>
            <w:r w:rsidR="00D90832" w:rsidRPr="00E61CA4">
              <w:t>The Directors of the ITU Regional Offices</w:t>
            </w:r>
          </w:p>
        </w:tc>
      </w:tr>
      <w:tr w:rsidR="00D90832" w:rsidRPr="00E61CA4" w14:paraId="4093018D" w14:textId="77777777" w:rsidTr="00E95A8A">
        <w:trPr>
          <w:cantSplit/>
          <w:trHeight w:val="381"/>
        </w:trPr>
        <w:tc>
          <w:tcPr>
            <w:tcW w:w="1530" w:type="dxa"/>
          </w:tcPr>
          <w:p w14:paraId="692B504F" w14:textId="77777777" w:rsidR="00D90832" w:rsidRPr="009B4C24" w:rsidRDefault="00D90832" w:rsidP="00E61CA4">
            <w:pPr>
              <w:pStyle w:val="Tabletext"/>
              <w:ind w:left="-110"/>
              <w:rPr>
                <w:bCs/>
                <w:sz w:val="22"/>
                <w:szCs w:val="22"/>
              </w:rPr>
            </w:pPr>
            <w:r w:rsidRPr="009B4C24">
              <w:rPr>
                <w:bCs/>
                <w:sz w:val="22"/>
                <w:szCs w:val="22"/>
              </w:rPr>
              <w:t>Contact:</w:t>
            </w:r>
          </w:p>
        </w:tc>
        <w:tc>
          <w:tcPr>
            <w:tcW w:w="3238" w:type="dxa"/>
          </w:tcPr>
          <w:p w14:paraId="3DB4D79E" w14:textId="77777777" w:rsidR="00D90832" w:rsidRPr="00E61CA4" w:rsidRDefault="00D90832" w:rsidP="00E61CA4">
            <w:pPr>
              <w:pStyle w:val="Tabletext"/>
              <w:rPr>
                <w:b/>
                <w:bCs/>
                <w:sz w:val="22"/>
                <w:szCs w:val="22"/>
              </w:rPr>
            </w:pPr>
            <w:r w:rsidRPr="00E61CA4">
              <w:rPr>
                <w:b/>
                <w:bCs/>
                <w:sz w:val="22"/>
                <w:szCs w:val="22"/>
              </w:rPr>
              <w:t>Xiaoya Yang</w:t>
            </w:r>
          </w:p>
        </w:tc>
        <w:tc>
          <w:tcPr>
            <w:tcW w:w="5103" w:type="dxa"/>
            <w:gridSpan w:val="2"/>
            <w:vMerge/>
          </w:tcPr>
          <w:p w14:paraId="5DC097F9" w14:textId="77777777" w:rsidR="00D90832" w:rsidRPr="00E61CA4" w:rsidRDefault="00D90832" w:rsidP="00E61CA4">
            <w:pPr>
              <w:tabs>
                <w:tab w:val="left" w:pos="241"/>
              </w:tabs>
              <w:ind w:left="283" w:hanging="391"/>
              <w:rPr>
                <w:b/>
              </w:rPr>
            </w:pPr>
          </w:p>
        </w:tc>
      </w:tr>
      <w:tr w:rsidR="00D90832" w:rsidRPr="00E61CA4" w14:paraId="2393254C" w14:textId="77777777" w:rsidTr="00E95A8A">
        <w:trPr>
          <w:cantSplit/>
          <w:trHeight w:val="221"/>
        </w:trPr>
        <w:tc>
          <w:tcPr>
            <w:tcW w:w="1530" w:type="dxa"/>
          </w:tcPr>
          <w:p w14:paraId="62AF4CBF" w14:textId="77777777" w:rsidR="00D90832" w:rsidRPr="009B4C24" w:rsidRDefault="00D90832" w:rsidP="00E61CA4">
            <w:pPr>
              <w:pStyle w:val="Tabletext"/>
              <w:ind w:left="-110"/>
              <w:rPr>
                <w:bCs/>
                <w:sz w:val="22"/>
                <w:szCs w:val="22"/>
              </w:rPr>
            </w:pPr>
            <w:r w:rsidRPr="009B4C24">
              <w:rPr>
                <w:bCs/>
                <w:sz w:val="22"/>
                <w:szCs w:val="22"/>
              </w:rPr>
              <w:t>Tel:</w:t>
            </w:r>
          </w:p>
        </w:tc>
        <w:tc>
          <w:tcPr>
            <w:tcW w:w="3238" w:type="dxa"/>
          </w:tcPr>
          <w:p w14:paraId="7A202302" w14:textId="77777777" w:rsidR="00D90832" w:rsidRPr="00E61CA4" w:rsidRDefault="00D90832" w:rsidP="00E61CA4">
            <w:pPr>
              <w:pStyle w:val="Tabletext"/>
              <w:rPr>
                <w:b/>
                <w:sz w:val="22"/>
                <w:szCs w:val="22"/>
              </w:rPr>
            </w:pPr>
            <w:r w:rsidRPr="00E61CA4">
              <w:rPr>
                <w:sz w:val="22"/>
                <w:szCs w:val="22"/>
              </w:rPr>
              <w:t>+41 22 730 6206</w:t>
            </w:r>
          </w:p>
        </w:tc>
        <w:tc>
          <w:tcPr>
            <w:tcW w:w="5103" w:type="dxa"/>
            <w:gridSpan w:val="2"/>
            <w:vMerge/>
          </w:tcPr>
          <w:p w14:paraId="3DEC0BF2" w14:textId="77777777" w:rsidR="00D90832" w:rsidRPr="00E61CA4" w:rsidRDefault="00D90832" w:rsidP="00E61CA4">
            <w:pPr>
              <w:pStyle w:val="Tabletext"/>
              <w:ind w:left="142" w:hanging="391"/>
              <w:rPr>
                <w:sz w:val="22"/>
                <w:szCs w:val="22"/>
              </w:rPr>
            </w:pPr>
          </w:p>
        </w:tc>
      </w:tr>
      <w:tr w:rsidR="00D90832" w:rsidRPr="00E61CA4" w14:paraId="381038B4" w14:textId="77777777" w:rsidTr="00E95A8A">
        <w:trPr>
          <w:cantSplit/>
          <w:trHeight w:val="1482"/>
        </w:trPr>
        <w:tc>
          <w:tcPr>
            <w:tcW w:w="1530" w:type="dxa"/>
          </w:tcPr>
          <w:p w14:paraId="5F0A9B0A" w14:textId="77777777" w:rsidR="00D90832" w:rsidRPr="009B4C24" w:rsidRDefault="00D90832" w:rsidP="00E61CA4">
            <w:pPr>
              <w:pStyle w:val="Tabletext"/>
              <w:ind w:left="-110"/>
              <w:rPr>
                <w:bCs/>
                <w:sz w:val="22"/>
                <w:szCs w:val="22"/>
              </w:rPr>
            </w:pPr>
            <w:r w:rsidRPr="009B4C24">
              <w:rPr>
                <w:bCs/>
                <w:sz w:val="22"/>
                <w:szCs w:val="22"/>
              </w:rPr>
              <w:t>Fax:</w:t>
            </w:r>
          </w:p>
          <w:p w14:paraId="34EAC4F2" w14:textId="77777777" w:rsidR="00D90832" w:rsidRPr="009B4C24" w:rsidRDefault="00D90832" w:rsidP="00E61CA4">
            <w:pPr>
              <w:pStyle w:val="Tabletext"/>
              <w:ind w:left="-110"/>
              <w:rPr>
                <w:bCs/>
                <w:sz w:val="22"/>
                <w:szCs w:val="22"/>
              </w:rPr>
            </w:pPr>
            <w:r w:rsidRPr="009B4C24">
              <w:rPr>
                <w:bCs/>
                <w:sz w:val="22"/>
                <w:szCs w:val="22"/>
              </w:rPr>
              <w:t>E-mail:</w:t>
            </w:r>
          </w:p>
        </w:tc>
        <w:tc>
          <w:tcPr>
            <w:tcW w:w="3238" w:type="dxa"/>
          </w:tcPr>
          <w:p w14:paraId="2D924A7D" w14:textId="77777777" w:rsidR="00D90832" w:rsidRPr="00E61CA4" w:rsidRDefault="00D90832" w:rsidP="00E61CA4">
            <w:pPr>
              <w:pStyle w:val="Tabletext"/>
              <w:rPr>
                <w:sz w:val="22"/>
                <w:szCs w:val="22"/>
              </w:rPr>
            </w:pPr>
            <w:r w:rsidRPr="00E61CA4">
              <w:rPr>
                <w:sz w:val="22"/>
                <w:szCs w:val="22"/>
              </w:rPr>
              <w:t>+41 22 730 5853</w:t>
            </w:r>
          </w:p>
          <w:p w14:paraId="60405754" w14:textId="77777777" w:rsidR="00D90832" w:rsidRPr="00E61CA4" w:rsidRDefault="00D90832" w:rsidP="00E61CA4">
            <w:pPr>
              <w:pStyle w:val="Tabletext"/>
              <w:rPr>
                <w:b/>
                <w:sz w:val="22"/>
                <w:szCs w:val="22"/>
              </w:rPr>
            </w:pPr>
            <w:r w:rsidRPr="00E61CA4">
              <w:rPr>
                <w:rStyle w:val="Hyperlink"/>
                <w:sz w:val="22"/>
                <w:szCs w:val="22"/>
              </w:rPr>
              <w:t>tsbevents@itu.int</w:t>
            </w:r>
          </w:p>
        </w:tc>
        <w:tc>
          <w:tcPr>
            <w:tcW w:w="5103" w:type="dxa"/>
            <w:gridSpan w:val="2"/>
            <w:vMerge/>
          </w:tcPr>
          <w:p w14:paraId="1F631B04" w14:textId="77777777" w:rsidR="00D90832" w:rsidRPr="00E61CA4" w:rsidRDefault="00D90832" w:rsidP="00E61CA4">
            <w:pPr>
              <w:pStyle w:val="Tabletext"/>
              <w:ind w:left="142" w:hanging="391"/>
              <w:rPr>
                <w:sz w:val="22"/>
                <w:szCs w:val="22"/>
              </w:rPr>
            </w:pPr>
          </w:p>
        </w:tc>
      </w:tr>
      <w:tr w:rsidR="00D90832" w:rsidRPr="00E61CA4" w14:paraId="23F2051D" w14:textId="77777777" w:rsidTr="00A83924">
        <w:trPr>
          <w:cantSplit/>
          <w:trHeight w:val="618"/>
        </w:trPr>
        <w:tc>
          <w:tcPr>
            <w:tcW w:w="1530" w:type="dxa"/>
            <w:vAlign w:val="center"/>
          </w:tcPr>
          <w:p w14:paraId="615C1978" w14:textId="77777777" w:rsidR="00D90832" w:rsidRPr="00E61CA4" w:rsidRDefault="00D90832" w:rsidP="00A83924">
            <w:pPr>
              <w:pStyle w:val="Tabletext"/>
              <w:spacing w:before="0" w:after="0"/>
              <w:ind w:left="-110"/>
              <w:rPr>
                <w:b/>
                <w:sz w:val="22"/>
                <w:szCs w:val="22"/>
              </w:rPr>
            </w:pPr>
            <w:r w:rsidRPr="00E61CA4">
              <w:rPr>
                <w:b/>
                <w:sz w:val="22"/>
                <w:szCs w:val="22"/>
              </w:rPr>
              <w:t>Subject:</w:t>
            </w:r>
          </w:p>
        </w:tc>
        <w:tc>
          <w:tcPr>
            <w:tcW w:w="8341" w:type="dxa"/>
            <w:gridSpan w:val="3"/>
            <w:vAlign w:val="center"/>
          </w:tcPr>
          <w:p w14:paraId="254A06C2" w14:textId="65295625" w:rsidR="00004753" w:rsidRPr="00E61CA4" w:rsidRDefault="00BF1946" w:rsidP="00A83924">
            <w:pPr>
              <w:pStyle w:val="Tabletext"/>
              <w:spacing w:before="0" w:after="0"/>
              <w:rPr>
                <w:b/>
                <w:sz w:val="22"/>
                <w:szCs w:val="22"/>
              </w:rPr>
            </w:pPr>
            <w:r w:rsidRPr="00E61CA4">
              <w:rPr>
                <w:b/>
                <w:sz w:val="22"/>
                <w:szCs w:val="22"/>
              </w:rPr>
              <w:t>F</w:t>
            </w:r>
            <w:r w:rsidR="002E6DD7">
              <w:rPr>
                <w:b/>
                <w:sz w:val="22"/>
                <w:szCs w:val="22"/>
              </w:rPr>
              <w:t>ifth</w:t>
            </w:r>
            <w:r w:rsidRPr="00E61CA4">
              <w:rPr>
                <w:b/>
                <w:sz w:val="22"/>
                <w:szCs w:val="22"/>
              </w:rPr>
              <w:t xml:space="preserve"> </w:t>
            </w:r>
            <w:r w:rsidR="00D90832" w:rsidRPr="00E61CA4">
              <w:rPr>
                <w:b/>
                <w:sz w:val="22"/>
                <w:szCs w:val="22"/>
              </w:rPr>
              <w:t>ITU-T X.509 Day (</w:t>
            </w:r>
            <w:r w:rsidR="002E6DD7">
              <w:rPr>
                <w:b/>
                <w:sz w:val="22"/>
                <w:szCs w:val="22"/>
              </w:rPr>
              <w:t>Geneva,</w:t>
            </w:r>
            <w:r w:rsidR="0024424B">
              <w:rPr>
                <w:b/>
                <w:sz w:val="22"/>
                <w:szCs w:val="22"/>
              </w:rPr>
              <w:t xml:space="preserve"> Switzerland,</w:t>
            </w:r>
            <w:r w:rsidR="00D90832" w:rsidRPr="00E61CA4">
              <w:rPr>
                <w:b/>
                <w:sz w:val="22"/>
                <w:szCs w:val="22"/>
              </w:rPr>
              <w:t xml:space="preserve"> </w:t>
            </w:r>
            <w:r w:rsidR="009F0AC1">
              <w:rPr>
                <w:rFonts w:eastAsia="SimSun"/>
                <w:b/>
                <w:sz w:val="22"/>
                <w:szCs w:val="22"/>
                <w:lang w:eastAsia="zh-CN"/>
              </w:rPr>
              <w:t>1</w:t>
            </w:r>
            <w:r w:rsidR="0024424B">
              <w:rPr>
                <w:rFonts w:eastAsia="SimSun"/>
                <w:b/>
                <w:sz w:val="22"/>
                <w:szCs w:val="22"/>
                <w:lang w:eastAsia="zh-CN"/>
              </w:rPr>
              <w:t>2</w:t>
            </w:r>
            <w:r w:rsidR="00D824AF" w:rsidRPr="00E61CA4">
              <w:rPr>
                <w:b/>
                <w:sz w:val="22"/>
                <w:szCs w:val="22"/>
              </w:rPr>
              <w:t xml:space="preserve"> </w:t>
            </w:r>
            <w:r w:rsidR="009F0AC1">
              <w:rPr>
                <w:rFonts w:eastAsia="SimSun"/>
                <w:b/>
                <w:sz w:val="22"/>
                <w:szCs w:val="22"/>
                <w:lang w:eastAsia="zh-CN"/>
              </w:rPr>
              <w:t>May</w:t>
            </w:r>
            <w:r w:rsidR="00D824AF" w:rsidRPr="00E61CA4">
              <w:rPr>
                <w:b/>
                <w:sz w:val="22"/>
                <w:szCs w:val="22"/>
              </w:rPr>
              <w:t xml:space="preserve"> 202</w:t>
            </w:r>
            <w:r w:rsidR="009F0AC1">
              <w:rPr>
                <w:rFonts w:eastAsia="SimSun"/>
                <w:b/>
                <w:sz w:val="22"/>
                <w:szCs w:val="22"/>
                <w:lang w:eastAsia="zh-CN"/>
              </w:rPr>
              <w:t>6</w:t>
            </w:r>
            <w:r w:rsidR="00D90832" w:rsidRPr="00E61CA4">
              <w:rPr>
                <w:b/>
                <w:sz w:val="22"/>
                <w:szCs w:val="22"/>
              </w:rPr>
              <w:t>)</w:t>
            </w:r>
          </w:p>
        </w:tc>
      </w:tr>
      <w:tr w:rsidR="00D55289" w:rsidRPr="00E61CA4" w14:paraId="17E94195" w14:textId="77777777" w:rsidTr="00E95A8A">
        <w:trPr>
          <w:cantSplit/>
          <w:trHeight w:val="8610"/>
        </w:trPr>
        <w:tc>
          <w:tcPr>
            <w:tcW w:w="9871" w:type="dxa"/>
            <w:gridSpan w:val="4"/>
          </w:tcPr>
          <w:p w14:paraId="61E68B75" w14:textId="77777777" w:rsidR="00D55289" w:rsidRPr="00E61CA4" w:rsidRDefault="00D55289" w:rsidP="00E95A8A">
            <w:pPr>
              <w:spacing w:before="60"/>
              <w:ind w:left="-105"/>
            </w:pPr>
            <w:r w:rsidRPr="00E61CA4">
              <w:t>Dear Sir/Madam,</w:t>
            </w:r>
          </w:p>
          <w:p w14:paraId="6480E7B6" w14:textId="3496A629" w:rsidR="00D55289" w:rsidRDefault="00D55289" w:rsidP="00E95A8A">
            <w:pPr>
              <w:ind w:left="-105"/>
            </w:pPr>
            <w:r w:rsidRPr="00E61CA4">
              <w:t>1</w:t>
            </w:r>
            <w:r w:rsidRPr="00E61CA4">
              <w:tab/>
              <w:t xml:space="preserve">I am pleased to inform you that the International Telecommunication Union (ITU) is organizing the </w:t>
            </w:r>
            <w:r w:rsidRPr="00E61CA4">
              <w:rPr>
                <w:rFonts w:eastAsia="SimSun" w:hint="eastAsia"/>
                <w:b/>
                <w:bCs/>
                <w:lang w:eastAsia="zh-CN"/>
              </w:rPr>
              <w:t>F</w:t>
            </w:r>
            <w:r w:rsidR="002E6DD7">
              <w:rPr>
                <w:rFonts w:eastAsia="SimSun"/>
                <w:b/>
                <w:bCs/>
                <w:lang w:eastAsia="zh-CN"/>
              </w:rPr>
              <w:t>ifth</w:t>
            </w:r>
            <w:r w:rsidRPr="00E61CA4">
              <w:rPr>
                <w:b/>
                <w:bCs/>
              </w:rPr>
              <w:t xml:space="preserve"> ITU-T X.509 Day</w:t>
            </w:r>
            <w:r w:rsidRPr="00E61CA4">
              <w:t xml:space="preserve"> </w:t>
            </w:r>
            <w:r w:rsidR="00912290">
              <w:t>which</w:t>
            </w:r>
            <w:r>
              <w:t xml:space="preserve"> will take</w:t>
            </w:r>
            <w:r w:rsidRPr="00E61CA4">
              <w:t xml:space="preserve"> place on</w:t>
            </w:r>
            <w:r w:rsidRPr="00E61CA4">
              <w:rPr>
                <w:b/>
                <w:bCs/>
              </w:rPr>
              <w:t xml:space="preserve"> </w:t>
            </w:r>
            <w:r w:rsidR="002E6DD7" w:rsidRPr="002E6DD7">
              <w:rPr>
                <w:b/>
                <w:bCs/>
              </w:rPr>
              <w:t>1</w:t>
            </w:r>
            <w:r w:rsidR="0024424B">
              <w:rPr>
                <w:b/>
                <w:bCs/>
              </w:rPr>
              <w:t>2</w:t>
            </w:r>
            <w:r w:rsidR="002E6DD7" w:rsidRPr="002E6DD7">
              <w:rPr>
                <w:b/>
                <w:bCs/>
              </w:rPr>
              <w:t xml:space="preserve"> May</w:t>
            </w:r>
            <w:r w:rsidR="00DC361F">
              <w:rPr>
                <w:b/>
                <w:bCs/>
              </w:rPr>
              <w:t xml:space="preserve"> </w:t>
            </w:r>
            <w:r w:rsidR="002E6DD7" w:rsidRPr="002E6DD7">
              <w:rPr>
                <w:b/>
                <w:bCs/>
              </w:rPr>
              <w:t>2026</w:t>
            </w:r>
            <w:r w:rsidR="00DC361F">
              <w:rPr>
                <w:b/>
                <w:bCs/>
              </w:rPr>
              <w:t xml:space="preserve"> </w:t>
            </w:r>
            <w:r w:rsidR="002E6DD7" w:rsidRPr="002E6DD7">
              <w:rPr>
                <w:b/>
                <w:bCs/>
              </w:rPr>
              <w:t>from</w:t>
            </w:r>
            <w:r w:rsidR="00DC361F">
              <w:rPr>
                <w:b/>
                <w:bCs/>
              </w:rPr>
              <w:t xml:space="preserve"> </w:t>
            </w:r>
            <w:r w:rsidR="00C513E1">
              <w:rPr>
                <w:b/>
                <w:bCs/>
              </w:rPr>
              <w:t>9</w:t>
            </w:r>
            <w:r w:rsidR="002E6DD7" w:rsidRPr="002E6DD7">
              <w:rPr>
                <w:b/>
                <w:bCs/>
              </w:rPr>
              <w:t>h00</w:t>
            </w:r>
            <w:r w:rsidR="00DC361F">
              <w:rPr>
                <w:b/>
                <w:bCs/>
              </w:rPr>
              <w:t xml:space="preserve"> </w:t>
            </w:r>
            <w:r w:rsidR="002E6DD7" w:rsidRPr="002E6DD7">
              <w:rPr>
                <w:b/>
                <w:bCs/>
              </w:rPr>
              <w:t>to</w:t>
            </w:r>
            <w:r w:rsidR="00A73D5F">
              <w:rPr>
                <w:b/>
                <w:bCs/>
              </w:rPr>
              <w:t xml:space="preserve"> 1</w:t>
            </w:r>
            <w:r w:rsidR="00C513E1">
              <w:rPr>
                <w:b/>
                <w:bCs/>
              </w:rPr>
              <w:t>8</w:t>
            </w:r>
            <w:r w:rsidR="00A73D5F">
              <w:rPr>
                <w:b/>
                <w:bCs/>
              </w:rPr>
              <w:t>h00</w:t>
            </w:r>
            <w:r w:rsidR="00DC361F">
              <w:rPr>
                <w:b/>
                <w:bCs/>
              </w:rPr>
              <w:t xml:space="preserve"> </w:t>
            </w:r>
            <w:r w:rsidR="002E6DD7">
              <w:rPr>
                <w:b/>
                <w:bCs/>
              </w:rPr>
              <w:t>(Geneva time)</w:t>
            </w:r>
            <w:r w:rsidR="00DC361F">
              <w:rPr>
                <w:b/>
                <w:bCs/>
              </w:rPr>
              <w:t xml:space="preserve"> </w:t>
            </w:r>
            <w:r w:rsidR="002E6DD7" w:rsidRPr="002E6DD7">
              <w:rPr>
                <w:b/>
                <w:bCs/>
              </w:rPr>
              <w:t xml:space="preserve">at </w:t>
            </w:r>
            <w:r w:rsidR="00DC361F">
              <w:rPr>
                <w:b/>
                <w:bCs/>
              </w:rPr>
              <w:t>its</w:t>
            </w:r>
            <w:r w:rsidR="00DC361F" w:rsidRPr="002E6DD7">
              <w:rPr>
                <w:b/>
                <w:bCs/>
              </w:rPr>
              <w:t xml:space="preserve"> </w:t>
            </w:r>
            <w:r w:rsidR="002E6DD7" w:rsidRPr="002E6DD7">
              <w:rPr>
                <w:b/>
                <w:bCs/>
              </w:rPr>
              <w:t>Headquarters in</w:t>
            </w:r>
            <w:r w:rsidR="00DC361F">
              <w:rPr>
                <w:b/>
                <w:bCs/>
              </w:rPr>
              <w:t xml:space="preserve"> </w:t>
            </w:r>
            <w:r w:rsidR="002E6DD7" w:rsidRPr="002E6DD7">
              <w:rPr>
                <w:b/>
                <w:bCs/>
              </w:rPr>
              <w:t>Geneva, Switzerland</w:t>
            </w:r>
            <w:r w:rsidRPr="00E61CA4">
              <w:rPr>
                <w:b/>
                <w:bCs/>
              </w:rPr>
              <w:t>.</w:t>
            </w:r>
          </w:p>
          <w:p w14:paraId="5B7974B2" w14:textId="3C3896AE" w:rsidR="002E6DD7" w:rsidRDefault="00D55289" w:rsidP="002E6DD7">
            <w:pPr>
              <w:ind w:left="-105"/>
            </w:pPr>
            <w:r w:rsidRPr="00E61CA4">
              <w:t>2</w:t>
            </w:r>
            <w:r w:rsidRPr="00E61CA4">
              <w:tab/>
            </w:r>
            <w:hyperlink r:id="rId12">
              <w:r w:rsidRPr="00E61CA4">
                <w:rPr>
                  <w:rStyle w:val="Hyperlink"/>
                </w:rPr>
                <w:t>ITU-T X.509</w:t>
              </w:r>
            </w:hyperlink>
            <w:r w:rsidR="002E0EDA">
              <w:t xml:space="preserve"> </w:t>
            </w:r>
            <w:r w:rsidR="002E6DD7">
              <w:t xml:space="preserve">is the common global language for public key infrastructure (PKI) and privilege management infrastructure (PMI), providing a framework for digital certificates and trust management. </w:t>
            </w:r>
          </w:p>
          <w:p w14:paraId="052E037B" w14:textId="5A1C430C" w:rsidR="002E6DD7" w:rsidRDefault="002E6DD7" w:rsidP="002E6DD7">
            <w:pPr>
              <w:ind w:left="-105"/>
            </w:pPr>
            <w:r>
              <w:t>First published in 1988, the result of the collaboration between</w:t>
            </w:r>
            <w:r w:rsidR="00DC361F">
              <w:t xml:space="preserve"> ITU,</w:t>
            </w:r>
            <w:r>
              <w:t xml:space="preserve"> </w:t>
            </w:r>
            <w:r w:rsidR="00DC361F">
              <w:t>t</w:t>
            </w:r>
            <w:r w:rsidR="00DC361F" w:rsidRPr="00DC361F">
              <w:t xml:space="preserve">he Consultative Committee for International Telegraphy and Telephony </w:t>
            </w:r>
            <w:r w:rsidR="00DC361F">
              <w:t>(</w:t>
            </w:r>
            <w:r>
              <w:t>CCITT</w:t>
            </w:r>
            <w:r w:rsidR="00DC361F">
              <w:t>),</w:t>
            </w:r>
            <w:r>
              <w:t xml:space="preserve"> and</w:t>
            </w:r>
            <w:r w:rsidR="00DC361F" w:rsidRPr="00DC361F">
              <w:t xml:space="preserve"> </w:t>
            </w:r>
            <w:r w:rsidR="00DC361F">
              <w:t xml:space="preserve">the </w:t>
            </w:r>
            <w:r w:rsidR="00DC361F" w:rsidRPr="00DC361F">
              <w:t>International Organization for Standardization (ISO) and the International Electrotechnical Commission (IEC)</w:t>
            </w:r>
            <w:r w:rsidR="00DC361F" w:rsidDel="00DC361F">
              <w:t xml:space="preserve"> </w:t>
            </w:r>
            <w:r>
              <w:t xml:space="preserve">, ITU-T X.509 has since seen nine editions (the most recent approved in October 2019), with a tenth edition under study to address emerging needs such as quantum-safe cryptography. </w:t>
            </w:r>
            <w:r w:rsidR="00DC361F">
              <w:t>Its</w:t>
            </w:r>
            <w:r>
              <w:t xml:space="preserve"> certificate and CRL structures, with their extensibility, underpin secure transactions in business-to-business (B2B), business-to-consumer (B2C), and government-to-citizen (G2C) interactions. This widely recognized standard provides a reliable foundation for a wide range of industries – from agriculture and finance to healthcare, transport, and utilities – making it indispensable to businesses, consumers, and governments worldwide.</w:t>
            </w:r>
          </w:p>
          <w:p w14:paraId="186E17F0" w14:textId="6E721096" w:rsidR="002E6DD7" w:rsidRDefault="002E6DD7" w:rsidP="002E6DD7">
            <w:pPr>
              <w:ind w:left="-105"/>
            </w:pPr>
            <w:r>
              <w:t xml:space="preserve">With over 38 years of successful implementation, X.509 </w:t>
            </w:r>
            <w:r w:rsidR="00DC361F">
              <w:t>has achieved near-ubiquitous global adop</w:t>
            </w:r>
            <w:r w:rsidR="00635FAB">
              <w:t>t</w:t>
            </w:r>
            <w:r w:rsidR="00DC361F">
              <w:t>ion</w:t>
            </w:r>
            <w:r>
              <w:t xml:space="preserve">, enabling fundamental interoperability and security across countless applications. </w:t>
            </w:r>
            <w:r w:rsidR="00635FAB">
              <w:t xml:space="preserve">Beginning in </w:t>
            </w:r>
            <w:r>
              <w:t>2022</w:t>
            </w:r>
            <w:r w:rsidR="00635FAB">
              <w:t>,</w:t>
            </w:r>
            <w:r>
              <w:t xml:space="preserve"> ITU organized four annual </w:t>
            </w:r>
            <w:r w:rsidR="00635FAB">
              <w:t>“</w:t>
            </w:r>
            <w:r>
              <w:t>ITU-T X.509 Day</w:t>
            </w:r>
            <w:r w:rsidR="00635FAB">
              <w:t>”</w:t>
            </w:r>
            <w:r>
              <w:t xml:space="preserve"> event</w:t>
            </w:r>
            <w:r w:rsidR="00635FAB">
              <w:t>s</w:t>
            </w:r>
            <w:r>
              <w:t xml:space="preserve">. Notably, the theme of the fourth event </w:t>
            </w:r>
            <w:r w:rsidR="00635FAB">
              <w:t xml:space="preserve">was </w:t>
            </w:r>
            <w:r>
              <w:t xml:space="preserve">“X.509 in 2025: Navigating the post-quantum era”, underscoring the growing importance of quantum-safe credentials. </w:t>
            </w:r>
          </w:p>
          <w:p w14:paraId="404613A6" w14:textId="5B0B1A92" w:rsidR="00D55289" w:rsidRDefault="002E6DD7" w:rsidP="002E6DD7">
            <w:pPr>
              <w:ind w:left="-105"/>
            </w:pPr>
            <w:r>
              <w:t>Since then, progress in standardizing post-quantum cryptography and new developments in decentralized identity and AI trust frameworks have further accelerated. The Fifth ITU-T X.509 Day event will review the latest advances, address emerging challenges (such as preparing for quantum computers and decentralized PKI), and showcase real-world adoption of X.509 across sectors.</w:t>
            </w:r>
            <w:r w:rsidR="00D55289" w:rsidRPr="00E61CA4">
              <w:t xml:space="preserve"> </w:t>
            </w:r>
            <w:r w:rsidR="007876C8">
              <w:t xml:space="preserve">It will also </w:t>
            </w:r>
            <w:r w:rsidR="007876C8" w:rsidRPr="007876C8">
              <w:t xml:space="preserve">include a </w:t>
            </w:r>
            <w:r w:rsidR="007876C8">
              <w:t>workshop session jointly</w:t>
            </w:r>
            <w:r w:rsidR="007876C8" w:rsidRPr="007876C8">
              <w:t xml:space="preserve"> organized in collaboration with GSMA</w:t>
            </w:r>
            <w:r w:rsidR="007876C8">
              <w:t xml:space="preserve"> on </w:t>
            </w:r>
            <w:r w:rsidR="007876C8" w:rsidRPr="007876C8">
              <w:t xml:space="preserve">quantum resistance. </w:t>
            </w:r>
          </w:p>
          <w:p w14:paraId="709D038D" w14:textId="5433C650" w:rsidR="00D55289" w:rsidRDefault="00D55289" w:rsidP="00E95A8A">
            <w:pPr>
              <w:ind w:left="-105"/>
            </w:pPr>
            <w:r w:rsidRPr="00E61CA4">
              <w:t>3</w:t>
            </w:r>
            <w:r w:rsidRPr="00E61CA4">
              <w:tab/>
              <w:t xml:space="preserve">The </w:t>
            </w:r>
            <w:bookmarkStart w:id="0" w:name="_Int_T6yRLhA0"/>
            <w:r w:rsidRPr="00E61CA4">
              <w:t>objectives</w:t>
            </w:r>
            <w:bookmarkEnd w:id="0"/>
            <w:r w:rsidRPr="00E61CA4">
              <w:t xml:space="preserve"> of this f</w:t>
            </w:r>
            <w:r w:rsidR="002E6DD7">
              <w:t>ifth</w:t>
            </w:r>
            <w:r w:rsidRPr="00E61CA4">
              <w:t xml:space="preserve"> ITU-T X.509 Day (202</w:t>
            </w:r>
            <w:r w:rsidR="002E6DD7">
              <w:t>6</w:t>
            </w:r>
            <w:r w:rsidRPr="00E61CA4">
              <w:t>) event include:</w:t>
            </w:r>
          </w:p>
          <w:p w14:paraId="7EC775D8" w14:textId="242295C3" w:rsidR="007876C8" w:rsidRPr="007876C8" w:rsidRDefault="007876C8" w:rsidP="007876C8">
            <w:pPr>
              <w:pStyle w:val="ListParagraph"/>
              <w:numPr>
                <w:ilvl w:val="0"/>
                <w:numId w:val="1"/>
              </w:numPr>
              <w:rPr>
                <w:rFonts w:ascii="Calibri" w:hAnsi="Calibri" w:cs="Calibri"/>
              </w:rPr>
            </w:pPr>
            <w:r w:rsidRPr="007876C8">
              <w:rPr>
                <w:rFonts w:ascii="Calibri" w:hAnsi="Calibri" w:cs="Calibri"/>
              </w:rPr>
              <w:t>A workshop</w:t>
            </w:r>
            <w:r>
              <w:rPr>
                <w:rFonts w:ascii="Calibri" w:hAnsi="Calibri" w:cs="Calibri"/>
              </w:rPr>
              <w:t xml:space="preserve"> session</w:t>
            </w:r>
            <w:r w:rsidRPr="007876C8">
              <w:rPr>
                <w:rFonts w:ascii="Calibri" w:hAnsi="Calibri" w:cs="Calibri"/>
              </w:rPr>
              <w:t xml:space="preserve"> jointly organized in collaboration with GSMA on quantum resistance aspects of telecom and in particular, mobile networks, that intersect with but go beyond PKI alone, depending on the network deployment model</w:t>
            </w:r>
            <w:r>
              <w:rPr>
                <w:rFonts w:ascii="Calibri" w:hAnsi="Calibri" w:cs="Calibri"/>
              </w:rPr>
              <w:t>.</w:t>
            </w:r>
          </w:p>
          <w:p w14:paraId="529E31E8" w14:textId="6CC5CECE" w:rsidR="00D55289" w:rsidRPr="00E61CA4" w:rsidRDefault="00635FAB" w:rsidP="00E95A8A">
            <w:pPr>
              <w:pStyle w:val="ListParagraph"/>
              <w:numPr>
                <w:ilvl w:val="0"/>
                <w:numId w:val="1"/>
              </w:numPr>
              <w:spacing w:after="60"/>
              <w:contextualSpacing w:val="0"/>
              <w:rPr>
                <w:rFonts w:ascii="Calibri" w:hAnsi="Calibri" w:cs="Calibri"/>
              </w:rPr>
            </w:pPr>
            <w:r>
              <w:rPr>
                <w:rFonts w:ascii="Calibri" w:hAnsi="Calibri" w:cs="Calibri"/>
              </w:rPr>
              <w:lastRenderedPageBreak/>
              <w:t>I</w:t>
            </w:r>
            <w:r w:rsidRPr="002E6DD7">
              <w:rPr>
                <w:rFonts w:ascii="Calibri" w:hAnsi="Calibri" w:cs="Calibri"/>
              </w:rPr>
              <w:t>n relevant groups</w:t>
            </w:r>
            <w:r>
              <w:rPr>
                <w:rFonts w:ascii="Calibri" w:hAnsi="Calibri" w:cs="Calibri"/>
              </w:rPr>
              <w:t>,</w:t>
            </w:r>
            <w:r w:rsidRPr="002E6DD7">
              <w:rPr>
                <w:rFonts w:ascii="Calibri" w:hAnsi="Calibri" w:cs="Calibri"/>
              </w:rPr>
              <w:t xml:space="preserve"> </w:t>
            </w:r>
            <w:r w:rsidR="00D55289" w:rsidRPr="00E61CA4">
              <w:rPr>
                <w:rFonts w:ascii="Calibri" w:hAnsi="Calibri" w:cs="Calibri"/>
              </w:rPr>
              <w:t>review</w:t>
            </w:r>
            <w:r w:rsidR="00A83924">
              <w:rPr>
                <w:rFonts w:ascii="Calibri" w:hAnsi="Calibri" w:cs="Calibri"/>
              </w:rPr>
              <w:t>ing</w:t>
            </w:r>
            <w:r w:rsidR="00D55289" w:rsidRPr="00E61CA4">
              <w:rPr>
                <w:rFonts w:ascii="Calibri" w:hAnsi="Calibri" w:cs="Calibri"/>
              </w:rPr>
              <w:t xml:space="preserve"> </w:t>
            </w:r>
            <w:r w:rsidR="002E6DD7" w:rsidRPr="002E6DD7">
              <w:rPr>
                <w:rFonts w:ascii="Calibri" w:hAnsi="Calibri" w:cs="Calibri"/>
              </w:rPr>
              <w:t>progress of ITU-T X.509, including updates from ongoing work and collaborations</w:t>
            </w:r>
            <w:r>
              <w:rPr>
                <w:rFonts w:ascii="Calibri" w:hAnsi="Calibri" w:cs="Calibri"/>
              </w:rPr>
              <w:t>.</w:t>
            </w:r>
          </w:p>
          <w:p w14:paraId="19ED6A86" w14:textId="6545E2C2" w:rsidR="00D55289" w:rsidRPr="00E61CA4" w:rsidRDefault="00635FAB" w:rsidP="00E95A8A">
            <w:pPr>
              <w:pStyle w:val="ListParagraph"/>
              <w:numPr>
                <w:ilvl w:val="0"/>
                <w:numId w:val="1"/>
              </w:numPr>
              <w:spacing w:after="60"/>
              <w:contextualSpacing w:val="0"/>
              <w:rPr>
                <w:rFonts w:ascii="Calibri" w:hAnsi="Calibri" w:cs="Calibri"/>
              </w:rPr>
            </w:pPr>
            <w:r>
              <w:rPr>
                <w:rFonts w:ascii="Calibri" w:hAnsi="Calibri" w:cs="Calibri"/>
              </w:rPr>
              <w:t>A</w:t>
            </w:r>
            <w:r w:rsidR="00D55289" w:rsidRPr="00E61CA4">
              <w:rPr>
                <w:rFonts w:ascii="Calibri" w:hAnsi="Calibri" w:cs="Calibri"/>
              </w:rPr>
              <w:t>ssessing</w:t>
            </w:r>
            <w:r w:rsidR="002E6DD7">
              <w:rPr>
                <w:rFonts w:ascii="Calibri" w:hAnsi="Calibri" w:cs="Calibri"/>
              </w:rPr>
              <w:t xml:space="preserve"> </w:t>
            </w:r>
            <w:r w:rsidR="002E6DD7" w:rsidRPr="002E6DD7">
              <w:rPr>
                <w:rFonts w:ascii="Calibri" w:hAnsi="Calibri" w:cs="Calibri"/>
              </w:rPr>
              <w:t>post-quantum cryptography (PQC) readiness in the X.509 ecosystem</w:t>
            </w:r>
            <w:r>
              <w:rPr>
                <w:rFonts w:ascii="Calibri" w:hAnsi="Calibri" w:cs="Calibri"/>
              </w:rPr>
              <w:t>.</w:t>
            </w:r>
          </w:p>
          <w:p w14:paraId="441C56F8" w14:textId="569BDC79" w:rsidR="00D55289" w:rsidRDefault="00635FAB" w:rsidP="00E95A8A">
            <w:pPr>
              <w:pStyle w:val="ListParagraph"/>
              <w:numPr>
                <w:ilvl w:val="0"/>
                <w:numId w:val="1"/>
              </w:numPr>
              <w:spacing w:after="60"/>
              <w:contextualSpacing w:val="0"/>
              <w:rPr>
                <w:rFonts w:ascii="Calibri" w:hAnsi="Calibri" w:cs="Calibri"/>
              </w:rPr>
            </w:pPr>
            <w:r>
              <w:rPr>
                <w:rFonts w:ascii="Calibri" w:hAnsi="Calibri" w:cs="Calibri"/>
              </w:rPr>
              <w:t>E</w:t>
            </w:r>
            <w:r w:rsidR="00D55289" w:rsidRPr="00E61CA4">
              <w:rPr>
                <w:rFonts w:ascii="Calibri" w:hAnsi="Calibri" w:cs="Calibri"/>
              </w:rPr>
              <w:t>xploring</w:t>
            </w:r>
            <w:r w:rsidR="002E0EDA">
              <w:rPr>
                <w:rFonts w:ascii="Calibri" w:hAnsi="Calibri" w:cs="Calibri"/>
              </w:rPr>
              <w:t xml:space="preserve"> </w:t>
            </w:r>
            <w:r w:rsidR="002E0EDA" w:rsidRPr="002E0EDA">
              <w:rPr>
                <w:rFonts w:ascii="Calibri" w:hAnsi="Calibri" w:cs="Calibri"/>
              </w:rPr>
              <w:t>developments in decentralized PKI (DPKI) and trust models</w:t>
            </w:r>
            <w:r>
              <w:rPr>
                <w:rFonts w:ascii="Calibri" w:hAnsi="Calibri" w:cs="Calibri"/>
              </w:rPr>
              <w:t>.</w:t>
            </w:r>
          </w:p>
          <w:p w14:paraId="0E413C17" w14:textId="33D0F4DD" w:rsidR="00D55289" w:rsidRPr="00E61CA4" w:rsidRDefault="00635FAB" w:rsidP="00E95A8A">
            <w:pPr>
              <w:pStyle w:val="ListParagraph"/>
              <w:numPr>
                <w:ilvl w:val="0"/>
                <w:numId w:val="1"/>
              </w:numPr>
              <w:spacing w:after="60"/>
              <w:contextualSpacing w:val="0"/>
              <w:rPr>
                <w:rFonts w:ascii="Calibri" w:hAnsi="Calibri" w:cs="Calibri"/>
              </w:rPr>
            </w:pPr>
            <w:r>
              <w:rPr>
                <w:rFonts w:ascii="Calibri" w:hAnsi="Calibri" w:cs="Calibri"/>
              </w:rPr>
              <w:t>S</w:t>
            </w:r>
            <w:r w:rsidR="002E0EDA" w:rsidRPr="002E0EDA">
              <w:rPr>
                <w:rFonts w:ascii="Calibri" w:hAnsi="Calibri" w:cs="Calibri"/>
              </w:rPr>
              <w:t>trengthen</w:t>
            </w:r>
            <w:r w:rsidR="002E0EDA">
              <w:rPr>
                <w:rFonts w:ascii="Calibri" w:hAnsi="Calibri" w:cs="Calibri"/>
              </w:rPr>
              <w:t xml:space="preserve">ing </w:t>
            </w:r>
            <w:r w:rsidR="002E0EDA" w:rsidRPr="002E0EDA">
              <w:rPr>
                <w:rFonts w:ascii="Calibri" w:hAnsi="Calibri" w:cs="Calibri"/>
              </w:rPr>
              <w:t>trust in AI-enabled systems by leveraging X.509</w:t>
            </w:r>
            <w:r>
              <w:rPr>
                <w:rFonts w:ascii="Calibri" w:hAnsi="Calibri" w:cs="Calibri"/>
              </w:rPr>
              <w:t>.</w:t>
            </w:r>
          </w:p>
          <w:p w14:paraId="77AB0995" w14:textId="2EB46E71" w:rsidR="00D55289" w:rsidRDefault="00635FAB" w:rsidP="00E95A8A">
            <w:pPr>
              <w:pStyle w:val="ListParagraph"/>
              <w:numPr>
                <w:ilvl w:val="0"/>
                <w:numId w:val="1"/>
              </w:numPr>
              <w:spacing w:after="60"/>
              <w:contextualSpacing w:val="0"/>
              <w:rPr>
                <w:rFonts w:ascii="Calibri" w:hAnsi="Calibri" w:cs="Calibri"/>
              </w:rPr>
            </w:pPr>
            <w:r>
              <w:rPr>
                <w:rFonts w:ascii="Calibri" w:hAnsi="Calibri" w:cs="Calibri"/>
              </w:rPr>
              <w:t>H</w:t>
            </w:r>
            <w:r w:rsidR="002E0EDA" w:rsidRPr="002E0EDA">
              <w:rPr>
                <w:rFonts w:ascii="Calibri" w:hAnsi="Calibri" w:cs="Calibri"/>
              </w:rPr>
              <w:t>ighlight</w:t>
            </w:r>
            <w:r w:rsidR="002E0EDA">
              <w:rPr>
                <w:rFonts w:ascii="Calibri" w:hAnsi="Calibri" w:cs="Calibri"/>
              </w:rPr>
              <w:t>ing</w:t>
            </w:r>
            <w:r w:rsidR="002E0EDA" w:rsidRPr="002E0EDA">
              <w:rPr>
                <w:rFonts w:ascii="Calibri" w:hAnsi="Calibri" w:cs="Calibri"/>
              </w:rPr>
              <w:t xml:space="preserve"> how X.509 certificates enable interoperability of digital identities across borders and sectors</w:t>
            </w:r>
            <w:r>
              <w:rPr>
                <w:rFonts w:ascii="Calibri" w:hAnsi="Calibri" w:cs="Calibri"/>
              </w:rPr>
              <w:t>.</w:t>
            </w:r>
          </w:p>
          <w:p w14:paraId="779B810D" w14:textId="6CA8E1A1" w:rsidR="00D55289" w:rsidRDefault="00635FAB" w:rsidP="00E95A8A">
            <w:pPr>
              <w:pStyle w:val="ListParagraph"/>
              <w:numPr>
                <w:ilvl w:val="0"/>
                <w:numId w:val="1"/>
              </w:numPr>
              <w:spacing w:after="60"/>
              <w:contextualSpacing w:val="0"/>
              <w:rPr>
                <w:rFonts w:ascii="Calibri" w:hAnsi="Calibri" w:cs="Calibri"/>
              </w:rPr>
            </w:pPr>
            <w:r>
              <w:rPr>
                <w:rFonts w:ascii="Calibri" w:hAnsi="Calibri" w:cs="Calibri"/>
              </w:rPr>
              <w:t>S</w:t>
            </w:r>
            <w:r w:rsidR="00D55289" w:rsidRPr="00E61CA4">
              <w:rPr>
                <w:rFonts w:ascii="Calibri" w:hAnsi="Calibri" w:cs="Calibri"/>
              </w:rPr>
              <w:t xml:space="preserve">howcasing </w:t>
            </w:r>
            <w:r w:rsidR="002E0EDA" w:rsidRPr="002E0EDA">
              <w:rPr>
                <w:rFonts w:ascii="Calibri" w:hAnsi="Calibri" w:cs="Calibri"/>
              </w:rPr>
              <w:t>real-world adoption across sectors through case studies</w:t>
            </w:r>
            <w:r w:rsidR="002E0EDA">
              <w:rPr>
                <w:rFonts w:ascii="Calibri" w:hAnsi="Calibri" w:cs="Calibri"/>
              </w:rPr>
              <w:t xml:space="preserve"> </w:t>
            </w:r>
          </w:p>
          <w:p w14:paraId="23B2CD88" w14:textId="58C82F93" w:rsidR="00D55289" w:rsidRPr="00E61CA4" w:rsidRDefault="00635FAB" w:rsidP="00E95A8A">
            <w:pPr>
              <w:pStyle w:val="ListParagraph"/>
              <w:numPr>
                <w:ilvl w:val="0"/>
                <w:numId w:val="1"/>
              </w:numPr>
              <w:contextualSpacing w:val="0"/>
              <w:rPr>
                <w:rFonts w:ascii="Calibri" w:hAnsi="Calibri" w:cs="Calibri"/>
              </w:rPr>
            </w:pPr>
            <w:r>
              <w:rPr>
                <w:rFonts w:ascii="Calibri" w:hAnsi="Calibri" w:cs="Calibri"/>
              </w:rPr>
              <w:t>I</w:t>
            </w:r>
            <w:r w:rsidR="00D55289" w:rsidRPr="00E61CA4">
              <w:rPr>
                <w:rFonts w:ascii="Calibri" w:hAnsi="Calibri" w:cs="Calibri"/>
              </w:rPr>
              <w:t xml:space="preserve">dentifying </w:t>
            </w:r>
            <w:r w:rsidR="002E0EDA" w:rsidRPr="002E0EDA">
              <w:rPr>
                <w:rFonts w:ascii="Calibri" w:hAnsi="Calibri" w:cs="Calibri"/>
              </w:rPr>
              <w:t>future development directions for ITU-T X.509 and opportunities for collaboration</w:t>
            </w:r>
            <w:r w:rsidR="002E0EDA">
              <w:rPr>
                <w:rFonts w:ascii="Calibri" w:hAnsi="Calibri" w:cs="Calibri"/>
              </w:rPr>
              <w:t>.</w:t>
            </w:r>
          </w:p>
          <w:p w14:paraId="25EB8957" w14:textId="382DBB15" w:rsidR="00C77865" w:rsidRPr="00E61CA4" w:rsidRDefault="00D55289" w:rsidP="00086CA5">
            <w:pPr>
              <w:keepLines/>
              <w:ind w:left="-105"/>
            </w:pPr>
            <w:r w:rsidRPr="00E61CA4">
              <w:t>4</w:t>
            </w:r>
            <w:r w:rsidRPr="00E61CA4">
              <w:tab/>
              <w:t xml:space="preserve">All relevant information pertaining to the event (draft programme, </w:t>
            </w:r>
            <w:r w:rsidR="007F6416">
              <w:t xml:space="preserve">list of </w:t>
            </w:r>
            <w:r w:rsidRPr="00E61CA4">
              <w:t xml:space="preserve">speakers, registration link, </w:t>
            </w:r>
            <w:r>
              <w:t xml:space="preserve">and </w:t>
            </w:r>
            <w:r w:rsidRPr="00E61CA4">
              <w:t xml:space="preserve">remote connection details) will be made available on the event webpage </w:t>
            </w:r>
            <w:r>
              <w:t>at</w:t>
            </w:r>
            <w:r w:rsidR="001C686B">
              <w:t xml:space="preserve">: </w:t>
            </w:r>
            <w:hyperlink r:id="rId13" w:history="1">
              <w:r w:rsidR="00086CA5" w:rsidRPr="00F131EF">
                <w:rPr>
                  <w:rStyle w:val="Hyperlink"/>
                </w:rPr>
                <w:t>https://www.itu.int/en/ITU-T/Workshops-and-Seminars/2026/0512/Pages/default.aspx</w:t>
              </w:r>
            </w:hyperlink>
            <w:r w:rsidR="00086CA5">
              <w:t xml:space="preserve">. </w:t>
            </w:r>
            <w:r w:rsidRPr="00E61CA4">
              <w:t>The webpage will be updated regularly as more information becomes available</w:t>
            </w:r>
            <w:r w:rsidR="007F6416">
              <w:t>, and</w:t>
            </w:r>
            <w:r w:rsidRPr="00E61CA4">
              <w:t xml:space="preserve"> </w:t>
            </w:r>
            <w:r w:rsidR="007F6416">
              <w:t>p</w:t>
            </w:r>
            <w:r w:rsidRPr="00E61CA4">
              <w:t xml:space="preserve">articipants are encouraged to check periodically for </w:t>
            </w:r>
            <w:r w:rsidR="007F6416">
              <w:t>the latest</w:t>
            </w:r>
            <w:r w:rsidR="00C77865">
              <w:t xml:space="preserve"> updates. </w:t>
            </w:r>
          </w:p>
          <w:p w14:paraId="5AC46A53" w14:textId="1E5F27C4" w:rsidR="00D55289" w:rsidRDefault="00D55289" w:rsidP="004A41A0">
            <w:pPr>
              <w:ind w:left="-108"/>
            </w:pPr>
            <w:r w:rsidRPr="00E61CA4">
              <w:t>5</w:t>
            </w:r>
            <w:r w:rsidRPr="00E61CA4">
              <w:tab/>
            </w:r>
            <w:r w:rsidR="001C686B" w:rsidRPr="001C686B">
              <w:t>To enable TSB to make the necessary arrangements concerning the organization, I would be grateful if you could register via the online form as soon as possible</w:t>
            </w:r>
            <w:r w:rsidR="001C686B">
              <w:t xml:space="preserve"> at:</w:t>
            </w:r>
            <w:r w:rsidR="001C686B">
              <w:br/>
            </w:r>
            <w:hyperlink r:id="rId14" w:history="1">
              <w:r w:rsidR="001C686B" w:rsidRPr="001C686B">
                <w:rPr>
                  <w:rStyle w:val="Hyperlink"/>
                </w:rPr>
                <w:t>https://www.itu.int/net4/CRM/xreg/web/Registration.aspx?Event=C-00016105</w:t>
              </w:r>
            </w:hyperlink>
            <w:r w:rsidR="001C686B">
              <w:t xml:space="preserve">. </w:t>
            </w:r>
            <w:r w:rsidR="001C686B" w:rsidRPr="001C686B">
              <w:rPr>
                <w:b/>
                <w:bCs/>
              </w:rPr>
              <w:t>Please note that pre-registration of participants for the Workshop is mandatory and carried out exclusively online</w:t>
            </w:r>
            <w:r w:rsidR="001C686B">
              <w:t>.</w:t>
            </w:r>
          </w:p>
          <w:p w14:paraId="576FAEC0" w14:textId="18204FC7" w:rsidR="001C686B" w:rsidRDefault="00D55289" w:rsidP="00E95A8A">
            <w:pPr>
              <w:ind w:left="-105"/>
            </w:pPr>
            <w:r w:rsidRPr="00E61CA4">
              <w:t>6</w:t>
            </w:r>
            <w:r w:rsidRPr="00E61CA4">
              <w:tab/>
              <w:t>Participation is free of charge and open to all interested stakeholders including ITU Member States, Sector Members, Associates and Academic Institutions and to any individual from a country that is a member of ITU and who wishes to contribute to the work.</w:t>
            </w:r>
          </w:p>
          <w:p w14:paraId="3C2FD6A2" w14:textId="28C6761E" w:rsidR="00D55289" w:rsidRPr="00E61CA4" w:rsidRDefault="001C686B" w:rsidP="00E95A8A">
            <w:pPr>
              <w:ind w:left="-105"/>
            </w:pPr>
            <w:r>
              <w:t>7</w:t>
            </w:r>
            <w:r w:rsidR="008E79D7" w:rsidRPr="00E61CA4">
              <w:tab/>
            </w:r>
            <w:r w:rsidRPr="001C686B">
              <w:t xml:space="preserve">I would remind you that citizens of some countries are required to obtain a visa </w:t>
            </w:r>
            <w:proofErr w:type="gramStart"/>
            <w:r w:rsidRPr="001C686B">
              <w:t>in order to</w:t>
            </w:r>
            <w:proofErr w:type="gramEnd"/>
            <w:r w:rsidRPr="001C686B">
              <w:t xml:space="preserve"> enter and spend any time in </w:t>
            </w:r>
            <w:r>
              <w:t xml:space="preserve">Switzerland. </w:t>
            </w:r>
            <w:r w:rsidRPr="001C686B">
              <w:t xml:space="preserve">The visa must be requested as soon as possible and obtained from the office (embassy or consulate) representing </w:t>
            </w:r>
            <w:r>
              <w:t>Switzerland</w:t>
            </w:r>
            <w:r w:rsidRPr="001C686B">
              <w:t xml:space="preserve"> in your country or, if there is no such office in your country, from the one that is closest to the country of departure. </w:t>
            </w:r>
          </w:p>
          <w:p w14:paraId="65EE6CA2" w14:textId="77777777" w:rsidR="008E79D7" w:rsidRPr="008E79D7" w:rsidRDefault="008E79D7" w:rsidP="004A41A0">
            <w:pPr>
              <w:tabs>
                <w:tab w:val="left" w:pos="794"/>
                <w:tab w:val="left" w:pos="1191"/>
                <w:tab w:val="left" w:pos="1588"/>
                <w:tab w:val="left" w:pos="1985"/>
              </w:tabs>
              <w:overflowPunct w:val="0"/>
              <w:autoSpaceDE w:val="0"/>
              <w:autoSpaceDN w:val="0"/>
              <w:adjustRightInd w:val="0"/>
              <w:spacing w:after="0"/>
              <w:ind w:left="-108"/>
              <w:textAlignment w:val="baseline"/>
              <w:rPr>
                <w:rFonts w:ascii="Calibri" w:eastAsia="DengXian" w:hAnsi="Calibri" w:cs="Calibri"/>
                <w:lang w:eastAsia="en-GB"/>
              </w:rPr>
            </w:pPr>
            <w:r w:rsidRPr="008E79D7">
              <w:rPr>
                <w:rFonts w:ascii="Calibri" w:eastAsia="DengXian" w:hAnsi="Calibri" w:cs="Calibri"/>
                <w:lang w:eastAsia="en-GB"/>
              </w:rPr>
              <w:t>Yours faithfully,</w:t>
            </w:r>
          </w:p>
          <w:p w14:paraId="06CA7067" w14:textId="77777777" w:rsidR="008E79D7" w:rsidRDefault="008E79D7" w:rsidP="00635FAB">
            <w:pPr>
              <w:tabs>
                <w:tab w:val="left" w:pos="794"/>
                <w:tab w:val="left" w:pos="1191"/>
                <w:tab w:val="left" w:pos="1588"/>
                <w:tab w:val="left" w:pos="1985"/>
              </w:tabs>
              <w:overflowPunct w:val="0"/>
              <w:autoSpaceDE w:val="0"/>
              <w:autoSpaceDN w:val="0"/>
              <w:adjustRightInd w:val="0"/>
              <w:spacing w:before="120" w:after="0"/>
              <w:ind w:left="-107"/>
              <w:textAlignment w:val="baseline"/>
              <w:rPr>
                <w:rFonts w:ascii="Calibri" w:eastAsia="DengXian" w:hAnsi="Calibri" w:cs="Calibri"/>
                <w:lang w:eastAsia="en-GB"/>
              </w:rPr>
            </w:pPr>
          </w:p>
          <w:p w14:paraId="1B379B2F" w14:textId="0E2CE1DF" w:rsidR="008E79D7" w:rsidRPr="005A2259" w:rsidRDefault="005A2259" w:rsidP="00635FAB">
            <w:pPr>
              <w:tabs>
                <w:tab w:val="left" w:pos="794"/>
                <w:tab w:val="left" w:pos="1191"/>
                <w:tab w:val="left" w:pos="1588"/>
                <w:tab w:val="left" w:pos="1985"/>
              </w:tabs>
              <w:overflowPunct w:val="0"/>
              <w:autoSpaceDE w:val="0"/>
              <w:autoSpaceDN w:val="0"/>
              <w:adjustRightInd w:val="0"/>
              <w:spacing w:before="120" w:after="0"/>
              <w:ind w:left="-107"/>
              <w:textAlignment w:val="baseline"/>
              <w:rPr>
                <w:rFonts w:ascii="Calibri" w:eastAsia="DengXian" w:hAnsi="Calibri" w:cs="Calibri"/>
                <w:i/>
                <w:iCs/>
                <w:lang w:eastAsia="en-GB"/>
              </w:rPr>
            </w:pPr>
            <w:r>
              <w:rPr>
                <w:rFonts w:ascii="Calibri" w:eastAsia="DengXian" w:hAnsi="Calibri" w:cs="Calibri"/>
                <w:i/>
                <w:iCs/>
                <w:lang w:eastAsia="en-GB"/>
              </w:rPr>
              <w:t>(signed)</w:t>
            </w:r>
          </w:p>
          <w:p w14:paraId="338AE369" w14:textId="77777777" w:rsidR="008E79D7" w:rsidRPr="008E79D7" w:rsidRDefault="008E79D7" w:rsidP="00635FAB">
            <w:pPr>
              <w:tabs>
                <w:tab w:val="left" w:pos="794"/>
                <w:tab w:val="left" w:pos="1191"/>
                <w:tab w:val="left" w:pos="1588"/>
                <w:tab w:val="left" w:pos="1985"/>
              </w:tabs>
              <w:overflowPunct w:val="0"/>
              <w:autoSpaceDE w:val="0"/>
              <w:autoSpaceDN w:val="0"/>
              <w:adjustRightInd w:val="0"/>
              <w:spacing w:before="120" w:after="0"/>
              <w:ind w:left="-107"/>
              <w:textAlignment w:val="baseline"/>
              <w:rPr>
                <w:rFonts w:ascii="Calibri" w:eastAsia="DengXian" w:hAnsi="Calibri" w:cs="Calibri"/>
                <w:lang w:eastAsia="en-GB"/>
              </w:rPr>
            </w:pPr>
          </w:p>
          <w:p w14:paraId="40BC6E89" w14:textId="7A779C8D" w:rsidR="00993A94" w:rsidRPr="008E79D7" w:rsidRDefault="008E79D7" w:rsidP="00635FAB">
            <w:pPr>
              <w:tabs>
                <w:tab w:val="left" w:pos="794"/>
                <w:tab w:val="left" w:pos="1191"/>
                <w:tab w:val="left" w:pos="1588"/>
                <w:tab w:val="left" w:pos="1985"/>
              </w:tabs>
              <w:overflowPunct w:val="0"/>
              <w:autoSpaceDE w:val="0"/>
              <w:autoSpaceDN w:val="0"/>
              <w:adjustRightInd w:val="0"/>
              <w:spacing w:before="120" w:after="0"/>
              <w:ind w:left="-107"/>
              <w:textAlignment w:val="baseline"/>
              <w:rPr>
                <w:lang w:eastAsia="en-GB"/>
              </w:rPr>
            </w:pPr>
            <w:r w:rsidRPr="008E79D7">
              <w:rPr>
                <w:rFonts w:ascii="Calibri" w:eastAsia="DengXian" w:hAnsi="Calibri" w:cs="Calibri"/>
                <w:lang w:eastAsia="en-GB"/>
              </w:rPr>
              <w:t>Seizo Onoe</w:t>
            </w:r>
            <w:r w:rsidRPr="008E79D7">
              <w:rPr>
                <w:rFonts w:ascii="Calibri" w:eastAsia="DengXian" w:hAnsi="Calibri" w:cs="Calibri"/>
                <w:lang w:eastAsia="en-GB"/>
              </w:rPr>
              <w:br/>
              <w:t>Director of the Telecommunication</w:t>
            </w:r>
            <w:r w:rsidRPr="008E79D7">
              <w:rPr>
                <w:rFonts w:ascii="Calibri" w:eastAsia="DengXian" w:hAnsi="Calibri" w:cs="Calibri"/>
                <w:lang w:eastAsia="en-GB"/>
              </w:rPr>
              <w:br/>
              <w:t>Standardization Bureau</w:t>
            </w:r>
          </w:p>
        </w:tc>
      </w:tr>
    </w:tbl>
    <w:p w14:paraId="5E5787A5" w14:textId="264F8661" w:rsidR="00BF6FC9" w:rsidRPr="00E61CA4" w:rsidRDefault="00BF6FC9" w:rsidP="00AF08FD"/>
    <w:sectPr w:rsidR="00BF6FC9" w:rsidRPr="00E61CA4" w:rsidSect="00E95A8A">
      <w:headerReference w:type="default" r:id="rId15"/>
      <w:footerReference w:type="first" r:id="rId16"/>
      <w:pgSz w:w="11906" w:h="16838"/>
      <w:pgMar w:top="1187" w:right="1134" w:bottom="1134" w:left="1134" w:header="425" w:footer="3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B07E1" w14:textId="77777777" w:rsidR="00A97EBA" w:rsidRDefault="00A97EBA" w:rsidP="00436DA1">
      <w:pPr>
        <w:spacing w:after="0"/>
      </w:pPr>
      <w:r>
        <w:separator/>
      </w:r>
    </w:p>
  </w:endnote>
  <w:endnote w:type="continuationSeparator" w:id="0">
    <w:p w14:paraId="0E35EC77" w14:textId="77777777" w:rsidR="00A97EBA" w:rsidRDefault="00A97EBA" w:rsidP="00436DA1">
      <w:pPr>
        <w:spacing w:after="0"/>
      </w:pPr>
      <w:r>
        <w:continuationSeparator/>
      </w:r>
    </w:p>
  </w:endnote>
  <w:endnote w:type="continuationNotice" w:id="1">
    <w:p w14:paraId="07F93154" w14:textId="77777777" w:rsidR="00A97EBA" w:rsidRDefault="00A97E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C1CC0" w14:textId="0CFEE912" w:rsidR="005A4E87" w:rsidRPr="005A4E87" w:rsidRDefault="005A4E87" w:rsidP="009B4C24">
    <w:pPr>
      <w:pStyle w:val="FirstFooter"/>
      <w:spacing w:before="0" w:after="120"/>
      <w:ind w:left="-403" w:right="-403"/>
      <w:jc w:val="center"/>
      <w:rPr>
        <w:color w:val="0070C0"/>
      </w:rPr>
    </w:pPr>
    <w:r w:rsidRPr="00C24502">
      <w:rPr>
        <w:color w:val="0070C0"/>
        <w:sz w:val="18"/>
        <w:szCs w:val="18"/>
      </w:rPr>
      <w:t>International Telecommunication Union • Place des Nations • CH-1211 Geneva 20 • Switzerland</w:t>
    </w:r>
    <w:r w:rsidRPr="00C24502">
      <w:rPr>
        <w:color w:val="0070C0"/>
        <w:sz w:val="18"/>
        <w:szCs w:val="18"/>
      </w:rPr>
      <w:br/>
      <w:t xml:space="preserve">Tel: +41 22 730 5111 • Fax: +41 22 733 7256 • E-mail: </w:t>
    </w:r>
    <w:hyperlink r:id="rId1" w:history="1">
      <w:r w:rsidRPr="00C24502">
        <w:rPr>
          <w:rStyle w:val="Hyperlink"/>
          <w:color w:val="0070C0"/>
          <w:sz w:val="18"/>
          <w:szCs w:val="18"/>
        </w:rPr>
        <w:t>itumail@itu.int</w:t>
      </w:r>
    </w:hyperlink>
    <w:r w:rsidRPr="00C24502">
      <w:rPr>
        <w:color w:val="0070C0"/>
        <w:sz w:val="18"/>
        <w:szCs w:val="18"/>
      </w:rPr>
      <w:t xml:space="preserve"> • </w:t>
    </w:r>
    <w:hyperlink r:id="rId2" w:history="1">
      <w:r w:rsidRPr="00C24502">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FD4DD" w14:textId="77777777" w:rsidR="00A97EBA" w:rsidRDefault="00A97EBA" w:rsidP="00436DA1">
      <w:pPr>
        <w:spacing w:after="0"/>
      </w:pPr>
      <w:r>
        <w:separator/>
      </w:r>
    </w:p>
  </w:footnote>
  <w:footnote w:type="continuationSeparator" w:id="0">
    <w:p w14:paraId="5492105A" w14:textId="77777777" w:rsidR="00A97EBA" w:rsidRDefault="00A97EBA" w:rsidP="00436DA1">
      <w:pPr>
        <w:spacing w:after="0"/>
      </w:pPr>
      <w:r>
        <w:continuationSeparator/>
      </w:r>
    </w:p>
  </w:footnote>
  <w:footnote w:type="continuationNotice" w:id="1">
    <w:p w14:paraId="0B6D8AFE" w14:textId="77777777" w:rsidR="00A97EBA" w:rsidRDefault="00A97E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13006" w14:textId="77777777" w:rsidR="00387688" w:rsidRPr="00E61CA4" w:rsidRDefault="00387688" w:rsidP="00E95A8A">
    <w:pPr>
      <w:pStyle w:val="Header"/>
      <w:spacing w:before="120"/>
    </w:pPr>
    <w:r w:rsidRPr="00E61CA4">
      <w:t xml:space="preserve">- </w:t>
    </w:r>
    <w:r w:rsidRPr="00E61CA4">
      <w:fldChar w:fldCharType="begin"/>
    </w:r>
    <w:r w:rsidRPr="00E61CA4">
      <w:instrText xml:space="preserve"> PAGE  \* MERGEFORMAT </w:instrText>
    </w:r>
    <w:r w:rsidRPr="00E61CA4">
      <w:fldChar w:fldCharType="separate"/>
    </w:r>
    <w:r w:rsidRPr="00E61CA4">
      <w:rPr>
        <w:noProof/>
      </w:rPr>
      <w:t>2</w:t>
    </w:r>
    <w:r w:rsidRPr="00E61CA4">
      <w:rPr>
        <w:noProof/>
      </w:rPr>
      <w:fldChar w:fldCharType="end"/>
    </w:r>
    <w:r w:rsidRPr="00E61CA4">
      <w:t xml:space="preserve"> -</w:t>
    </w:r>
  </w:p>
  <w:p w14:paraId="308C2096" w14:textId="71AE874F" w:rsidR="00387688" w:rsidRPr="00E61CA4" w:rsidRDefault="00387688" w:rsidP="00E61CA4">
    <w:pPr>
      <w:pStyle w:val="Header"/>
    </w:pPr>
    <w:r w:rsidRPr="00E61CA4">
      <w:rPr>
        <w:noProof/>
      </w:rPr>
      <w:fldChar w:fldCharType="begin"/>
    </w:r>
    <w:r w:rsidRPr="00E61CA4">
      <w:rPr>
        <w:noProof/>
      </w:rPr>
      <w:instrText xml:space="preserve"> STYLEREF  Docnumber  \* MERGEFORMAT </w:instrText>
    </w:r>
    <w:r w:rsidRPr="00E61CA4">
      <w:rPr>
        <w:noProof/>
      </w:rPr>
      <w:fldChar w:fldCharType="separate"/>
    </w:r>
    <w:r w:rsidR="00C513E1">
      <w:rPr>
        <w:noProof/>
      </w:rPr>
      <w:t>TSB Circular 112</w:t>
    </w:r>
    <w:r w:rsidRPr="00E61CA4">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144CE"/>
    <w:multiLevelType w:val="hybridMultilevel"/>
    <w:tmpl w:val="B1801274"/>
    <w:lvl w:ilvl="0" w:tplc="20000017">
      <w:start w:val="1"/>
      <w:numFmt w:val="lowerLetter"/>
      <w:lvlText w:val="%1)"/>
      <w:lvlJc w:val="left"/>
      <w:pPr>
        <w:ind w:left="1245" w:hanging="360"/>
      </w:pPr>
      <w:rPr>
        <w:rFonts w:hint="default"/>
      </w:rPr>
    </w:lvl>
    <w:lvl w:ilvl="1" w:tplc="20000019" w:tentative="1">
      <w:start w:val="1"/>
      <w:numFmt w:val="lowerLetter"/>
      <w:lvlText w:val="%2."/>
      <w:lvlJc w:val="left"/>
      <w:pPr>
        <w:ind w:left="1965" w:hanging="360"/>
      </w:pPr>
    </w:lvl>
    <w:lvl w:ilvl="2" w:tplc="2000001B" w:tentative="1">
      <w:start w:val="1"/>
      <w:numFmt w:val="lowerRoman"/>
      <w:lvlText w:val="%3."/>
      <w:lvlJc w:val="right"/>
      <w:pPr>
        <w:ind w:left="2685" w:hanging="180"/>
      </w:pPr>
    </w:lvl>
    <w:lvl w:ilvl="3" w:tplc="2000000F" w:tentative="1">
      <w:start w:val="1"/>
      <w:numFmt w:val="decimal"/>
      <w:lvlText w:val="%4."/>
      <w:lvlJc w:val="left"/>
      <w:pPr>
        <w:ind w:left="3405" w:hanging="360"/>
      </w:pPr>
    </w:lvl>
    <w:lvl w:ilvl="4" w:tplc="20000019" w:tentative="1">
      <w:start w:val="1"/>
      <w:numFmt w:val="lowerLetter"/>
      <w:lvlText w:val="%5."/>
      <w:lvlJc w:val="left"/>
      <w:pPr>
        <w:ind w:left="4125" w:hanging="360"/>
      </w:pPr>
    </w:lvl>
    <w:lvl w:ilvl="5" w:tplc="2000001B" w:tentative="1">
      <w:start w:val="1"/>
      <w:numFmt w:val="lowerRoman"/>
      <w:lvlText w:val="%6."/>
      <w:lvlJc w:val="right"/>
      <w:pPr>
        <w:ind w:left="4845" w:hanging="180"/>
      </w:pPr>
    </w:lvl>
    <w:lvl w:ilvl="6" w:tplc="2000000F" w:tentative="1">
      <w:start w:val="1"/>
      <w:numFmt w:val="decimal"/>
      <w:lvlText w:val="%7."/>
      <w:lvlJc w:val="left"/>
      <w:pPr>
        <w:ind w:left="5565" w:hanging="360"/>
      </w:pPr>
    </w:lvl>
    <w:lvl w:ilvl="7" w:tplc="20000019" w:tentative="1">
      <w:start w:val="1"/>
      <w:numFmt w:val="lowerLetter"/>
      <w:lvlText w:val="%8."/>
      <w:lvlJc w:val="left"/>
      <w:pPr>
        <w:ind w:left="6285" w:hanging="360"/>
      </w:pPr>
    </w:lvl>
    <w:lvl w:ilvl="8" w:tplc="2000001B" w:tentative="1">
      <w:start w:val="1"/>
      <w:numFmt w:val="lowerRoman"/>
      <w:lvlText w:val="%9."/>
      <w:lvlJc w:val="right"/>
      <w:pPr>
        <w:ind w:left="7005" w:hanging="180"/>
      </w:pPr>
    </w:lvl>
  </w:abstractNum>
  <w:num w:numId="1" w16cid:durableId="1765300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11F562"/>
    <w:rsid w:val="00004753"/>
    <w:rsid w:val="0000619C"/>
    <w:rsid w:val="00086CA5"/>
    <w:rsid w:val="00091570"/>
    <w:rsid w:val="00095783"/>
    <w:rsid w:val="00097E9A"/>
    <w:rsid w:val="000B4D89"/>
    <w:rsid w:val="000C78CC"/>
    <w:rsid w:val="000D1396"/>
    <w:rsid w:val="000E233E"/>
    <w:rsid w:val="000F0814"/>
    <w:rsid w:val="00115BCE"/>
    <w:rsid w:val="00125568"/>
    <w:rsid w:val="00182395"/>
    <w:rsid w:val="00194A12"/>
    <w:rsid w:val="001B1947"/>
    <w:rsid w:val="001C686B"/>
    <w:rsid w:val="001E6329"/>
    <w:rsid w:val="001F6356"/>
    <w:rsid w:val="0024424B"/>
    <w:rsid w:val="002512DA"/>
    <w:rsid w:val="00274B0A"/>
    <w:rsid w:val="0028239B"/>
    <w:rsid w:val="002A7B1E"/>
    <w:rsid w:val="002C3C3A"/>
    <w:rsid w:val="002E0C63"/>
    <w:rsid w:val="002E0EDA"/>
    <w:rsid w:val="002E6DD7"/>
    <w:rsid w:val="003265B1"/>
    <w:rsid w:val="00361582"/>
    <w:rsid w:val="0037446B"/>
    <w:rsid w:val="00387688"/>
    <w:rsid w:val="003C0B3D"/>
    <w:rsid w:val="003C7108"/>
    <w:rsid w:val="00411D5A"/>
    <w:rsid w:val="00436DA1"/>
    <w:rsid w:val="00456547"/>
    <w:rsid w:val="0046185E"/>
    <w:rsid w:val="0047754D"/>
    <w:rsid w:val="004823FB"/>
    <w:rsid w:val="00495A6E"/>
    <w:rsid w:val="004A1F3E"/>
    <w:rsid w:val="004A283F"/>
    <w:rsid w:val="004A2C69"/>
    <w:rsid w:val="004A41A0"/>
    <w:rsid w:val="004C4E82"/>
    <w:rsid w:val="004F3DD8"/>
    <w:rsid w:val="00503644"/>
    <w:rsid w:val="00516046"/>
    <w:rsid w:val="00526D0B"/>
    <w:rsid w:val="005525F8"/>
    <w:rsid w:val="005771EE"/>
    <w:rsid w:val="005A2259"/>
    <w:rsid w:val="005A4DC9"/>
    <w:rsid w:val="005A4E87"/>
    <w:rsid w:val="005C7D28"/>
    <w:rsid w:val="00614F9C"/>
    <w:rsid w:val="00635FAB"/>
    <w:rsid w:val="00642CC4"/>
    <w:rsid w:val="00656C16"/>
    <w:rsid w:val="006E0281"/>
    <w:rsid w:val="006E1DD7"/>
    <w:rsid w:val="007271CC"/>
    <w:rsid w:val="00746EEF"/>
    <w:rsid w:val="007528E2"/>
    <w:rsid w:val="00767366"/>
    <w:rsid w:val="00784EDF"/>
    <w:rsid w:val="007876C8"/>
    <w:rsid w:val="007A6550"/>
    <w:rsid w:val="007A6BCC"/>
    <w:rsid w:val="007B48A1"/>
    <w:rsid w:val="007B5D9D"/>
    <w:rsid w:val="007E09C3"/>
    <w:rsid w:val="007F122E"/>
    <w:rsid w:val="007F6416"/>
    <w:rsid w:val="008001D2"/>
    <w:rsid w:val="00802D1A"/>
    <w:rsid w:val="00814577"/>
    <w:rsid w:val="00821A01"/>
    <w:rsid w:val="00835729"/>
    <w:rsid w:val="008673C3"/>
    <w:rsid w:val="00882A0D"/>
    <w:rsid w:val="008948FC"/>
    <w:rsid w:val="00895C74"/>
    <w:rsid w:val="008D03AE"/>
    <w:rsid w:val="008E1D68"/>
    <w:rsid w:val="008E79D7"/>
    <w:rsid w:val="00901D26"/>
    <w:rsid w:val="00902AAF"/>
    <w:rsid w:val="00912290"/>
    <w:rsid w:val="00913AAA"/>
    <w:rsid w:val="00917F3A"/>
    <w:rsid w:val="00917F5C"/>
    <w:rsid w:val="00941623"/>
    <w:rsid w:val="009735FF"/>
    <w:rsid w:val="00982369"/>
    <w:rsid w:val="00993A94"/>
    <w:rsid w:val="009B4C24"/>
    <w:rsid w:val="009F0AC1"/>
    <w:rsid w:val="00A0069C"/>
    <w:rsid w:val="00A168FB"/>
    <w:rsid w:val="00A33305"/>
    <w:rsid w:val="00A51AA9"/>
    <w:rsid w:val="00A71750"/>
    <w:rsid w:val="00A73D5F"/>
    <w:rsid w:val="00A83924"/>
    <w:rsid w:val="00A906F1"/>
    <w:rsid w:val="00A97EBA"/>
    <w:rsid w:val="00AF08FD"/>
    <w:rsid w:val="00B44281"/>
    <w:rsid w:val="00B472D8"/>
    <w:rsid w:val="00B51E5F"/>
    <w:rsid w:val="00B57845"/>
    <w:rsid w:val="00BA19DF"/>
    <w:rsid w:val="00BB4414"/>
    <w:rsid w:val="00BD3196"/>
    <w:rsid w:val="00BF1946"/>
    <w:rsid w:val="00BF6FC9"/>
    <w:rsid w:val="00C02C6A"/>
    <w:rsid w:val="00C11DCC"/>
    <w:rsid w:val="00C45E75"/>
    <w:rsid w:val="00C513E1"/>
    <w:rsid w:val="00C55642"/>
    <w:rsid w:val="00C77865"/>
    <w:rsid w:val="00CB567E"/>
    <w:rsid w:val="00CC05EA"/>
    <w:rsid w:val="00CD24AE"/>
    <w:rsid w:val="00D0034D"/>
    <w:rsid w:val="00D061B4"/>
    <w:rsid w:val="00D2135E"/>
    <w:rsid w:val="00D4094B"/>
    <w:rsid w:val="00D55289"/>
    <w:rsid w:val="00D737CE"/>
    <w:rsid w:val="00D824AF"/>
    <w:rsid w:val="00D90832"/>
    <w:rsid w:val="00D95E49"/>
    <w:rsid w:val="00DB5CBF"/>
    <w:rsid w:val="00DC361F"/>
    <w:rsid w:val="00DC3FC6"/>
    <w:rsid w:val="00DD321B"/>
    <w:rsid w:val="00DF6AD7"/>
    <w:rsid w:val="00E0604A"/>
    <w:rsid w:val="00E210B9"/>
    <w:rsid w:val="00E51976"/>
    <w:rsid w:val="00E61CA4"/>
    <w:rsid w:val="00E66BD8"/>
    <w:rsid w:val="00E92DE3"/>
    <w:rsid w:val="00E95A8A"/>
    <w:rsid w:val="00E97159"/>
    <w:rsid w:val="00F07BBB"/>
    <w:rsid w:val="00F21A41"/>
    <w:rsid w:val="00F323AD"/>
    <w:rsid w:val="00F35A30"/>
    <w:rsid w:val="00F4041E"/>
    <w:rsid w:val="00F45110"/>
    <w:rsid w:val="00F501B2"/>
    <w:rsid w:val="00F532CC"/>
    <w:rsid w:val="00F90758"/>
    <w:rsid w:val="00FC2C70"/>
    <w:rsid w:val="00FE57D6"/>
    <w:rsid w:val="00FF54D3"/>
    <w:rsid w:val="0BF05522"/>
    <w:rsid w:val="0D8C2583"/>
    <w:rsid w:val="0F27F5E4"/>
    <w:rsid w:val="125F96A6"/>
    <w:rsid w:val="17878447"/>
    <w:rsid w:val="1A6AA88B"/>
    <w:rsid w:val="23505506"/>
    <w:rsid w:val="247D6833"/>
    <w:rsid w:val="2DFCBAFC"/>
    <w:rsid w:val="32DEE060"/>
    <w:rsid w:val="35024931"/>
    <w:rsid w:val="368E4C1F"/>
    <w:rsid w:val="3EB118FD"/>
    <w:rsid w:val="3F623D54"/>
    <w:rsid w:val="405A607D"/>
    <w:rsid w:val="41E8B9BF"/>
    <w:rsid w:val="45205A81"/>
    <w:rsid w:val="4687A78C"/>
    <w:rsid w:val="46BC2AE2"/>
    <w:rsid w:val="4A11F562"/>
    <w:rsid w:val="4AF7590E"/>
    <w:rsid w:val="5485A3E9"/>
    <w:rsid w:val="5AEC3A4D"/>
    <w:rsid w:val="603A2E50"/>
    <w:rsid w:val="6058A587"/>
    <w:rsid w:val="6068AC9B"/>
    <w:rsid w:val="66507B8A"/>
    <w:rsid w:val="6896AB80"/>
    <w:rsid w:val="75333150"/>
    <w:rsid w:val="77E966ED"/>
    <w:rsid w:val="798636CD"/>
    <w:rsid w:val="7C9B6722"/>
    <w:rsid w:val="7D2D5911"/>
    <w:rsid w:val="7E4FFD51"/>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1F562"/>
  <w15:chartTrackingRefBased/>
  <w15:docId w15:val="{66BE8C39-1AD6-44E1-98E0-A023E84F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CA4"/>
    <w:pPr>
      <w:spacing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_text"/>
    <w:basedOn w:val="Normal"/>
    <w:rsid w:val="00D90832"/>
    <w:pPr>
      <w:tabs>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Calibri" w:eastAsia="Batang" w:hAnsi="Calibri" w:cs="Times New Roman"/>
      <w:sz w:val="24"/>
      <w:szCs w:val="20"/>
    </w:rPr>
  </w:style>
  <w:style w:type="character" w:styleId="Hyperlink">
    <w:name w:val="Hyperlink"/>
    <w:aliases w:val="超级链接,Style 58,超????,超?级链,하이퍼링크2,CEO_Hyperlink,超链接1"/>
    <w:uiPriority w:val="99"/>
    <w:qFormat/>
    <w:rsid w:val="00D90832"/>
    <w:rPr>
      <w:color w:val="0000FF"/>
      <w:u w:val="single"/>
    </w:rPr>
  </w:style>
  <w:style w:type="character" w:customStyle="1" w:styleId="NoSpacingChar">
    <w:name w:val="No Spacing Char"/>
    <w:basedOn w:val="DefaultParagraphFont"/>
    <w:link w:val="NoSpacing"/>
    <w:uiPriority w:val="1"/>
    <w:locked/>
    <w:rsid w:val="00CC05EA"/>
    <w:rPr>
      <w:rFonts w:ascii="Calibri Light" w:hAnsi="Calibri Light" w:cs="Calibri Light"/>
    </w:rPr>
  </w:style>
  <w:style w:type="paragraph" w:styleId="NoSpacing">
    <w:name w:val="No Spacing"/>
    <w:basedOn w:val="Normal"/>
    <w:link w:val="NoSpacingChar"/>
    <w:uiPriority w:val="1"/>
    <w:qFormat/>
    <w:rsid w:val="00CC05EA"/>
    <w:pPr>
      <w:spacing w:after="0"/>
    </w:pPr>
    <w:rPr>
      <w:rFonts w:ascii="Calibri Light" w:hAnsi="Calibri Light" w:cs="Calibri Light"/>
    </w:rPr>
  </w:style>
  <w:style w:type="paragraph" w:styleId="Revision">
    <w:name w:val="Revision"/>
    <w:hidden/>
    <w:uiPriority w:val="99"/>
    <w:semiHidden/>
    <w:rsid w:val="007F122E"/>
    <w:pPr>
      <w:spacing w:after="0" w:line="240" w:lineRule="auto"/>
    </w:pPr>
  </w:style>
  <w:style w:type="character" w:styleId="UnresolvedMention">
    <w:name w:val="Unresolved Mention"/>
    <w:basedOn w:val="DefaultParagraphFont"/>
    <w:uiPriority w:val="99"/>
    <w:semiHidden/>
    <w:unhideWhenUsed/>
    <w:rsid w:val="00895C74"/>
    <w:rPr>
      <w:color w:val="605E5C"/>
      <w:shd w:val="clear" w:color="auto" w:fill="E1DFDD"/>
    </w:rPr>
  </w:style>
  <w:style w:type="paragraph" w:styleId="ListParagraph">
    <w:name w:val="List Paragraph"/>
    <w:basedOn w:val="Normal"/>
    <w:uiPriority w:val="34"/>
    <w:qFormat/>
    <w:rsid w:val="00503644"/>
    <w:pPr>
      <w:ind w:left="720"/>
      <w:contextualSpacing/>
    </w:pPr>
  </w:style>
  <w:style w:type="paragraph" w:styleId="Header">
    <w:name w:val="header"/>
    <w:basedOn w:val="Normal"/>
    <w:link w:val="HeaderChar"/>
    <w:unhideWhenUsed/>
    <w:rsid w:val="00E61CA4"/>
    <w:pPr>
      <w:tabs>
        <w:tab w:val="center" w:pos="4513"/>
        <w:tab w:val="right" w:pos="9026"/>
      </w:tabs>
      <w:spacing w:after="0"/>
      <w:jc w:val="center"/>
    </w:pPr>
    <w:rPr>
      <w:sz w:val="18"/>
      <w:szCs w:val="18"/>
      <w:lang w:val="pt-BR"/>
    </w:rPr>
  </w:style>
  <w:style w:type="character" w:customStyle="1" w:styleId="HeaderChar">
    <w:name w:val="Header Char"/>
    <w:basedOn w:val="DefaultParagraphFont"/>
    <w:link w:val="Header"/>
    <w:rsid w:val="00E61CA4"/>
    <w:rPr>
      <w:sz w:val="18"/>
      <w:szCs w:val="18"/>
      <w:lang w:val="pt-BR"/>
    </w:rPr>
  </w:style>
  <w:style w:type="paragraph" w:styleId="Footer">
    <w:name w:val="footer"/>
    <w:basedOn w:val="Normal"/>
    <w:link w:val="FooterChar"/>
    <w:uiPriority w:val="99"/>
    <w:unhideWhenUsed/>
    <w:rsid w:val="00436DA1"/>
    <w:pPr>
      <w:tabs>
        <w:tab w:val="center" w:pos="4513"/>
        <w:tab w:val="right" w:pos="9026"/>
      </w:tabs>
      <w:spacing w:after="0"/>
    </w:pPr>
  </w:style>
  <w:style w:type="character" w:customStyle="1" w:styleId="FooterChar">
    <w:name w:val="Footer Char"/>
    <w:basedOn w:val="DefaultParagraphFont"/>
    <w:link w:val="Footer"/>
    <w:uiPriority w:val="99"/>
    <w:rsid w:val="00436DA1"/>
  </w:style>
  <w:style w:type="character" w:styleId="FollowedHyperlink">
    <w:name w:val="FollowedHyperlink"/>
    <w:basedOn w:val="DefaultParagraphFont"/>
    <w:uiPriority w:val="99"/>
    <w:semiHidden/>
    <w:unhideWhenUsed/>
    <w:rsid w:val="004A283F"/>
    <w:rPr>
      <w:color w:val="954F72" w:themeColor="followedHyperlink"/>
      <w:u w:val="single"/>
    </w:rPr>
  </w:style>
  <w:style w:type="paragraph" w:customStyle="1" w:styleId="FirstFooter">
    <w:name w:val="FirstFooter"/>
    <w:basedOn w:val="Footer"/>
    <w:rsid w:val="005A4E87"/>
    <w:pPr>
      <w:tabs>
        <w:tab w:val="clear" w:pos="4513"/>
        <w:tab w:val="clear" w:pos="9026"/>
        <w:tab w:val="left" w:pos="794"/>
        <w:tab w:val="left" w:pos="1191"/>
        <w:tab w:val="left" w:pos="1588"/>
        <w:tab w:val="left" w:pos="1985"/>
      </w:tabs>
      <w:spacing w:before="40"/>
    </w:pPr>
    <w:rPr>
      <w:rFonts w:ascii="Calibri" w:eastAsia="SimSun" w:hAnsi="Calibri" w:cs="Times New Roman"/>
      <w:sz w:val="16"/>
      <w:szCs w:val="20"/>
    </w:rPr>
  </w:style>
  <w:style w:type="character" w:styleId="CommentReference">
    <w:name w:val="annotation reference"/>
    <w:basedOn w:val="DefaultParagraphFont"/>
    <w:uiPriority w:val="99"/>
    <w:semiHidden/>
    <w:unhideWhenUsed/>
    <w:rsid w:val="00A0069C"/>
    <w:rPr>
      <w:sz w:val="16"/>
      <w:szCs w:val="16"/>
    </w:rPr>
  </w:style>
  <w:style w:type="paragraph" w:styleId="CommentText">
    <w:name w:val="annotation text"/>
    <w:basedOn w:val="Normal"/>
    <w:link w:val="CommentTextChar"/>
    <w:uiPriority w:val="99"/>
    <w:unhideWhenUsed/>
    <w:rsid w:val="00A0069C"/>
    <w:rPr>
      <w:sz w:val="20"/>
      <w:szCs w:val="20"/>
    </w:rPr>
  </w:style>
  <w:style w:type="character" w:customStyle="1" w:styleId="CommentTextChar">
    <w:name w:val="Comment Text Char"/>
    <w:basedOn w:val="DefaultParagraphFont"/>
    <w:link w:val="CommentText"/>
    <w:uiPriority w:val="99"/>
    <w:rsid w:val="00A0069C"/>
    <w:rPr>
      <w:sz w:val="20"/>
      <w:szCs w:val="20"/>
    </w:rPr>
  </w:style>
  <w:style w:type="paragraph" w:styleId="CommentSubject">
    <w:name w:val="annotation subject"/>
    <w:basedOn w:val="CommentText"/>
    <w:next w:val="CommentText"/>
    <w:link w:val="CommentSubjectChar"/>
    <w:uiPriority w:val="99"/>
    <w:semiHidden/>
    <w:unhideWhenUsed/>
    <w:rsid w:val="00A0069C"/>
    <w:rPr>
      <w:b/>
      <w:bCs/>
    </w:rPr>
  </w:style>
  <w:style w:type="character" w:customStyle="1" w:styleId="CommentSubjectChar">
    <w:name w:val="Comment Subject Char"/>
    <w:basedOn w:val="CommentTextChar"/>
    <w:link w:val="CommentSubject"/>
    <w:uiPriority w:val="99"/>
    <w:semiHidden/>
    <w:rsid w:val="00A0069C"/>
    <w:rPr>
      <w:b/>
      <w:bCs/>
      <w:sz w:val="20"/>
      <w:szCs w:val="20"/>
    </w:rPr>
  </w:style>
  <w:style w:type="paragraph" w:customStyle="1" w:styleId="Docnumber">
    <w:name w:val="Docnumber"/>
    <w:basedOn w:val="Tabletext"/>
    <w:qFormat/>
    <w:rsid w:val="00387688"/>
    <w:pPr>
      <w:framePr w:hSpace="181" w:wrap="around" w:vAnchor="page" w:hAnchor="margin" w:xAlign="center" w:y="664"/>
    </w:pPr>
    <w:rPr>
      <w:b/>
      <w:bCs/>
      <w:sz w:val="22"/>
      <w:szCs w:val="22"/>
    </w:rPr>
  </w:style>
  <w:style w:type="paragraph" w:styleId="NormalWeb">
    <w:name w:val="Normal (Web)"/>
    <w:basedOn w:val="Normal"/>
    <w:uiPriority w:val="99"/>
    <w:semiHidden/>
    <w:unhideWhenUsed/>
    <w:rsid w:val="001C686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1873">
      <w:bodyDiv w:val="1"/>
      <w:marLeft w:val="0"/>
      <w:marRight w:val="0"/>
      <w:marTop w:val="0"/>
      <w:marBottom w:val="0"/>
      <w:divBdr>
        <w:top w:val="none" w:sz="0" w:space="0" w:color="auto"/>
        <w:left w:val="none" w:sz="0" w:space="0" w:color="auto"/>
        <w:bottom w:val="none" w:sz="0" w:space="0" w:color="auto"/>
        <w:right w:val="none" w:sz="0" w:space="0" w:color="auto"/>
      </w:divBdr>
    </w:div>
    <w:div w:id="1058700053">
      <w:bodyDiv w:val="1"/>
      <w:marLeft w:val="0"/>
      <w:marRight w:val="0"/>
      <w:marTop w:val="0"/>
      <w:marBottom w:val="0"/>
      <w:divBdr>
        <w:top w:val="none" w:sz="0" w:space="0" w:color="auto"/>
        <w:left w:val="none" w:sz="0" w:space="0" w:color="auto"/>
        <w:bottom w:val="none" w:sz="0" w:space="0" w:color="auto"/>
        <w:right w:val="none" w:sz="0" w:space="0" w:color="auto"/>
      </w:divBdr>
      <w:divsChild>
        <w:div w:id="496576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ITU-T/Workshops-and-Seminars/2026/0512/Pages/defaul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ITU-T/recommendations/rec.aspx?id=14033&amp;lang=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net4/CRM/xreg/web/Registration.aspx?Event=C-00016105"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ecfbc6-16ba-4348-96d4-7b09f2f75cd9" xsi:nil="true"/>
    <lcf76f155ced4ddcb4097134ff3c332f xmlns="8c683b18-f2fb-4b6f-9052-787ae4e7014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CECE09D1232E468002275F25FCAE42" ma:contentTypeVersion="19" ma:contentTypeDescription="Create a new document." ma:contentTypeScope="" ma:versionID="bdd2cc3e81dd0adb1d8d9a39508ba24a">
  <xsd:schema xmlns:xsd="http://www.w3.org/2001/XMLSchema" xmlns:xs="http://www.w3.org/2001/XMLSchema" xmlns:p="http://schemas.microsoft.com/office/2006/metadata/properties" xmlns:ns2="8c683b18-f2fb-4b6f-9052-787ae4e70144" xmlns:ns3="b4ecfbc6-16ba-4348-96d4-7b09f2f75cd9" targetNamespace="http://schemas.microsoft.com/office/2006/metadata/properties" ma:root="true" ma:fieldsID="f1a807b2f63ac0ed811a8a3961eee0c7" ns2:_="" ns3:_="">
    <xsd:import namespace="8c683b18-f2fb-4b6f-9052-787ae4e70144"/>
    <xsd:import namespace="b4ecfbc6-16ba-4348-96d4-7b09f2f75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83b18-f2fb-4b6f-9052-787ae4e70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cfbc6-16ba-4348-96d4-7b09f2f75c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67ca53-b332-4738-a34d-8ba8fed11394}" ma:internalName="TaxCatchAll" ma:showField="CatchAllData" ma:web="b4ecfbc6-16ba-4348-96d4-7b09f2f75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5E20D-A936-4913-BA09-99B93533F198}">
  <ds:schemaRefs>
    <ds:schemaRef ds:uri="http://schemas.microsoft.com/office/2006/metadata/properties"/>
    <ds:schemaRef ds:uri="http://schemas.microsoft.com/office/infopath/2007/PartnerControls"/>
    <ds:schemaRef ds:uri="b4ecfbc6-16ba-4348-96d4-7b09f2f75cd9"/>
    <ds:schemaRef ds:uri="8c683b18-f2fb-4b6f-9052-787ae4e70144"/>
  </ds:schemaRefs>
</ds:datastoreItem>
</file>

<file path=customXml/itemProps2.xml><?xml version="1.0" encoding="utf-8"?>
<ds:datastoreItem xmlns:ds="http://schemas.openxmlformats.org/officeDocument/2006/customXml" ds:itemID="{EF861CF0-14BA-440B-9512-E390C8F27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83b18-f2fb-4b6f-9052-787ae4e70144"/>
    <ds:schemaRef ds:uri="b4ecfbc6-16ba-4348-96d4-7b09f2f75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84844-035B-4026-A0B8-2C019B6D968A}">
  <ds:schemaRefs>
    <ds:schemaRef ds:uri="http://schemas.microsoft.com/sharepoint/v3/contenttype/forms"/>
  </ds:schemaRefs>
</ds:datastoreItem>
</file>

<file path=customXml/itemProps4.xml><?xml version="1.0" encoding="utf-8"?>
<ds:datastoreItem xmlns:ds="http://schemas.openxmlformats.org/officeDocument/2006/customXml" ds:itemID="{677C972F-A2B0-42A0-A35C-24B71E9EF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Links>
    <vt:vector size="30" baseType="variant">
      <vt:variant>
        <vt:i4>393293</vt:i4>
      </vt:variant>
      <vt:variant>
        <vt:i4>6</vt:i4>
      </vt:variant>
      <vt:variant>
        <vt:i4>0</vt:i4>
      </vt:variant>
      <vt:variant>
        <vt:i4>5</vt:i4>
      </vt:variant>
      <vt:variant>
        <vt:lpwstr>https://itu.zoom.us/j/97646789271</vt:lpwstr>
      </vt:variant>
      <vt:variant>
        <vt:lpwstr/>
      </vt:variant>
      <vt:variant>
        <vt:i4>5898308</vt:i4>
      </vt:variant>
      <vt:variant>
        <vt:i4>3</vt:i4>
      </vt:variant>
      <vt:variant>
        <vt:i4>0</vt:i4>
      </vt:variant>
      <vt:variant>
        <vt:i4>5</vt:i4>
      </vt:variant>
      <vt:variant>
        <vt:lpwstr>https://www.itu.int/en/ITU-T/Workshops-and-Seminars/2024/0509/Pages/default.aspx</vt:lpwstr>
      </vt:variant>
      <vt:variant>
        <vt:lpwstr/>
      </vt:variant>
      <vt:variant>
        <vt:i4>3342442</vt:i4>
      </vt:variant>
      <vt:variant>
        <vt:i4>0</vt:i4>
      </vt:variant>
      <vt:variant>
        <vt:i4>0</vt:i4>
      </vt:variant>
      <vt:variant>
        <vt:i4>5</vt:i4>
      </vt:variant>
      <vt:variant>
        <vt:lpwstr>https://www.itu.int/ITU-T/recommendations/rec.aspx?id=14033&amp;lang=en</vt:lpwstr>
      </vt:variant>
      <vt:variant>
        <vt:lpwstr/>
      </vt:variant>
      <vt:variant>
        <vt:i4>2752612</vt:i4>
      </vt:variant>
      <vt:variant>
        <vt:i4>3</vt:i4>
      </vt:variant>
      <vt:variant>
        <vt:i4>0</vt:i4>
      </vt:variant>
      <vt:variant>
        <vt:i4>5</vt:i4>
      </vt:variant>
      <vt:variant>
        <vt:lpwstr>http://www.itu.int/</vt:lpwstr>
      </vt:variant>
      <vt:variant>
        <vt:lpwstr/>
      </vt:variant>
      <vt:variant>
        <vt:i4>7471182</vt:i4>
      </vt:variant>
      <vt:variant>
        <vt:i4>0</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Vundru, Tamara</dc:creator>
  <cp:keywords/>
  <dc:description/>
  <cp:lastModifiedBy>Amoah, Gifty Adjo</cp:lastModifiedBy>
  <cp:revision>2</cp:revision>
  <cp:lastPrinted>2025-07-28T14:50:00Z</cp:lastPrinted>
  <dcterms:created xsi:type="dcterms:W3CDTF">2026-02-16T10:23:00Z</dcterms:created>
  <dcterms:modified xsi:type="dcterms:W3CDTF">2026-02-16T10:23:00Z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0x01010016CECE09D1232E468002275F25FCAE42</vt:lpwstr>
  </property>
  <property fmtid="{D5CDD505-2E9C-101B-9397-08002B2CF9AE}" pid="3" name="MediaServiceImageTags">
    <vt:lpwstr/>
  </property>
</Properties>
</file>