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36D32EDD" w14:textId="77777777" w:rsidTr="00D517B2">
        <w:trPr>
          <w:cantSplit/>
          <w:trHeight w:val="1134"/>
        </w:trPr>
        <w:tc>
          <w:tcPr>
            <w:tcW w:w="798" w:type="pct"/>
          </w:tcPr>
          <w:p w14:paraId="7F5E53E0" w14:textId="77777777" w:rsidR="00D517B2" w:rsidRPr="00D517B2" w:rsidRDefault="00D517B2" w:rsidP="00D517B2">
            <w:pPr>
              <w:spacing w:before="0" w:line="240" w:lineRule="auto"/>
              <w:rPr>
                <w:b/>
                <w:bCs/>
                <w:rtl/>
                <w:lang w:bidi="ar-EG"/>
              </w:rPr>
            </w:pPr>
            <w:r w:rsidRPr="00D517B2">
              <w:rPr>
                <w:noProof/>
              </w:rPr>
              <w:drawing>
                <wp:inline distT="0" distB="0" distL="0" distR="0" wp14:anchorId="0ADB9267" wp14:editId="248C3703">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60C4B5CE"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757F7C5F"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174AAF34" w14:textId="77777777" w:rsidTr="001E2788">
        <w:trPr>
          <w:cantSplit/>
          <w:jc w:val="center"/>
        </w:trPr>
        <w:tc>
          <w:tcPr>
            <w:tcW w:w="810" w:type="pct"/>
          </w:tcPr>
          <w:p w14:paraId="5EB9B2EB" w14:textId="77777777" w:rsidR="00D517B2" w:rsidRPr="00D517B2" w:rsidRDefault="00D517B2" w:rsidP="00BB0F08">
            <w:pPr>
              <w:spacing w:line="300" w:lineRule="exact"/>
              <w:jc w:val="left"/>
              <w:rPr>
                <w:position w:val="2"/>
              </w:rPr>
            </w:pPr>
          </w:p>
        </w:tc>
        <w:tc>
          <w:tcPr>
            <w:tcW w:w="1984" w:type="pct"/>
          </w:tcPr>
          <w:p w14:paraId="1511CB06" w14:textId="77777777" w:rsidR="00D517B2" w:rsidRPr="00D517B2" w:rsidRDefault="00D517B2" w:rsidP="00BB0F08">
            <w:pPr>
              <w:spacing w:line="300" w:lineRule="exact"/>
              <w:jc w:val="left"/>
              <w:rPr>
                <w:position w:val="2"/>
              </w:rPr>
            </w:pPr>
          </w:p>
        </w:tc>
        <w:tc>
          <w:tcPr>
            <w:tcW w:w="2206" w:type="pct"/>
          </w:tcPr>
          <w:p w14:paraId="66A65D00" w14:textId="77777777" w:rsidR="00D517B2" w:rsidRPr="00873469" w:rsidRDefault="00D517B2" w:rsidP="00BB0F08">
            <w:pPr>
              <w:spacing w:line="300" w:lineRule="exact"/>
              <w:jc w:val="left"/>
              <w:rPr>
                <w:position w:val="2"/>
                <w:lang w:bidi="ar-EG"/>
              </w:rPr>
            </w:pPr>
          </w:p>
        </w:tc>
      </w:tr>
      <w:tr w:rsidR="00D517B2" w:rsidRPr="00D517B2" w14:paraId="5FD2912F" w14:textId="77777777" w:rsidTr="001E2788">
        <w:trPr>
          <w:cantSplit/>
          <w:jc w:val="center"/>
        </w:trPr>
        <w:tc>
          <w:tcPr>
            <w:tcW w:w="810" w:type="pct"/>
          </w:tcPr>
          <w:p w14:paraId="27302E71" w14:textId="77777777" w:rsidR="00D517B2" w:rsidRPr="00D517B2" w:rsidRDefault="00D517B2" w:rsidP="006019C6">
            <w:pPr>
              <w:spacing w:before="80" w:line="300" w:lineRule="exact"/>
              <w:jc w:val="left"/>
              <w:rPr>
                <w:position w:val="2"/>
              </w:rPr>
            </w:pPr>
          </w:p>
        </w:tc>
        <w:tc>
          <w:tcPr>
            <w:tcW w:w="1984" w:type="pct"/>
          </w:tcPr>
          <w:p w14:paraId="7E7262A3" w14:textId="77777777" w:rsidR="00D517B2" w:rsidRPr="00D517B2" w:rsidRDefault="00D517B2" w:rsidP="006019C6">
            <w:pPr>
              <w:spacing w:before="80" w:line="300" w:lineRule="exact"/>
              <w:jc w:val="left"/>
              <w:rPr>
                <w:position w:val="2"/>
                <w:lang w:bidi="ar-EG"/>
              </w:rPr>
            </w:pPr>
          </w:p>
        </w:tc>
        <w:tc>
          <w:tcPr>
            <w:tcW w:w="2206" w:type="pct"/>
          </w:tcPr>
          <w:p w14:paraId="053F1342" w14:textId="305A0722"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CB3D9A">
              <w:rPr>
                <w:position w:val="2"/>
              </w:rPr>
              <w:t>13</w:t>
            </w:r>
            <w:r w:rsidR="00CB3D9A">
              <w:rPr>
                <w:rFonts w:hint="cs"/>
                <w:position w:val="2"/>
                <w:rtl/>
                <w:lang w:bidi="ar-EG"/>
              </w:rPr>
              <w:t xml:space="preserve"> فبراير</w:t>
            </w:r>
            <w:r w:rsidR="007139D8">
              <w:rPr>
                <w:rFonts w:hint="cs"/>
                <w:position w:val="2"/>
                <w:rtl/>
              </w:rPr>
              <w:t xml:space="preserve"> </w:t>
            </w:r>
            <w:r w:rsidR="008D5A6F">
              <w:rPr>
                <w:position w:val="2"/>
              </w:rPr>
              <w:t>2026</w:t>
            </w:r>
          </w:p>
        </w:tc>
      </w:tr>
      <w:tr w:rsidR="00372F67" w:rsidRPr="00D517B2" w14:paraId="7CDBFD36" w14:textId="77777777" w:rsidTr="001E2788">
        <w:trPr>
          <w:cantSplit/>
          <w:jc w:val="center"/>
        </w:trPr>
        <w:tc>
          <w:tcPr>
            <w:tcW w:w="810" w:type="pct"/>
          </w:tcPr>
          <w:p w14:paraId="2C18997C"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46C4E29E" w14:textId="63AA36F8" w:rsidR="00372F67" w:rsidRPr="00D517B2" w:rsidRDefault="00372F67" w:rsidP="00AF2F01">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AF2F01">
              <w:rPr>
                <w:b/>
                <w:position w:val="2"/>
              </w:rPr>
              <w:t>112</w:t>
            </w:r>
            <w:r>
              <w:rPr>
                <w:b/>
                <w:position w:val="2"/>
              </w:rPr>
              <w:br/>
            </w:r>
            <w:r w:rsidR="00AF2F01" w:rsidRPr="00AF2F01">
              <w:rPr>
                <w:bCs/>
                <w:position w:val="2"/>
                <w:lang w:val="en-GB"/>
              </w:rPr>
              <w:t>TSB Events/XY</w:t>
            </w:r>
          </w:p>
        </w:tc>
        <w:tc>
          <w:tcPr>
            <w:tcW w:w="2206" w:type="pct"/>
            <w:vMerge w:val="restart"/>
          </w:tcPr>
          <w:p w14:paraId="0A36A690" w14:textId="77777777" w:rsidR="00372F67" w:rsidRPr="00961B1F" w:rsidRDefault="00372F67" w:rsidP="001F4353">
            <w:pPr>
              <w:tabs>
                <w:tab w:val="clear" w:pos="794"/>
                <w:tab w:val="left" w:pos="284"/>
              </w:tabs>
              <w:spacing w:before="80" w:after="60" w:line="300" w:lineRule="exact"/>
              <w:jc w:val="left"/>
              <w:rPr>
                <w:b/>
                <w:bCs/>
                <w:position w:val="2"/>
                <w:rtl/>
                <w:lang w:bidi="ar-EG"/>
              </w:rPr>
            </w:pPr>
            <w:r w:rsidRPr="00961B1F">
              <w:rPr>
                <w:rFonts w:hint="cs"/>
                <w:b/>
                <w:bCs/>
                <w:position w:val="2"/>
                <w:rtl/>
              </w:rPr>
              <w:t>إلى:</w:t>
            </w:r>
          </w:p>
          <w:p w14:paraId="6DA089A6" w14:textId="68ED5085" w:rsidR="00372F67" w:rsidRPr="00961B1F" w:rsidRDefault="00372F67" w:rsidP="001F4353">
            <w:pPr>
              <w:tabs>
                <w:tab w:val="clear" w:pos="794"/>
                <w:tab w:val="left" w:pos="284"/>
              </w:tabs>
              <w:spacing w:before="80" w:after="60" w:line="300" w:lineRule="exact"/>
              <w:ind w:left="284" w:hanging="284"/>
              <w:jc w:val="left"/>
              <w:rPr>
                <w:position w:val="2"/>
                <w:rtl/>
              </w:rPr>
            </w:pPr>
            <w:r w:rsidRPr="00961B1F">
              <w:rPr>
                <w:rFonts w:hint="cs"/>
                <w:position w:val="2"/>
                <w:rtl/>
              </w:rPr>
              <w:t>-</w:t>
            </w:r>
            <w:r w:rsidRPr="00961B1F">
              <w:rPr>
                <w:position w:val="2"/>
                <w:rtl/>
              </w:rPr>
              <w:tab/>
            </w:r>
            <w:r w:rsidRPr="00961B1F">
              <w:rPr>
                <w:rFonts w:hint="cs"/>
                <w:position w:val="2"/>
                <w:rtl/>
              </w:rPr>
              <w:t>إدارات الدول الأعضاء في الاتحاد؛</w:t>
            </w:r>
          </w:p>
          <w:p w14:paraId="76175045" w14:textId="113D88FA" w:rsidR="00B368FA" w:rsidRPr="00961B1F" w:rsidRDefault="00B368FA" w:rsidP="00B368FA">
            <w:pPr>
              <w:tabs>
                <w:tab w:val="clear" w:pos="794"/>
                <w:tab w:val="left" w:pos="284"/>
              </w:tabs>
              <w:spacing w:before="80" w:after="60" w:line="300" w:lineRule="exact"/>
              <w:ind w:left="284" w:hanging="284"/>
              <w:jc w:val="left"/>
              <w:rPr>
                <w:position w:val="2"/>
                <w:rtl/>
              </w:rPr>
            </w:pPr>
            <w:r w:rsidRPr="00961B1F">
              <w:rPr>
                <w:rFonts w:hint="cs"/>
                <w:position w:val="2"/>
                <w:rtl/>
              </w:rPr>
              <w:t>-</w:t>
            </w:r>
            <w:r w:rsidRPr="00961B1F">
              <w:rPr>
                <w:position w:val="2"/>
                <w:rtl/>
              </w:rPr>
              <w:tab/>
              <w:t xml:space="preserve">دولة فلسطين </w:t>
            </w:r>
            <w:r w:rsidR="00AD0006">
              <w:rPr>
                <w:position w:val="2"/>
              </w:rPr>
              <w:t>)</w:t>
            </w:r>
            <w:r w:rsidRPr="00961B1F">
              <w:rPr>
                <w:position w:val="2"/>
                <w:rtl/>
              </w:rPr>
              <w:t>القرار 99 (المراجَع في دبي، 2018)</w:t>
            </w:r>
            <w:r w:rsidR="00AD0006">
              <w:rPr>
                <w:position w:val="2"/>
              </w:rPr>
              <w:t>(</w:t>
            </w:r>
            <w:r w:rsidRPr="00961B1F">
              <w:rPr>
                <w:rFonts w:hint="cs"/>
                <w:position w:val="2"/>
                <w:rtl/>
              </w:rPr>
              <w:t>؛</w:t>
            </w:r>
          </w:p>
          <w:p w14:paraId="42CD8D01" w14:textId="77777777" w:rsidR="00372F67" w:rsidRPr="00961B1F" w:rsidRDefault="00372F67" w:rsidP="001F4353">
            <w:pPr>
              <w:tabs>
                <w:tab w:val="left" w:pos="284"/>
                <w:tab w:val="left" w:pos="4111"/>
              </w:tabs>
              <w:spacing w:before="80" w:after="60" w:line="300" w:lineRule="exact"/>
              <w:ind w:left="284" w:hanging="284"/>
              <w:rPr>
                <w:position w:val="2"/>
                <w:rtl/>
                <w:lang w:bidi="ar-EG"/>
              </w:rPr>
            </w:pPr>
            <w:r w:rsidRPr="00961B1F">
              <w:rPr>
                <w:rFonts w:hint="cs"/>
                <w:position w:val="2"/>
                <w:rtl/>
              </w:rPr>
              <w:t>-</w:t>
            </w:r>
            <w:r w:rsidRPr="00961B1F">
              <w:rPr>
                <w:position w:val="2"/>
                <w:rtl/>
              </w:rPr>
              <w:tab/>
            </w:r>
            <w:r w:rsidRPr="00961B1F">
              <w:rPr>
                <w:rFonts w:hint="cs"/>
                <w:position w:val="2"/>
                <w:rtl/>
                <w:lang w:bidi="ar-EG"/>
              </w:rPr>
              <w:t>أعضاء قطاع تقييس الاتصالات بالاتحاد؛</w:t>
            </w:r>
          </w:p>
          <w:p w14:paraId="62A74830" w14:textId="77777777" w:rsidR="00372F67" w:rsidRPr="00961B1F" w:rsidRDefault="00372F67" w:rsidP="001F4353">
            <w:pPr>
              <w:tabs>
                <w:tab w:val="left" w:pos="284"/>
                <w:tab w:val="left" w:pos="4111"/>
              </w:tabs>
              <w:spacing w:before="80" w:after="60" w:line="300" w:lineRule="exact"/>
              <w:ind w:left="284" w:hanging="284"/>
              <w:rPr>
                <w:position w:val="2"/>
                <w:rtl/>
                <w:lang w:bidi="ar-EG"/>
              </w:rPr>
            </w:pPr>
            <w:r w:rsidRPr="00961B1F">
              <w:rPr>
                <w:rFonts w:hint="cs"/>
                <w:position w:val="2"/>
                <w:rtl/>
              </w:rPr>
              <w:t>-</w:t>
            </w:r>
            <w:r w:rsidRPr="00961B1F">
              <w:rPr>
                <w:position w:val="2"/>
                <w:rtl/>
              </w:rPr>
              <w:tab/>
            </w:r>
            <w:r w:rsidRPr="00961B1F">
              <w:rPr>
                <w:rFonts w:hint="cs"/>
                <w:position w:val="2"/>
                <w:rtl/>
              </w:rPr>
              <w:t>المنتسبين إلى قطاع تقييس الاتصالات؛</w:t>
            </w:r>
          </w:p>
          <w:p w14:paraId="468937B2" w14:textId="77777777" w:rsidR="00372F67" w:rsidRPr="00961B1F" w:rsidRDefault="00372F67" w:rsidP="001F4353">
            <w:pPr>
              <w:tabs>
                <w:tab w:val="clear" w:pos="794"/>
                <w:tab w:val="left" w:pos="284"/>
              </w:tabs>
              <w:spacing w:before="80" w:after="60" w:line="300" w:lineRule="exact"/>
              <w:ind w:left="284" w:hanging="284"/>
              <w:jc w:val="left"/>
              <w:rPr>
                <w:position w:val="2"/>
                <w:rtl/>
              </w:rPr>
            </w:pPr>
            <w:r w:rsidRPr="00961B1F">
              <w:rPr>
                <w:rFonts w:hint="cs"/>
                <w:position w:val="2"/>
                <w:rtl/>
              </w:rPr>
              <w:t>-</w:t>
            </w:r>
            <w:r w:rsidRPr="00961B1F">
              <w:rPr>
                <w:position w:val="2"/>
                <w:rtl/>
              </w:rPr>
              <w:tab/>
            </w:r>
            <w:r w:rsidRPr="00961B1F">
              <w:rPr>
                <w:rFonts w:hint="cs"/>
                <w:position w:val="2"/>
                <w:rtl/>
              </w:rPr>
              <w:t>الهيئات الأكاديمية المنضمة إلى</w:t>
            </w:r>
            <w:r w:rsidRPr="00961B1F">
              <w:rPr>
                <w:rFonts w:hint="cs"/>
                <w:position w:val="2"/>
                <w:rtl/>
                <w:lang w:bidi="ar-EG"/>
              </w:rPr>
              <w:t xml:space="preserve"> الاتحاد</w:t>
            </w:r>
          </w:p>
          <w:p w14:paraId="192A94D6" w14:textId="77777777" w:rsidR="00372F67" w:rsidRPr="00961B1F" w:rsidRDefault="00372F67" w:rsidP="001F4353">
            <w:pPr>
              <w:tabs>
                <w:tab w:val="clear" w:pos="794"/>
                <w:tab w:val="left" w:pos="284"/>
              </w:tabs>
              <w:spacing w:before="80" w:after="60" w:line="300" w:lineRule="exact"/>
              <w:ind w:left="284" w:hanging="284"/>
              <w:jc w:val="left"/>
              <w:rPr>
                <w:b/>
                <w:bCs/>
                <w:position w:val="2"/>
                <w:rtl/>
              </w:rPr>
            </w:pPr>
            <w:r w:rsidRPr="00961B1F">
              <w:rPr>
                <w:rFonts w:hint="cs"/>
                <w:b/>
                <w:bCs/>
                <w:position w:val="2"/>
                <w:rtl/>
              </w:rPr>
              <w:t>نسخة إلى:</w:t>
            </w:r>
          </w:p>
          <w:p w14:paraId="119CA22C" w14:textId="77777777" w:rsidR="00372F67" w:rsidRPr="00961B1F"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961B1F">
              <w:rPr>
                <w:rFonts w:hint="cs"/>
                <w:position w:val="2"/>
                <w:rtl/>
              </w:rPr>
              <w:t>-</w:t>
            </w:r>
            <w:r w:rsidRPr="00961B1F">
              <w:rPr>
                <w:position w:val="2"/>
                <w:rtl/>
              </w:rPr>
              <w:tab/>
            </w:r>
            <w:r w:rsidRPr="00961B1F">
              <w:rPr>
                <w:rFonts w:eastAsia="Times New Roman" w:hint="cs"/>
                <w:position w:val="2"/>
                <w:rtl/>
                <w:lang w:eastAsia="en-US"/>
              </w:rPr>
              <w:t>رؤساء لجان الدراسات</w:t>
            </w:r>
            <w:r w:rsidRPr="00961B1F">
              <w:rPr>
                <w:rFonts w:eastAsia="Times New Roman" w:hint="cs"/>
                <w:position w:val="2"/>
                <w:rtl/>
                <w:lang w:eastAsia="en-US" w:bidi="ar-EG"/>
              </w:rPr>
              <w:t xml:space="preserve"> ونوابهم</w:t>
            </w:r>
            <w:r w:rsidRPr="00961B1F">
              <w:rPr>
                <w:rFonts w:eastAsia="Times New Roman" w:hint="cs"/>
                <w:position w:val="2"/>
                <w:rtl/>
                <w:lang w:eastAsia="en-US"/>
              </w:rPr>
              <w:t>؛</w:t>
            </w:r>
          </w:p>
          <w:p w14:paraId="41062FF3" w14:textId="77777777" w:rsidR="00372F67" w:rsidRPr="00961B1F"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961B1F">
              <w:rPr>
                <w:rFonts w:eastAsia="Times New Roman" w:hint="cs"/>
                <w:position w:val="2"/>
                <w:rtl/>
                <w:lang w:eastAsia="en-US"/>
              </w:rPr>
              <w:t>-</w:t>
            </w:r>
            <w:r w:rsidRPr="00961B1F">
              <w:rPr>
                <w:rFonts w:eastAsia="Times New Roman"/>
                <w:position w:val="2"/>
                <w:rtl/>
                <w:lang w:eastAsia="en-US"/>
              </w:rPr>
              <w:tab/>
              <w:t>مدير مكتب تنمية الاتصالات</w:t>
            </w:r>
            <w:r w:rsidRPr="00961B1F">
              <w:rPr>
                <w:rFonts w:eastAsia="Times New Roman" w:hint="cs"/>
                <w:position w:val="2"/>
                <w:rtl/>
                <w:lang w:eastAsia="en-US"/>
              </w:rPr>
              <w:t>؛</w:t>
            </w:r>
          </w:p>
          <w:p w14:paraId="5C70CABB" w14:textId="77777777" w:rsidR="00372F67" w:rsidRPr="00961B1F" w:rsidRDefault="00372F67" w:rsidP="00E02440">
            <w:pPr>
              <w:tabs>
                <w:tab w:val="left" w:pos="284"/>
                <w:tab w:val="left" w:pos="4111"/>
              </w:tabs>
              <w:spacing w:before="80" w:after="60" w:line="300" w:lineRule="exact"/>
              <w:ind w:left="284" w:hanging="284"/>
              <w:rPr>
                <w:rFonts w:eastAsia="Times New Roman"/>
                <w:position w:val="2"/>
                <w:rtl/>
                <w:lang w:eastAsia="en-US"/>
              </w:rPr>
            </w:pPr>
            <w:r w:rsidRPr="00961B1F">
              <w:rPr>
                <w:rFonts w:eastAsia="Times New Roman" w:hint="cs"/>
                <w:position w:val="2"/>
                <w:rtl/>
                <w:lang w:eastAsia="en-US"/>
              </w:rPr>
              <w:t>-</w:t>
            </w:r>
            <w:r w:rsidRPr="00961B1F">
              <w:rPr>
                <w:rFonts w:eastAsia="Times New Roman"/>
                <w:position w:val="2"/>
                <w:rtl/>
                <w:lang w:eastAsia="en-US"/>
              </w:rPr>
              <w:tab/>
              <w:t>مدير مكتب الاتصالات الراديوية</w:t>
            </w:r>
            <w:r w:rsidR="00961B1F" w:rsidRPr="00961B1F">
              <w:rPr>
                <w:rFonts w:eastAsia="Times New Roman" w:hint="cs"/>
                <w:position w:val="2"/>
                <w:rtl/>
                <w:lang w:eastAsia="en-US"/>
              </w:rPr>
              <w:t>؛</w:t>
            </w:r>
          </w:p>
          <w:p w14:paraId="256A5F6F" w14:textId="5FFA4448" w:rsidR="00961B1F" w:rsidRPr="00D517B2" w:rsidRDefault="00961B1F" w:rsidP="00961B1F">
            <w:pPr>
              <w:tabs>
                <w:tab w:val="left" w:pos="284"/>
                <w:tab w:val="left" w:pos="4111"/>
              </w:tabs>
              <w:spacing w:before="80" w:after="60" w:line="300" w:lineRule="exact"/>
              <w:ind w:left="284" w:hanging="284"/>
              <w:rPr>
                <w:position w:val="2"/>
                <w:rtl/>
              </w:rPr>
            </w:pPr>
            <w:r w:rsidRPr="00961B1F">
              <w:rPr>
                <w:rFonts w:eastAsia="Times New Roman" w:hint="cs"/>
                <w:position w:val="2"/>
                <w:rtl/>
                <w:lang w:eastAsia="en-US"/>
              </w:rPr>
              <w:t>-</w:t>
            </w:r>
            <w:r w:rsidRPr="00961B1F">
              <w:rPr>
                <w:rFonts w:eastAsia="Times New Roman"/>
                <w:position w:val="2"/>
                <w:rtl/>
                <w:lang w:eastAsia="en-US"/>
              </w:rPr>
              <w:tab/>
              <w:t>مديري المكاتب الإقليمية للاتحاد</w:t>
            </w:r>
          </w:p>
        </w:tc>
      </w:tr>
      <w:tr w:rsidR="00372F67" w:rsidRPr="00D517B2" w14:paraId="5183A664" w14:textId="77777777" w:rsidTr="001E2788">
        <w:trPr>
          <w:cantSplit/>
          <w:jc w:val="center"/>
        </w:trPr>
        <w:tc>
          <w:tcPr>
            <w:tcW w:w="810" w:type="pct"/>
          </w:tcPr>
          <w:p w14:paraId="1E8E034B" w14:textId="77777777" w:rsidR="00372F67" w:rsidRPr="00A9156F" w:rsidRDefault="00372F67" w:rsidP="001E2788">
            <w:pPr>
              <w:spacing w:before="80" w:after="60" w:line="300" w:lineRule="exact"/>
              <w:jc w:val="left"/>
              <w:rPr>
                <w:b/>
                <w:bCs/>
                <w:position w:val="2"/>
                <w:lang w:bidi="ar-EG"/>
              </w:rPr>
            </w:pPr>
            <w:r>
              <w:rPr>
                <w:rFonts w:hint="cs"/>
                <w:b/>
                <w:bCs/>
                <w:position w:val="2"/>
                <w:rtl/>
                <w:lang w:bidi="ar-EG"/>
              </w:rPr>
              <w:t>للاتصال:</w:t>
            </w:r>
          </w:p>
        </w:tc>
        <w:tc>
          <w:tcPr>
            <w:tcW w:w="1984" w:type="pct"/>
          </w:tcPr>
          <w:p w14:paraId="492125B1" w14:textId="0CFBD0EE" w:rsidR="00372F67" w:rsidRPr="00D517B2" w:rsidRDefault="00B368FA" w:rsidP="00B368FA">
            <w:pPr>
              <w:spacing w:before="80" w:after="60" w:line="300" w:lineRule="exact"/>
              <w:jc w:val="left"/>
              <w:rPr>
                <w:b/>
                <w:position w:val="2"/>
              </w:rPr>
            </w:pPr>
            <w:r w:rsidRPr="00B368FA">
              <w:rPr>
                <w:b/>
                <w:bCs/>
                <w:position w:val="2"/>
                <w:lang w:val="en-GB"/>
              </w:rPr>
              <w:t>Xiaoya Yang</w:t>
            </w:r>
          </w:p>
        </w:tc>
        <w:tc>
          <w:tcPr>
            <w:tcW w:w="2206" w:type="pct"/>
            <w:vMerge/>
          </w:tcPr>
          <w:p w14:paraId="17AFE227"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65DC5718" w14:textId="77777777" w:rsidTr="001E2788">
        <w:trPr>
          <w:cantSplit/>
          <w:jc w:val="center"/>
        </w:trPr>
        <w:tc>
          <w:tcPr>
            <w:tcW w:w="810" w:type="pct"/>
          </w:tcPr>
          <w:p w14:paraId="42933B52" w14:textId="77777777" w:rsidR="00372F67" w:rsidRDefault="00372F67" w:rsidP="001E2788">
            <w:pPr>
              <w:spacing w:before="80" w:after="60" w:line="300" w:lineRule="exact"/>
              <w:jc w:val="left"/>
              <w:rPr>
                <w:b/>
                <w:bCs/>
                <w:position w:val="2"/>
                <w:rtl/>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25578F55" w14:textId="6C6B9102" w:rsidR="00372F67" w:rsidRDefault="00B368FA" w:rsidP="00B368FA">
            <w:pPr>
              <w:spacing w:before="80" w:after="60" w:line="300" w:lineRule="exact"/>
              <w:jc w:val="left"/>
              <w:rPr>
                <w:b/>
                <w:bCs/>
                <w:position w:val="2"/>
                <w:rtl/>
                <w:lang w:bidi="ar-EG"/>
              </w:rPr>
            </w:pPr>
            <w:r w:rsidRPr="00B368FA">
              <w:rPr>
                <w:position w:val="2"/>
                <w:lang w:val="en-GB"/>
              </w:rPr>
              <w:t>+41 22 730 6206</w:t>
            </w:r>
          </w:p>
        </w:tc>
        <w:tc>
          <w:tcPr>
            <w:tcW w:w="2206" w:type="pct"/>
            <w:vMerge/>
          </w:tcPr>
          <w:p w14:paraId="2B2281DA"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4A972352" w14:textId="77777777" w:rsidTr="001E2788">
        <w:trPr>
          <w:cantSplit/>
          <w:jc w:val="center"/>
        </w:trPr>
        <w:tc>
          <w:tcPr>
            <w:tcW w:w="810" w:type="pct"/>
          </w:tcPr>
          <w:p w14:paraId="510617D2"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984" w:type="pct"/>
          </w:tcPr>
          <w:p w14:paraId="71CCC6E7" w14:textId="6187D508" w:rsidR="00372F67" w:rsidRPr="00D517B2" w:rsidRDefault="00B368FA" w:rsidP="00B368FA">
            <w:pPr>
              <w:spacing w:before="80" w:after="60" w:line="300" w:lineRule="exact"/>
              <w:jc w:val="left"/>
              <w:rPr>
                <w:position w:val="2"/>
              </w:rPr>
            </w:pPr>
            <w:r w:rsidRPr="00B368FA">
              <w:rPr>
                <w:position w:val="2"/>
                <w:lang w:val="en-GB"/>
              </w:rPr>
              <w:t>+41 22 730 5853</w:t>
            </w:r>
          </w:p>
        </w:tc>
        <w:tc>
          <w:tcPr>
            <w:tcW w:w="2206" w:type="pct"/>
            <w:vMerge/>
          </w:tcPr>
          <w:p w14:paraId="57F7702C"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44C3A457" w14:textId="77777777" w:rsidTr="001E2788">
        <w:trPr>
          <w:cantSplit/>
          <w:jc w:val="center"/>
        </w:trPr>
        <w:tc>
          <w:tcPr>
            <w:tcW w:w="810" w:type="pct"/>
          </w:tcPr>
          <w:p w14:paraId="2332EABD"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7364285A" w14:textId="7A3706E3" w:rsidR="00372F67" w:rsidRPr="006E1BAD" w:rsidRDefault="00B368FA" w:rsidP="00CE1C08">
            <w:pPr>
              <w:spacing w:before="80" w:after="60" w:line="300" w:lineRule="exact"/>
              <w:jc w:val="left"/>
              <w:rPr>
                <w:position w:val="2"/>
                <w:highlight w:val="magenta"/>
                <w:rtl/>
                <w:lang w:bidi="ar-EG"/>
              </w:rPr>
            </w:pPr>
            <w:r w:rsidRPr="00E61CA4">
              <w:rPr>
                <w:rStyle w:val="Hyperlink"/>
              </w:rPr>
              <w:t>tsbevents@itu.int</w:t>
            </w:r>
          </w:p>
        </w:tc>
        <w:tc>
          <w:tcPr>
            <w:tcW w:w="2206" w:type="pct"/>
            <w:vMerge/>
          </w:tcPr>
          <w:p w14:paraId="646D00C6"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123E0615" w14:textId="77777777" w:rsidTr="001E2788">
        <w:trPr>
          <w:cantSplit/>
          <w:jc w:val="center"/>
        </w:trPr>
        <w:tc>
          <w:tcPr>
            <w:tcW w:w="810" w:type="pct"/>
          </w:tcPr>
          <w:p w14:paraId="2084737A" w14:textId="77777777" w:rsidR="00CE1C08" w:rsidRPr="00A9156F" w:rsidRDefault="00CE1C08" w:rsidP="00CE1C08">
            <w:pPr>
              <w:spacing w:before="80" w:after="60" w:line="300" w:lineRule="exact"/>
              <w:jc w:val="left"/>
              <w:rPr>
                <w:b/>
                <w:bCs/>
                <w:position w:val="2"/>
                <w:rtl/>
                <w:lang w:bidi="ar-EG"/>
              </w:rPr>
            </w:pPr>
          </w:p>
        </w:tc>
        <w:tc>
          <w:tcPr>
            <w:tcW w:w="1984" w:type="pct"/>
          </w:tcPr>
          <w:p w14:paraId="144EC8F1" w14:textId="77777777" w:rsidR="00CE1C08" w:rsidRPr="00D517B2" w:rsidRDefault="00CE1C08" w:rsidP="00CE1C08">
            <w:pPr>
              <w:spacing w:before="80" w:after="60" w:line="300" w:lineRule="exact"/>
              <w:jc w:val="left"/>
              <w:rPr>
                <w:position w:val="2"/>
              </w:rPr>
            </w:pPr>
          </w:p>
        </w:tc>
        <w:tc>
          <w:tcPr>
            <w:tcW w:w="2206" w:type="pct"/>
          </w:tcPr>
          <w:p w14:paraId="2D7F932E" w14:textId="77777777" w:rsidR="00CE1C08" w:rsidRPr="00D517B2" w:rsidRDefault="00CE1C08" w:rsidP="00CE1C08">
            <w:pPr>
              <w:spacing w:before="80" w:after="60" w:line="300" w:lineRule="exact"/>
              <w:jc w:val="left"/>
              <w:rPr>
                <w:position w:val="2"/>
                <w:rtl/>
              </w:rPr>
            </w:pPr>
          </w:p>
        </w:tc>
      </w:tr>
      <w:tr w:rsidR="00CE1C08" w:rsidRPr="00D517B2" w14:paraId="64BD8A44" w14:textId="77777777" w:rsidTr="001E2788">
        <w:trPr>
          <w:cantSplit/>
          <w:jc w:val="center"/>
        </w:trPr>
        <w:tc>
          <w:tcPr>
            <w:tcW w:w="810" w:type="pct"/>
          </w:tcPr>
          <w:p w14:paraId="707C1A35"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64066780" w14:textId="65EF3CF9" w:rsidR="00CE1C08" w:rsidRPr="00D517B2" w:rsidRDefault="00961B1F" w:rsidP="00961B1F">
            <w:pPr>
              <w:spacing w:before="80" w:after="60" w:line="300" w:lineRule="exact"/>
              <w:jc w:val="left"/>
              <w:rPr>
                <w:position w:val="2"/>
                <w:rtl/>
              </w:rPr>
            </w:pPr>
            <w:r w:rsidRPr="00961B1F">
              <w:rPr>
                <w:b/>
                <w:bCs/>
                <w:position w:val="2"/>
                <w:rtl/>
              </w:rPr>
              <w:t>اليوم الخامس للتوصية ITU-T X.509 (جنيف، سويسرا، 12 مايو 2026)</w:t>
            </w:r>
          </w:p>
        </w:tc>
      </w:tr>
    </w:tbl>
    <w:p w14:paraId="566E3AB4" w14:textId="77777777" w:rsidR="00D517B2" w:rsidRPr="00D517B2" w:rsidRDefault="00D517B2" w:rsidP="00BA56F9">
      <w:pPr>
        <w:spacing w:before="360"/>
        <w:rPr>
          <w:lang w:bidi="ar-SY"/>
        </w:rPr>
      </w:pPr>
      <w:r w:rsidRPr="00D517B2">
        <w:rPr>
          <w:rFonts w:hint="cs"/>
          <w:rtl/>
          <w:lang w:bidi="ar-SY"/>
        </w:rPr>
        <w:t>حضرات السادة والسيدات،</w:t>
      </w:r>
    </w:p>
    <w:p w14:paraId="5DCEE9B9" w14:textId="77777777" w:rsidR="00D517B2" w:rsidRPr="00D517B2" w:rsidRDefault="00D517B2" w:rsidP="00D517B2">
      <w:pPr>
        <w:rPr>
          <w:rtl/>
          <w:lang w:bidi="ar-EG"/>
        </w:rPr>
      </w:pPr>
      <w:r w:rsidRPr="00D517B2">
        <w:rPr>
          <w:rFonts w:hint="cs"/>
          <w:rtl/>
        </w:rPr>
        <w:t>تحية طيبة وبعد،</w:t>
      </w:r>
    </w:p>
    <w:p w14:paraId="41187450" w14:textId="77777777" w:rsidR="00C24F58" w:rsidRPr="00C24F58" w:rsidRDefault="00C24F58" w:rsidP="00C24F58">
      <w:pPr>
        <w:rPr>
          <w:rtl/>
        </w:rPr>
      </w:pPr>
      <w:r w:rsidRPr="00C24F58">
        <w:rPr>
          <w:rtl/>
        </w:rPr>
        <w:t>1</w:t>
      </w:r>
      <w:r w:rsidRPr="00C24F58">
        <w:rPr>
          <w:rtl/>
        </w:rPr>
        <w:tab/>
        <w:t xml:space="preserve">يسرني أن أحيطكم علماً بأن الاتحاد الدولي للاتصالات </w:t>
      </w:r>
      <w:r w:rsidRPr="00C24F58">
        <w:rPr>
          <w:lang w:val="en-GB" w:bidi="ar-SY"/>
        </w:rPr>
        <w:t>(ITU)</w:t>
      </w:r>
      <w:r w:rsidRPr="00C24F58">
        <w:rPr>
          <w:rtl/>
        </w:rPr>
        <w:t xml:space="preserve"> بصدد تنظيم </w:t>
      </w:r>
      <w:r w:rsidRPr="00C24F58">
        <w:rPr>
          <w:b/>
          <w:bCs/>
          <w:rtl/>
        </w:rPr>
        <w:t xml:space="preserve">اليوم الخامس للتوصية ITU-T X.509 </w:t>
      </w:r>
      <w:r w:rsidRPr="00C24F58">
        <w:rPr>
          <w:rtl/>
        </w:rPr>
        <w:t xml:space="preserve">الذي سيُعقد في </w:t>
      </w:r>
      <w:r w:rsidRPr="00C24F58">
        <w:rPr>
          <w:b/>
          <w:bCs/>
          <w:rtl/>
        </w:rPr>
        <w:t>12 مايو 2026 من الساعة 9:00 إلى الساعة 18:00 (بتوقيت جنيف) في مقره في جنيف، سويسرا</w:t>
      </w:r>
      <w:r w:rsidRPr="00C24F58">
        <w:rPr>
          <w:rtl/>
        </w:rPr>
        <w:t>.</w:t>
      </w:r>
    </w:p>
    <w:p w14:paraId="6232E758" w14:textId="4AABAB7E" w:rsidR="00C24F58" w:rsidRPr="00C24F58" w:rsidRDefault="00C24F58" w:rsidP="00C24F58">
      <w:pPr>
        <w:rPr>
          <w:rtl/>
        </w:rPr>
      </w:pPr>
      <w:r w:rsidRPr="00C24F58">
        <w:rPr>
          <w:rtl/>
        </w:rPr>
        <w:t>2</w:t>
      </w:r>
      <w:r w:rsidRPr="00C24F58">
        <w:rPr>
          <w:rtl/>
        </w:rPr>
        <w:tab/>
        <w:t xml:space="preserve">التوصية </w:t>
      </w:r>
      <w:hyperlink r:id="rId9" w:history="1">
        <w:r w:rsidRPr="00C24F58">
          <w:rPr>
            <w:rStyle w:val="Hyperlink"/>
            <w:rtl/>
          </w:rPr>
          <w:t>ITU-</w:t>
        </w:r>
        <w:r w:rsidRPr="00C24F58">
          <w:rPr>
            <w:rStyle w:val="Hyperlink"/>
            <w:rtl/>
          </w:rPr>
          <w:t>T</w:t>
        </w:r>
        <w:r w:rsidRPr="00C24F58">
          <w:rPr>
            <w:rStyle w:val="Hyperlink"/>
            <w:rtl/>
          </w:rPr>
          <w:t xml:space="preserve"> X.509</w:t>
        </w:r>
      </w:hyperlink>
      <w:r w:rsidRPr="00C24F58">
        <w:rPr>
          <w:rtl/>
        </w:rPr>
        <w:t xml:space="preserve"> هي اللغة العالمية المشتركة للبنية التحتية للمفاتيح العمومية </w:t>
      </w:r>
      <w:r w:rsidRPr="00C24F58">
        <w:rPr>
          <w:lang w:val="en-GB" w:bidi="ar-SY"/>
        </w:rPr>
        <w:t>(PKI)</w:t>
      </w:r>
      <w:r w:rsidRPr="00C24F58">
        <w:rPr>
          <w:rtl/>
        </w:rPr>
        <w:t xml:space="preserve"> والبنية التحتية لإدارة الامتيازات </w:t>
      </w:r>
      <w:r w:rsidRPr="00C24F58">
        <w:rPr>
          <w:lang w:val="en-GB" w:bidi="ar-SY"/>
        </w:rPr>
        <w:t>(PMI)</w:t>
      </w:r>
      <w:r w:rsidRPr="00C24F58">
        <w:rPr>
          <w:rtl/>
        </w:rPr>
        <w:t xml:space="preserve">، ما يجعلها توفر إطاراً للشهادات الرقمية وإدارة الثقة. </w:t>
      </w:r>
      <w:hyperlink r:id="rId10"/>
    </w:p>
    <w:p w14:paraId="55E20358" w14:textId="0EE1505D" w:rsidR="00C24F58" w:rsidRPr="00C24F58" w:rsidRDefault="00C24F58" w:rsidP="00C24F58">
      <w:pPr>
        <w:rPr>
          <w:spacing w:val="-2"/>
          <w:rtl/>
        </w:rPr>
      </w:pPr>
      <w:r w:rsidRPr="00C24F58">
        <w:rPr>
          <w:spacing w:val="-2"/>
          <w:rtl/>
        </w:rPr>
        <w:t>نُشرت التوصية ITU-T X.509 لأول مرة في عام 1988، وهي نتاج للتعاون بين الاتحاد واللجنة الاستشارية الدولية للإبراق والمهاتفة</w:t>
      </w:r>
      <w:r w:rsidR="005C00F7">
        <w:rPr>
          <w:rFonts w:hint="cs"/>
          <w:spacing w:val="-2"/>
          <w:rtl/>
        </w:rPr>
        <w:t> </w:t>
      </w:r>
      <w:r w:rsidRPr="00C24F58">
        <w:rPr>
          <w:spacing w:val="-2"/>
          <w:lang w:val="en-GB" w:bidi="ar-SY"/>
        </w:rPr>
        <w:t>(CCITT)</w:t>
      </w:r>
      <w:r w:rsidRPr="00C24F58">
        <w:rPr>
          <w:spacing w:val="-2"/>
          <w:rtl/>
        </w:rPr>
        <w:t xml:space="preserve"> والمنظمة الدولية للتوحيد القياسي </w:t>
      </w:r>
      <w:r w:rsidRPr="00C24F58">
        <w:rPr>
          <w:spacing w:val="-2"/>
          <w:lang w:val="en-GB" w:bidi="ar-SY"/>
        </w:rPr>
        <w:t>(ISO)</w:t>
      </w:r>
      <w:r w:rsidRPr="00C24F58">
        <w:rPr>
          <w:spacing w:val="-2"/>
          <w:rtl/>
        </w:rPr>
        <w:t xml:space="preserve"> واللجنة الكهرتقنية الدولية </w:t>
      </w:r>
      <w:r w:rsidRPr="00C24F58">
        <w:rPr>
          <w:spacing w:val="-2"/>
          <w:lang w:val="en-GB" w:bidi="ar-SY"/>
        </w:rPr>
        <w:t>(IEC)</w:t>
      </w:r>
      <w:r w:rsidRPr="00C24F58">
        <w:rPr>
          <w:spacing w:val="-2"/>
          <w:rtl/>
        </w:rPr>
        <w:t>، وشهدت منذ ذلك الحين تسع طبعات (أُقر آخرها في أكتوبر 2019)، وثمة طبعة عاشرة تخضع للدراسة من أجل تلبية الاحتياجات الناشئة مثل التجفير المؤمَّن بالتكنولوجيا الكمومية. كما أن هياكل الشهادات وقوائم إلغاء الشهادات الخاصة بها تدعم، بفضل قابليتها للتوسع، المعاملات الآمنة في التفاعلات فيما بين المؤسسات التجارية (B2B) وفيما بين المؤسسات التجارية والمستهلكين (B2C) وفيما بين الحكومة والمواطنين (G2C). ويوفر هذا المعيار المعترف به على نطاق واسع أساساً موثوقاً لمجموعة واسعة من الصناعات - من الزراعة والتمويل إلى الرعاية الصحية والنقل والمرافق - ما يجعله لا غنى عنه للشركات والمستهلكين والحكومات في العالم أجمع.</w:t>
      </w:r>
    </w:p>
    <w:p w14:paraId="5AA721C8" w14:textId="24669DFB" w:rsidR="00C24F58" w:rsidRPr="00C24F58" w:rsidRDefault="00C24F58" w:rsidP="00C24F58">
      <w:pPr>
        <w:rPr>
          <w:spacing w:val="-2"/>
          <w:rtl/>
        </w:rPr>
      </w:pPr>
      <w:r w:rsidRPr="00C24F58">
        <w:rPr>
          <w:spacing w:val="-2"/>
          <w:rtl/>
        </w:rPr>
        <w:t>وعلى مدار ما يربو على 38 عاماً من التنفيذ الناجح، حظت التوصية X.509 باعتماد عالمي شبه شامل، ما أدى إلى تمكين قابلية التشغيل البيني وتكنولوجيات الأمن الأساسية عبر عدد لا يحصى من التطبيقات. وابتداءً من عام 2022، نظّم الاتحاد أربعة أحداث سنوية بعنوان "يوم التوصية ITU-T X.509". والجدير بالذكر أن موضوع الحدث الرابع كان "التوصية X.509 في عام 2025</w:t>
      </w:r>
      <w:r w:rsidRPr="00C24F58">
        <w:rPr>
          <w:spacing w:val="-2"/>
          <w:lang w:val="en-GB" w:bidi="ar-SY"/>
        </w:rPr>
        <w:t>:</w:t>
      </w:r>
      <w:r w:rsidRPr="00C24F58">
        <w:rPr>
          <w:spacing w:val="-2"/>
          <w:rtl/>
        </w:rPr>
        <w:t xml:space="preserve"> التنقل في عصر ما بعد الحوسبة الكمومية"، ما يؤكد الأهمية المتزايدة لبيانات الاعتماد المؤمَّنة بالتكنولوجيا الكمومية.</w:t>
      </w:r>
    </w:p>
    <w:p w14:paraId="58C7D530" w14:textId="74D4BD60" w:rsidR="00C24F58" w:rsidRPr="00C24F58" w:rsidRDefault="00C24F58" w:rsidP="00C24F58">
      <w:pPr>
        <w:rPr>
          <w:rtl/>
        </w:rPr>
      </w:pPr>
      <w:r w:rsidRPr="00C24F58">
        <w:rPr>
          <w:rtl/>
        </w:rPr>
        <w:t xml:space="preserve">ومنذ ذلك الحين، تسارع التقدم المحرز في تقييس التجفير ما بعد الحوسبة الكمومية والتطورات الجديدة في مجالات الهوية اللامركزية وأطر الثقة في الذكاء الاصطناعي. وسيستعرض الحدث "اليوم الخامس للتوصية ITU-T X.509" أحدث التطورات، </w:t>
      </w:r>
      <w:r w:rsidRPr="00C24F58">
        <w:rPr>
          <w:rtl/>
        </w:rPr>
        <w:lastRenderedPageBreak/>
        <w:t xml:space="preserve">ويتناول التحديات الناشئة (مثل الاستعداد للحواسيب الكمومية والبنية التحتية اللامركزية للمفاتيح العمومية)، كما سيعرض اعتماد التوصية X.509 عبر القطاعات على أرض الواقع. وسيشمل أيضاً جلسة ورشة عمل تُنظم بالتعاون مع رابطة النظام العالمي للاتصالات المتنقلة </w:t>
      </w:r>
      <w:r w:rsidRPr="00C24F58">
        <w:rPr>
          <w:lang w:val="en-GB" w:bidi="ar-SY"/>
        </w:rPr>
        <w:t>(GSMA)</w:t>
      </w:r>
      <w:r w:rsidRPr="00C24F58">
        <w:rPr>
          <w:rtl/>
        </w:rPr>
        <w:t xml:space="preserve"> بشأن المقاومة الكمومية.</w:t>
      </w:r>
    </w:p>
    <w:p w14:paraId="054A82FC" w14:textId="77777777" w:rsidR="00C24F58" w:rsidRPr="00C24F58" w:rsidRDefault="00C24F58" w:rsidP="00C24F58">
      <w:pPr>
        <w:rPr>
          <w:rtl/>
        </w:rPr>
      </w:pPr>
      <w:r w:rsidRPr="00C24F58">
        <w:rPr>
          <w:rtl/>
        </w:rPr>
        <w:t>3</w:t>
      </w:r>
      <w:r w:rsidRPr="00C24F58">
        <w:rPr>
          <w:rtl/>
        </w:rPr>
        <w:tab/>
        <w:t>وتشمل أهداف اليوم الخامس للتوصية ITU-T X.509 ‏(2026) ما يلي:</w:t>
      </w:r>
      <w:bookmarkStart w:id="0" w:name="_Int_T6yRLhA0"/>
      <w:bookmarkEnd w:id="0"/>
    </w:p>
    <w:p w14:paraId="168FAA48" w14:textId="6859A3D5" w:rsidR="00C24F58" w:rsidRPr="00C24F58" w:rsidRDefault="003B0490" w:rsidP="00CB3A05">
      <w:pPr>
        <w:pStyle w:val="enumlev2"/>
        <w:rPr>
          <w:rtl/>
        </w:rPr>
      </w:pPr>
      <w:r>
        <w:rPr>
          <w:rFonts w:hint="cs"/>
          <w:rtl/>
          <w:lang w:bidi="ar-EG"/>
        </w:rPr>
        <w:t xml:space="preserve"> أ )</w:t>
      </w:r>
      <w:r>
        <w:rPr>
          <w:rtl/>
          <w:lang w:bidi="ar-EG"/>
        </w:rPr>
        <w:tab/>
      </w:r>
      <w:r w:rsidR="00C24F58" w:rsidRPr="00C24F58">
        <w:rPr>
          <w:rtl/>
        </w:rPr>
        <w:t xml:space="preserve">جلسة ورشة عمل تُنظم بالتعاون مع رابطة النظام العالمي للاتصالات المتنقلة بشأن جوانب المقاومة الكمومية للاتصالات، ولا سيما الشبكات المتنقلة التي تتداخل مع البنية التحتية للمفاتيح العمومية </w:t>
      </w:r>
      <w:r w:rsidR="00C24F58" w:rsidRPr="00C24F58">
        <w:rPr>
          <w:lang w:val="en-GB" w:bidi="ar-SY"/>
        </w:rPr>
        <w:t>(PKI)</w:t>
      </w:r>
      <w:r w:rsidR="00C24F58" w:rsidRPr="00C24F58">
        <w:rPr>
          <w:rtl/>
        </w:rPr>
        <w:t xml:space="preserve"> لكنها تتجاوز الاعتماد عليها وحدها، حسب نموذج نشر الشبكة.</w:t>
      </w:r>
    </w:p>
    <w:p w14:paraId="2084507E" w14:textId="079DB1A4" w:rsidR="00C24F58" w:rsidRPr="00C24F58" w:rsidRDefault="003B0490" w:rsidP="00CB3A05">
      <w:pPr>
        <w:pStyle w:val="enumlev2"/>
        <w:rPr>
          <w:rtl/>
        </w:rPr>
      </w:pPr>
      <w:r>
        <w:rPr>
          <w:rFonts w:hint="cs"/>
          <w:rtl/>
          <w:lang w:bidi="ar-EG"/>
        </w:rPr>
        <w:t>ب)</w:t>
      </w:r>
      <w:r>
        <w:rPr>
          <w:rtl/>
          <w:lang w:bidi="ar-EG"/>
        </w:rPr>
        <w:tab/>
      </w:r>
      <w:r w:rsidR="00C24F58" w:rsidRPr="00C24F58">
        <w:rPr>
          <w:rtl/>
        </w:rPr>
        <w:t>في الأفرقة ذات الصلة، استعراض التقدم المحرز في التوصية ITU-T X.509، بما في ذلك التحديثات الناجمة عن العمل الجاري والتعاون.</w:t>
      </w:r>
    </w:p>
    <w:p w14:paraId="0F10BE6E" w14:textId="06E26C50" w:rsidR="00C24F58" w:rsidRPr="00C24F58" w:rsidRDefault="003B0490" w:rsidP="00CB3A05">
      <w:pPr>
        <w:pStyle w:val="enumlev2"/>
        <w:rPr>
          <w:rtl/>
        </w:rPr>
      </w:pPr>
      <w:r>
        <w:rPr>
          <w:rFonts w:hint="cs"/>
          <w:rtl/>
        </w:rPr>
        <w:t>ج</w:t>
      </w:r>
      <w:r w:rsidR="00722BA3">
        <w:rPr>
          <w:rFonts w:hint="cs"/>
          <w:rtl/>
        </w:rPr>
        <w:t>)</w:t>
      </w:r>
      <w:r w:rsidR="00722BA3">
        <w:rPr>
          <w:rtl/>
        </w:rPr>
        <w:tab/>
      </w:r>
      <w:r w:rsidR="00C24F58" w:rsidRPr="00C24F58">
        <w:rPr>
          <w:rtl/>
        </w:rPr>
        <w:t xml:space="preserve">تقييم جاهزية التجفير ما بعد الحوسبة الكمومية </w:t>
      </w:r>
      <w:r w:rsidR="00C24F58" w:rsidRPr="00C24F58">
        <w:rPr>
          <w:lang w:val="en-GB" w:bidi="ar-SY"/>
        </w:rPr>
        <w:t>(PQC)</w:t>
      </w:r>
      <w:r w:rsidR="00C24F58" w:rsidRPr="00C24F58">
        <w:rPr>
          <w:rtl/>
        </w:rPr>
        <w:t xml:space="preserve"> في النظام الإيكولوجي للتوصية X.509.</w:t>
      </w:r>
    </w:p>
    <w:p w14:paraId="10662E79" w14:textId="7016A3CE" w:rsidR="00C24F58" w:rsidRPr="00C24F58" w:rsidRDefault="00722BA3" w:rsidP="00CB3A05">
      <w:pPr>
        <w:pStyle w:val="enumlev2"/>
        <w:rPr>
          <w:rtl/>
        </w:rPr>
      </w:pPr>
      <w:r>
        <w:rPr>
          <w:rFonts w:hint="cs"/>
          <w:rtl/>
        </w:rPr>
        <w:t>د )</w:t>
      </w:r>
      <w:r>
        <w:rPr>
          <w:rtl/>
        </w:rPr>
        <w:tab/>
      </w:r>
      <w:r w:rsidR="00C24F58" w:rsidRPr="00C24F58">
        <w:rPr>
          <w:rtl/>
        </w:rPr>
        <w:t xml:space="preserve">استكشاف التطورات في البنية التحتية اللامركزية للمفاتيح العمومية </w:t>
      </w:r>
      <w:r w:rsidR="00C24F58" w:rsidRPr="00C24F58">
        <w:rPr>
          <w:lang w:val="en-GB" w:bidi="ar-SY"/>
        </w:rPr>
        <w:t>(DPKI)</w:t>
      </w:r>
      <w:r w:rsidR="00C24F58" w:rsidRPr="00C24F58">
        <w:rPr>
          <w:rtl/>
        </w:rPr>
        <w:t xml:space="preserve"> ونماذج الثقة.</w:t>
      </w:r>
    </w:p>
    <w:p w14:paraId="3B118763" w14:textId="2B8A9B0C" w:rsidR="00C24F58" w:rsidRPr="00C24F58" w:rsidRDefault="00722BA3" w:rsidP="00CB3A05">
      <w:pPr>
        <w:pStyle w:val="enumlev2"/>
        <w:rPr>
          <w:rtl/>
        </w:rPr>
      </w:pPr>
      <w:r>
        <w:rPr>
          <w:rFonts w:hint="cs"/>
          <w:rtl/>
        </w:rPr>
        <w:t>هـ )</w:t>
      </w:r>
      <w:r>
        <w:rPr>
          <w:rtl/>
        </w:rPr>
        <w:tab/>
      </w:r>
      <w:r w:rsidR="00C24F58" w:rsidRPr="00C24F58">
        <w:rPr>
          <w:rtl/>
        </w:rPr>
        <w:t>تعزيز الثقة في الأنظمة المدعومة بالذكاء الاصطناعي من خلال الاستفادة من التوصية X.509.</w:t>
      </w:r>
    </w:p>
    <w:p w14:paraId="2A83B9FB" w14:textId="641812D7" w:rsidR="00C24F58" w:rsidRPr="001D3FFA" w:rsidRDefault="00722BA3" w:rsidP="00CB3A05">
      <w:pPr>
        <w:pStyle w:val="enumlev2"/>
        <w:rPr>
          <w:spacing w:val="-4"/>
          <w:rtl/>
        </w:rPr>
      </w:pPr>
      <w:r w:rsidRPr="001D3FFA">
        <w:rPr>
          <w:rFonts w:hint="cs"/>
          <w:spacing w:val="-4"/>
          <w:rtl/>
        </w:rPr>
        <w:t>و )</w:t>
      </w:r>
      <w:r w:rsidRPr="001D3FFA">
        <w:rPr>
          <w:spacing w:val="-4"/>
          <w:rtl/>
        </w:rPr>
        <w:tab/>
      </w:r>
      <w:r w:rsidR="00C24F58" w:rsidRPr="001D3FFA">
        <w:rPr>
          <w:spacing w:val="-4"/>
          <w:rtl/>
        </w:rPr>
        <w:t>إبراز السُبل التي تتيح من خلالها شهادات X.509 قابلية التشغيل البيني للهويات الرقمية عبر الحدود والقطاعات.</w:t>
      </w:r>
    </w:p>
    <w:p w14:paraId="1A82A3EF" w14:textId="4C026960" w:rsidR="00C24F58" w:rsidRPr="00C24F58" w:rsidRDefault="00722BA3" w:rsidP="00CB3A05">
      <w:pPr>
        <w:pStyle w:val="enumlev2"/>
        <w:rPr>
          <w:rtl/>
        </w:rPr>
      </w:pPr>
      <w:r>
        <w:rPr>
          <w:rFonts w:hint="cs"/>
          <w:rtl/>
        </w:rPr>
        <w:t>ز )</w:t>
      </w:r>
      <w:r>
        <w:rPr>
          <w:rtl/>
        </w:rPr>
        <w:tab/>
      </w:r>
      <w:r w:rsidR="00C24F58" w:rsidRPr="00C24F58">
        <w:rPr>
          <w:rtl/>
        </w:rPr>
        <w:t xml:space="preserve">عرض اعتماد التوصية على أرض الواقع عبر القطاعات من خلال دراسات الحالة </w:t>
      </w:r>
    </w:p>
    <w:p w14:paraId="20D7C1D2" w14:textId="1C083A0F" w:rsidR="00C24F58" w:rsidRPr="00C24F58" w:rsidRDefault="00CB3A05" w:rsidP="00CB3A05">
      <w:pPr>
        <w:pStyle w:val="enumlev2"/>
        <w:rPr>
          <w:rtl/>
        </w:rPr>
      </w:pPr>
      <w:r>
        <w:rPr>
          <w:rFonts w:hint="cs"/>
          <w:rtl/>
        </w:rPr>
        <w:t>ح)</w:t>
      </w:r>
      <w:r>
        <w:rPr>
          <w:rtl/>
        </w:rPr>
        <w:tab/>
      </w:r>
      <w:r w:rsidR="00C24F58" w:rsidRPr="00C24F58">
        <w:rPr>
          <w:rtl/>
        </w:rPr>
        <w:t>تحديد اتجاهات التطوير المستقبلية للتوصية ITU-T X.509 وفرص التعاون.</w:t>
      </w:r>
    </w:p>
    <w:p w14:paraId="10335F65" w14:textId="0FEC44FA" w:rsidR="00C24F58" w:rsidRPr="00C24F58" w:rsidRDefault="00C24F58" w:rsidP="00C24F58">
      <w:pPr>
        <w:rPr>
          <w:rtl/>
        </w:rPr>
      </w:pPr>
      <w:r w:rsidRPr="00C24F58">
        <w:rPr>
          <w:rtl/>
        </w:rPr>
        <w:t>4</w:t>
      </w:r>
      <w:r w:rsidRPr="00C24F58">
        <w:rPr>
          <w:rtl/>
        </w:rPr>
        <w:tab/>
        <w:t>وستتاح جميع المعلومات ذات الصلة بالحدث (مشروع البرنامج وقائمة المتحدثين ورابط التسجيل وتفاصيل التوصيل عن بُعد) في الصفحة الإلكترونية للحدث</w:t>
      </w:r>
      <w:r w:rsidRPr="00C24F58">
        <w:rPr>
          <w:lang w:val="en-GB" w:bidi="ar-SY"/>
        </w:rPr>
        <w:t>:</w:t>
      </w:r>
      <w:r w:rsidRPr="00C24F58">
        <w:rPr>
          <w:rtl/>
        </w:rPr>
        <w:t xml:space="preserve"> </w:t>
      </w:r>
      <w:hyperlink r:id="rId11" w:anchor="/ar" w:history="1">
        <w:r w:rsidR="007F22E6" w:rsidRPr="00F131EF">
          <w:rPr>
            <w:rStyle w:val="Hyperlink"/>
          </w:rPr>
          <w:t>https://www.itu.int/</w:t>
        </w:r>
        <w:r w:rsidR="007F22E6" w:rsidRPr="00F131EF">
          <w:rPr>
            <w:rStyle w:val="Hyperlink"/>
          </w:rPr>
          <w:t>e</w:t>
        </w:r>
        <w:r w:rsidR="007F22E6" w:rsidRPr="00F131EF">
          <w:rPr>
            <w:rStyle w:val="Hyperlink"/>
          </w:rPr>
          <w:t>n/ITU-T/Workshops-and-Seminars/2026/0512/Pages/default.aspx</w:t>
        </w:r>
      </w:hyperlink>
      <w:r w:rsidRPr="00C24F58">
        <w:rPr>
          <w:rtl/>
        </w:rPr>
        <w:t>. وستُحدَّث الصفحة الإلكترونية بانتظام كلما أتيح مزيد من المعلومات، ويُشجع المشاركون على المواظبة على زيارتها للاطلاع على آخر التحديثات.</w:t>
      </w:r>
      <w:hyperlink r:id="rId12" w:history="1"/>
    </w:p>
    <w:p w14:paraId="1DDF71D2" w14:textId="76B05A78" w:rsidR="00C24F58" w:rsidRPr="00C24F58" w:rsidRDefault="00C24F58" w:rsidP="00C24F58">
      <w:pPr>
        <w:rPr>
          <w:rtl/>
        </w:rPr>
      </w:pPr>
      <w:r w:rsidRPr="00C24F58">
        <w:rPr>
          <w:rtl/>
        </w:rPr>
        <w:t>5</w:t>
      </w:r>
      <w:r w:rsidRPr="00C24F58">
        <w:rPr>
          <w:rtl/>
        </w:rPr>
        <w:tab/>
        <w:t>ولتمكين مكتب تقييس الاتصالات من اتخاذ الترتيبات اللازمة المتعلقة بالتنظيم، سأكون شاكراً لو تفضلتم بالتسجيل</w:t>
      </w:r>
      <w:r w:rsidR="000E59CF">
        <w:rPr>
          <w:rFonts w:hint="cs"/>
          <w:rtl/>
        </w:rPr>
        <w:t> </w:t>
      </w:r>
      <w:r w:rsidRPr="00C24F58">
        <w:rPr>
          <w:rtl/>
        </w:rPr>
        <w:t>من خلال الاستمارة المتاحة عبر الإنترنت في أسرع وقت ممكن عبر الرابط</w:t>
      </w:r>
      <w:r w:rsidR="00206D08" w:rsidRPr="000E59CF">
        <w:rPr>
          <w:rFonts w:hint="cs"/>
          <w:rtl/>
          <w:lang w:bidi="ar-EG"/>
        </w:rPr>
        <w:t>:</w:t>
      </w:r>
      <w:r w:rsidRPr="00C24F58">
        <w:rPr>
          <w:rtl/>
        </w:rPr>
        <w:t xml:space="preserve"> </w:t>
      </w:r>
      <w:hyperlink r:id="rId13" w:history="1">
        <w:r w:rsidR="00206D08" w:rsidRPr="000E59CF">
          <w:rPr>
            <w:rStyle w:val="Hyperlink"/>
          </w:rPr>
          <w:t>https://www.itu.int</w:t>
        </w:r>
        <w:r w:rsidR="00206D08" w:rsidRPr="000E59CF">
          <w:rPr>
            <w:rStyle w:val="Hyperlink"/>
          </w:rPr>
          <w:t>/</w:t>
        </w:r>
        <w:r w:rsidR="00206D08" w:rsidRPr="000E59CF">
          <w:rPr>
            <w:rStyle w:val="Hyperlink"/>
          </w:rPr>
          <w:t>net4/CRM/xreg/web/Registration.aspx?Event=C-00016105</w:t>
        </w:r>
      </w:hyperlink>
      <w:r w:rsidR="000E59CF">
        <w:rPr>
          <w:rFonts w:hint="cs"/>
          <w:rtl/>
        </w:rPr>
        <w:t>.</w:t>
      </w:r>
      <w:r w:rsidRPr="00C24F58">
        <w:rPr>
          <w:rtl/>
        </w:rPr>
        <w:t xml:space="preserve"> </w:t>
      </w:r>
      <w:r w:rsidRPr="00C24F58">
        <w:rPr>
          <w:b/>
          <w:bCs/>
          <w:rtl/>
        </w:rPr>
        <w:t>ويُرجى العلم بأن التسجيل المسبق للمشاركة في ورشة العمل إلزامي ويجري عبر الإنترنت حصراً</w:t>
      </w:r>
      <w:r w:rsidRPr="00C24F58">
        <w:rPr>
          <w:rtl/>
        </w:rPr>
        <w:t>.</w:t>
      </w:r>
      <w:hyperlink r:id="rId14" w:history="1"/>
    </w:p>
    <w:p w14:paraId="201E4DBF" w14:textId="77777777" w:rsidR="00C24F58" w:rsidRPr="00C24F58" w:rsidRDefault="00C24F58" w:rsidP="00C24F58">
      <w:pPr>
        <w:rPr>
          <w:rtl/>
        </w:rPr>
      </w:pPr>
      <w:r w:rsidRPr="00C24F58">
        <w:rPr>
          <w:rtl/>
        </w:rPr>
        <w:t>6</w:t>
      </w:r>
      <w:r w:rsidRPr="00C24F58">
        <w:rPr>
          <w:rtl/>
        </w:rPr>
        <w:tab/>
        <w:t>والمشاركة مجانية ومفتوحة أمام جميع أصحاب المصلحة المهتمين، بما في ذلك الدول الأعضاء في الاتحاد وأعضاء القطاع والمنتسبين والمؤسسات الأكاديمية وأمام أي شخص من أي بلد عضو في الاتحاد يرغب في المساهمة في العمل.</w:t>
      </w:r>
    </w:p>
    <w:p w14:paraId="459964AA" w14:textId="7395078B" w:rsidR="00C24F58" w:rsidRPr="00C24F58" w:rsidRDefault="00C24F58" w:rsidP="00C24F58">
      <w:pPr>
        <w:rPr>
          <w:rtl/>
        </w:rPr>
      </w:pPr>
      <w:r w:rsidRPr="00C24F58">
        <w:rPr>
          <w:rtl/>
        </w:rPr>
        <w:t>7</w:t>
      </w:r>
      <w:r w:rsidRPr="00C24F58">
        <w:rPr>
          <w:rtl/>
        </w:rPr>
        <w:tab/>
        <w:t>وأود أن أذكركم بأن على مواطني بعض البلدان الحصول على تأشيرة لدخول سويسرا وقضاء بعض الوقت فيها. ويجب طلب التأشيرة في أقرب وقت ممكن والحصول عليها من المكتب (السفارة أو القنصلية) الذي يمثل سويسرا في بلدكم، أو من أقرب مكتب من بلد المغادرة في حالة عدم وجود مثل هذا المكتب في بلدكم.</w:t>
      </w:r>
    </w:p>
    <w:p w14:paraId="4308E8A3" w14:textId="472FDB68" w:rsidR="00E84438" w:rsidRPr="00D517B2" w:rsidRDefault="001E7D2B" w:rsidP="00891703">
      <w:pPr>
        <w:spacing w:before="240"/>
        <w:jc w:val="left"/>
        <w:rPr>
          <w:rtl/>
          <w:lang w:bidi="ar-EG"/>
        </w:rPr>
      </w:pPr>
      <w:r>
        <w:rPr>
          <w:rFonts w:hint="cs"/>
          <w:noProof/>
          <w:rtl/>
          <w:lang w:val="ar-SY" w:bidi="ar-SY"/>
        </w:rPr>
        <w:drawing>
          <wp:anchor distT="0" distB="0" distL="114300" distR="114300" simplePos="0" relativeHeight="251658240" behindDoc="1" locked="0" layoutInCell="1" allowOverlap="1" wp14:anchorId="55DD1276" wp14:editId="1D769391">
            <wp:simplePos x="0" y="0"/>
            <wp:positionH relativeFrom="column">
              <wp:posOffset>5318760</wp:posOffset>
            </wp:positionH>
            <wp:positionV relativeFrom="paragraph">
              <wp:posOffset>306070</wp:posOffset>
            </wp:positionV>
            <wp:extent cx="768350" cy="368300"/>
            <wp:effectExtent l="0" t="0" r="0" b="0"/>
            <wp:wrapNone/>
            <wp:docPr id="48232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23369" name="Picture 482323369"/>
                    <pic:cNvPicPr/>
                  </pic:nvPicPr>
                  <pic:blipFill>
                    <a:blip r:embed="rId15">
                      <a:extLst>
                        <a:ext uri="{28A0092B-C50C-407E-A947-70E740481C1C}">
                          <a14:useLocalDpi xmlns:a14="http://schemas.microsoft.com/office/drawing/2010/main" val="0"/>
                        </a:ext>
                      </a:extLst>
                    </a:blip>
                    <a:stretch>
                      <a:fillRect/>
                    </a:stretch>
                  </pic:blipFill>
                  <pic:spPr>
                    <a:xfrm>
                      <a:off x="0" y="0"/>
                      <a:ext cx="768350" cy="368300"/>
                    </a:xfrm>
                    <a:prstGeom prst="rect">
                      <a:avLst/>
                    </a:prstGeom>
                  </pic:spPr>
                </pic:pic>
              </a:graphicData>
            </a:graphic>
          </wp:anchor>
        </w:drawing>
      </w:r>
      <w:r w:rsidR="00E84438" w:rsidRPr="00D517B2">
        <w:rPr>
          <w:rFonts w:hint="cs"/>
          <w:rtl/>
          <w:lang w:bidi="ar-EG"/>
        </w:rPr>
        <w:t>وتفضلوا بقبول فائق التقدير والاحترام.</w:t>
      </w:r>
    </w:p>
    <w:p w14:paraId="4F0AAB01" w14:textId="46DA7E66" w:rsidR="00E84438" w:rsidRPr="00D517B2" w:rsidRDefault="00807031" w:rsidP="00BA56F9">
      <w:pPr>
        <w:spacing w:before="720"/>
        <w:jc w:val="left"/>
        <w:rPr>
          <w:rtl/>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E84438" w:rsidRPr="00D517B2" w:rsidSect="006C3242">
      <w:headerReference w:type="default" r:id="rId16"/>
      <w:footerReference w:type="first" r:id="rId17"/>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BC02" w14:textId="77777777" w:rsidR="005D5C3C" w:rsidRDefault="005D5C3C" w:rsidP="006C3242">
      <w:pPr>
        <w:spacing w:before="0" w:line="240" w:lineRule="auto"/>
      </w:pPr>
      <w:r>
        <w:separator/>
      </w:r>
    </w:p>
  </w:endnote>
  <w:endnote w:type="continuationSeparator" w:id="0">
    <w:p w14:paraId="44E86F91" w14:textId="77777777" w:rsidR="005D5C3C" w:rsidRDefault="005D5C3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A147"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DA89" w14:textId="77777777" w:rsidR="005D5C3C" w:rsidRDefault="005D5C3C" w:rsidP="006C3242">
      <w:pPr>
        <w:spacing w:before="0" w:line="240" w:lineRule="auto"/>
      </w:pPr>
      <w:r>
        <w:separator/>
      </w:r>
    </w:p>
  </w:footnote>
  <w:footnote w:type="continuationSeparator" w:id="0">
    <w:p w14:paraId="0BA78499" w14:textId="77777777" w:rsidR="005D5C3C" w:rsidRDefault="005D5C3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0CAC" w14:textId="3CFB3A34"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C24F58">
      <w:rPr>
        <w:sz w:val="20"/>
        <w:szCs w:val="20"/>
        <w:lang w:bidi="ar-EG"/>
      </w:rPr>
      <w:t>112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144CE"/>
    <w:multiLevelType w:val="hybridMultilevel"/>
    <w:tmpl w:val="B1801274"/>
    <w:lvl w:ilvl="0" w:tplc="20000017">
      <w:start w:val="1"/>
      <w:numFmt w:val="lowerLetter"/>
      <w:lvlText w:val="%1)"/>
      <w:lvlJc w:val="left"/>
      <w:pPr>
        <w:ind w:left="1245" w:hanging="360"/>
      </w:pPr>
      <w:rPr>
        <w:rFonts w:hint="default"/>
      </w:rPr>
    </w:lvl>
    <w:lvl w:ilvl="1" w:tplc="20000019" w:tentative="1">
      <w:start w:val="1"/>
      <w:numFmt w:val="lowerLetter"/>
      <w:lvlText w:val="%2."/>
      <w:lvlJc w:val="left"/>
      <w:pPr>
        <w:ind w:left="1965" w:hanging="360"/>
      </w:pPr>
    </w:lvl>
    <w:lvl w:ilvl="2" w:tplc="2000001B" w:tentative="1">
      <w:start w:val="1"/>
      <w:numFmt w:val="lowerRoman"/>
      <w:lvlText w:val="%3."/>
      <w:lvlJc w:val="right"/>
      <w:pPr>
        <w:ind w:left="2685" w:hanging="180"/>
      </w:pPr>
    </w:lvl>
    <w:lvl w:ilvl="3" w:tplc="2000000F" w:tentative="1">
      <w:start w:val="1"/>
      <w:numFmt w:val="decimal"/>
      <w:lvlText w:val="%4."/>
      <w:lvlJc w:val="left"/>
      <w:pPr>
        <w:ind w:left="3405" w:hanging="360"/>
      </w:pPr>
    </w:lvl>
    <w:lvl w:ilvl="4" w:tplc="20000019" w:tentative="1">
      <w:start w:val="1"/>
      <w:numFmt w:val="lowerLetter"/>
      <w:lvlText w:val="%5."/>
      <w:lvlJc w:val="left"/>
      <w:pPr>
        <w:ind w:left="4125" w:hanging="360"/>
      </w:pPr>
    </w:lvl>
    <w:lvl w:ilvl="5" w:tplc="2000001B" w:tentative="1">
      <w:start w:val="1"/>
      <w:numFmt w:val="lowerRoman"/>
      <w:lvlText w:val="%6."/>
      <w:lvlJc w:val="right"/>
      <w:pPr>
        <w:ind w:left="4845" w:hanging="180"/>
      </w:pPr>
    </w:lvl>
    <w:lvl w:ilvl="6" w:tplc="2000000F" w:tentative="1">
      <w:start w:val="1"/>
      <w:numFmt w:val="decimal"/>
      <w:lvlText w:val="%7."/>
      <w:lvlJc w:val="left"/>
      <w:pPr>
        <w:ind w:left="5565" w:hanging="360"/>
      </w:pPr>
    </w:lvl>
    <w:lvl w:ilvl="7" w:tplc="20000019" w:tentative="1">
      <w:start w:val="1"/>
      <w:numFmt w:val="lowerLetter"/>
      <w:lvlText w:val="%8."/>
      <w:lvlJc w:val="left"/>
      <w:pPr>
        <w:ind w:left="6285" w:hanging="360"/>
      </w:pPr>
    </w:lvl>
    <w:lvl w:ilvl="8" w:tplc="2000001B" w:tentative="1">
      <w:start w:val="1"/>
      <w:numFmt w:val="lowerRoman"/>
      <w:lvlText w:val="%9."/>
      <w:lvlJc w:val="right"/>
      <w:pPr>
        <w:ind w:left="7005" w:hanging="18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 w:numId="12" w16cid:durableId="14491572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E9"/>
    <w:rsid w:val="00002A63"/>
    <w:rsid w:val="0006468A"/>
    <w:rsid w:val="00090574"/>
    <w:rsid w:val="000C1C0E"/>
    <w:rsid w:val="000C548A"/>
    <w:rsid w:val="000D71C7"/>
    <w:rsid w:val="000E327F"/>
    <w:rsid w:val="000E59CF"/>
    <w:rsid w:val="00146FE2"/>
    <w:rsid w:val="001C0169"/>
    <w:rsid w:val="001D1D50"/>
    <w:rsid w:val="001D3FFA"/>
    <w:rsid w:val="001D6745"/>
    <w:rsid w:val="001E2788"/>
    <w:rsid w:val="001E446E"/>
    <w:rsid w:val="001E7D2B"/>
    <w:rsid w:val="001F4353"/>
    <w:rsid w:val="00206D08"/>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B0490"/>
    <w:rsid w:val="003C7EDF"/>
    <w:rsid w:val="003F4B29"/>
    <w:rsid w:val="00400EC6"/>
    <w:rsid w:val="00414F55"/>
    <w:rsid w:val="0042686F"/>
    <w:rsid w:val="004317D8"/>
    <w:rsid w:val="00434183"/>
    <w:rsid w:val="004378EA"/>
    <w:rsid w:val="00443869"/>
    <w:rsid w:val="00447F32"/>
    <w:rsid w:val="004E11DC"/>
    <w:rsid w:val="0050408B"/>
    <w:rsid w:val="00525DDD"/>
    <w:rsid w:val="005409AC"/>
    <w:rsid w:val="0055516A"/>
    <w:rsid w:val="005731DD"/>
    <w:rsid w:val="0058491B"/>
    <w:rsid w:val="00592EA5"/>
    <w:rsid w:val="00595B52"/>
    <w:rsid w:val="00596808"/>
    <w:rsid w:val="005A3170"/>
    <w:rsid w:val="005C00F7"/>
    <w:rsid w:val="005D5C3C"/>
    <w:rsid w:val="005E5C36"/>
    <w:rsid w:val="006019C6"/>
    <w:rsid w:val="006635B2"/>
    <w:rsid w:val="00677396"/>
    <w:rsid w:val="0069200F"/>
    <w:rsid w:val="006A65CB"/>
    <w:rsid w:val="006C1530"/>
    <w:rsid w:val="006C3242"/>
    <w:rsid w:val="006C7CC0"/>
    <w:rsid w:val="006E1BAD"/>
    <w:rsid w:val="006E6264"/>
    <w:rsid w:val="006F63F7"/>
    <w:rsid w:val="007025C7"/>
    <w:rsid w:val="00706D7A"/>
    <w:rsid w:val="007139D8"/>
    <w:rsid w:val="00722BA3"/>
    <w:rsid w:val="00722F0D"/>
    <w:rsid w:val="0074420E"/>
    <w:rsid w:val="00783E26"/>
    <w:rsid w:val="007B0399"/>
    <w:rsid w:val="007C3BC7"/>
    <w:rsid w:val="007C3BCD"/>
    <w:rsid w:val="007D4ACF"/>
    <w:rsid w:val="007F0787"/>
    <w:rsid w:val="007F22E6"/>
    <w:rsid w:val="00807031"/>
    <w:rsid w:val="00810B7B"/>
    <w:rsid w:val="00821BB5"/>
    <w:rsid w:val="0082358A"/>
    <w:rsid w:val="008235CD"/>
    <w:rsid w:val="008247DE"/>
    <w:rsid w:val="00840B10"/>
    <w:rsid w:val="008513CB"/>
    <w:rsid w:val="00873469"/>
    <w:rsid w:val="00877F4B"/>
    <w:rsid w:val="00891703"/>
    <w:rsid w:val="00892DDA"/>
    <w:rsid w:val="008A7F84"/>
    <w:rsid w:val="008D5A6F"/>
    <w:rsid w:val="00903CE9"/>
    <w:rsid w:val="0091702E"/>
    <w:rsid w:val="00923B0C"/>
    <w:rsid w:val="00926F44"/>
    <w:rsid w:val="0094021C"/>
    <w:rsid w:val="0094432F"/>
    <w:rsid w:val="00952F86"/>
    <w:rsid w:val="00961B1F"/>
    <w:rsid w:val="00982B28"/>
    <w:rsid w:val="009D313F"/>
    <w:rsid w:val="009F17C2"/>
    <w:rsid w:val="00A13ADC"/>
    <w:rsid w:val="00A47A5A"/>
    <w:rsid w:val="00A6683B"/>
    <w:rsid w:val="00A77C90"/>
    <w:rsid w:val="00A9156F"/>
    <w:rsid w:val="00A97F94"/>
    <w:rsid w:val="00AA7EA2"/>
    <w:rsid w:val="00AB0BC9"/>
    <w:rsid w:val="00AD0006"/>
    <w:rsid w:val="00AF2F01"/>
    <w:rsid w:val="00AF6B5C"/>
    <w:rsid w:val="00B03099"/>
    <w:rsid w:val="00B05BC8"/>
    <w:rsid w:val="00B368FA"/>
    <w:rsid w:val="00B64B47"/>
    <w:rsid w:val="00B916A7"/>
    <w:rsid w:val="00BA56F9"/>
    <w:rsid w:val="00BB0F08"/>
    <w:rsid w:val="00BC2462"/>
    <w:rsid w:val="00C002DE"/>
    <w:rsid w:val="00C24F58"/>
    <w:rsid w:val="00C53BF8"/>
    <w:rsid w:val="00C66157"/>
    <w:rsid w:val="00C674FE"/>
    <w:rsid w:val="00C67501"/>
    <w:rsid w:val="00C75633"/>
    <w:rsid w:val="00CB3A05"/>
    <w:rsid w:val="00CB3D9A"/>
    <w:rsid w:val="00CE1C08"/>
    <w:rsid w:val="00CE2EE1"/>
    <w:rsid w:val="00CE3349"/>
    <w:rsid w:val="00CE36E5"/>
    <w:rsid w:val="00CF27F5"/>
    <w:rsid w:val="00CF3FFD"/>
    <w:rsid w:val="00D10CCF"/>
    <w:rsid w:val="00D22846"/>
    <w:rsid w:val="00D517B2"/>
    <w:rsid w:val="00D76170"/>
    <w:rsid w:val="00D77D0F"/>
    <w:rsid w:val="00D91077"/>
    <w:rsid w:val="00D938BA"/>
    <w:rsid w:val="00DA1CF0"/>
    <w:rsid w:val="00DC1E02"/>
    <w:rsid w:val="00DC24B4"/>
    <w:rsid w:val="00DC5FB0"/>
    <w:rsid w:val="00DD1EBB"/>
    <w:rsid w:val="00DD6915"/>
    <w:rsid w:val="00DF16DC"/>
    <w:rsid w:val="00E01808"/>
    <w:rsid w:val="00E45211"/>
    <w:rsid w:val="00E473C5"/>
    <w:rsid w:val="00E84438"/>
    <w:rsid w:val="00E92863"/>
    <w:rsid w:val="00EB796D"/>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A2BF8"/>
  <w15:chartTrackingRefBased/>
  <w15:docId w15:val="{35936092-AAD2-4644-AA53-359A7DAF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Style 58,超????,超?级链,하이퍼링크2,CEO_Hyperlink,超链接1"/>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7F2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4/CRM/xreg/web/Registration.aspx?Event=C-000161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orkshops-and-Seminars/2026/0512/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2026/0512/Pages/default.aspx"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ITU-T/recommendations/rec.aspx?id=14033&amp;lan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ITU-T/recommendations/rec.aspx?id=14033&amp;lang=en" TargetMode="External"/><Relationship Id="rId14" Type="http://schemas.openxmlformats.org/officeDocument/2006/relationships/hyperlink" Target="https://www.itu.int/net4/CRM/xreg/web/Registration.aspx?Event=C-0001610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7</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Braud, Olivia</cp:lastModifiedBy>
  <cp:revision>4</cp:revision>
  <cp:lastPrinted>2026-02-20T07:32:00Z</cp:lastPrinted>
  <dcterms:created xsi:type="dcterms:W3CDTF">2026-02-19T15:45:00Z</dcterms:created>
  <dcterms:modified xsi:type="dcterms:W3CDTF">2026-02-20T07:33:00Z</dcterms:modified>
</cp:coreProperties>
</file>