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61"/>
        <w:tblW w:w="0" w:type="auto"/>
        <w:tblCellMar>
          <w:left w:w="0" w:type="dxa"/>
          <w:right w:w="0" w:type="dxa"/>
        </w:tblCellMar>
        <w:tblLook w:val="0000" w:firstRow="0" w:lastRow="0" w:firstColumn="0" w:lastColumn="0" w:noHBand="0" w:noVBand="0"/>
      </w:tblPr>
      <w:tblGrid>
        <w:gridCol w:w="1279"/>
        <w:gridCol w:w="3090"/>
        <w:gridCol w:w="5360"/>
      </w:tblGrid>
      <w:tr w:rsidR="006517D2" w:rsidRPr="003F5FEE" w14:paraId="4C15AE67" w14:textId="77777777" w:rsidTr="006517D2">
        <w:trPr>
          <w:cantSplit/>
        </w:trPr>
        <w:tc>
          <w:tcPr>
            <w:tcW w:w="0" w:type="auto"/>
            <w:vAlign w:val="center"/>
          </w:tcPr>
          <w:p w14:paraId="16237788" w14:textId="77777777" w:rsidR="006517D2" w:rsidRPr="003F5FEE" w:rsidRDefault="006517D2" w:rsidP="006517D2">
            <w:pPr>
              <w:tabs>
                <w:tab w:val="right" w:pos="8732"/>
              </w:tabs>
              <w:spacing w:before="0"/>
              <w:rPr>
                <w:b/>
                <w:bCs/>
                <w:iCs/>
                <w:color w:val="FFFFFF"/>
                <w:sz w:val="30"/>
                <w:szCs w:val="30"/>
              </w:rPr>
            </w:pPr>
            <w:bookmarkStart w:id="0" w:name="StartTyping_F"/>
            <w:bookmarkEnd w:id="0"/>
            <w:r w:rsidRPr="003F5FEE">
              <w:rPr>
                <w:noProof/>
                <w:lang w:eastAsia="zh-CN"/>
              </w:rPr>
              <w:drawing>
                <wp:inline distT="0" distB="0" distL="0" distR="0" wp14:anchorId="562CF90D" wp14:editId="165B5C77">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69AD5CD8" w14:textId="77777777" w:rsidR="006517D2" w:rsidRPr="003F5FEE" w:rsidRDefault="006517D2" w:rsidP="006517D2">
            <w:pPr>
              <w:spacing w:before="0"/>
              <w:rPr>
                <w:rFonts w:cs="Times New Roman Bold"/>
                <w:b/>
                <w:bCs/>
                <w:iCs/>
                <w:smallCaps/>
                <w:sz w:val="34"/>
                <w:szCs w:val="34"/>
              </w:rPr>
            </w:pPr>
            <w:r w:rsidRPr="003F5FEE">
              <w:rPr>
                <w:rFonts w:cs="Times New Roman Bold"/>
                <w:b/>
                <w:bCs/>
                <w:iCs/>
                <w:smallCaps/>
                <w:sz w:val="34"/>
                <w:szCs w:val="34"/>
              </w:rPr>
              <w:t>Union internationale des télécommunications</w:t>
            </w:r>
          </w:p>
          <w:p w14:paraId="3ACFAC67" w14:textId="77777777" w:rsidR="006517D2" w:rsidRPr="003F5FEE" w:rsidRDefault="006517D2" w:rsidP="006517D2">
            <w:pPr>
              <w:spacing w:before="0"/>
              <w:rPr>
                <w:color w:val="FFFFFF"/>
                <w:sz w:val="26"/>
                <w:szCs w:val="26"/>
              </w:rPr>
            </w:pPr>
            <w:r w:rsidRPr="003F5FEE">
              <w:rPr>
                <w:rFonts w:cs="Times New Roman Bold"/>
                <w:b/>
                <w:bCs/>
                <w:iCs/>
                <w:smallCaps/>
                <w:sz w:val="28"/>
                <w:szCs w:val="28"/>
              </w:rPr>
              <w:t>B</w:t>
            </w:r>
            <w:r w:rsidRPr="003F5FEE">
              <w:rPr>
                <w:b/>
                <w:bCs/>
                <w:iCs/>
                <w:smallCaps/>
                <w:sz w:val="28"/>
                <w:szCs w:val="28"/>
              </w:rPr>
              <w:t>ureau de la Normalisation des Télécommunications</w:t>
            </w:r>
          </w:p>
        </w:tc>
      </w:tr>
      <w:tr w:rsidR="006517D2" w:rsidRPr="006517D2" w14:paraId="1417500A" w14:textId="77777777" w:rsidTr="006517D2">
        <w:trPr>
          <w:cantSplit/>
        </w:trPr>
        <w:tc>
          <w:tcPr>
            <w:tcW w:w="0" w:type="auto"/>
          </w:tcPr>
          <w:p w14:paraId="76D08E17" w14:textId="77777777" w:rsidR="006517D2" w:rsidRPr="006517D2" w:rsidRDefault="006517D2" w:rsidP="006517D2">
            <w:pPr>
              <w:tabs>
                <w:tab w:val="left" w:pos="4111"/>
              </w:tabs>
              <w:spacing w:before="10"/>
              <w:ind w:left="57"/>
              <w:rPr>
                <w:rFonts w:cstheme="minorHAnsi"/>
                <w:sz w:val="22"/>
                <w:szCs w:val="22"/>
              </w:rPr>
            </w:pPr>
          </w:p>
        </w:tc>
        <w:tc>
          <w:tcPr>
            <w:tcW w:w="3135" w:type="dxa"/>
          </w:tcPr>
          <w:p w14:paraId="39E7FF0B" w14:textId="77777777" w:rsidR="006517D2" w:rsidRPr="006517D2" w:rsidRDefault="006517D2" w:rsidP="006517D2">
            <w:pPr>
              <w:tabs>
                <w:tab w:val="left" w:pos="4111"/>
              </w:tabs>
              <w:spacing w:before="10"/>
              <w:ind w:left="57"/>
              <w:rPr>
                <w:rFonts w:cstheme="minorHAnsi"/>
                <w:b/>
                <w:sz w:val="22"/>
                <w:szCs w:val="22"/>
              </w:rPr>
            </w:pPr>
          </w:p>
        </w:tc>
        <w:tc>
          <w:tcPr>
            <w:tcW w:w="5315" w:type="dxa"/>
          </w:tcPr>
          <w:p w14:paraId="1430180C" w14:textId="77777777" w:rsidR="006517D2" w:rsidRPr="006517D2" w:rsidRDefault="006517D2" w:rsidP="006517D2">
            <w:pPr>
              <w:tabs>
                <w:tab w:val="clear" w:pos="794"/>
                <w:tab w:val="clear" w:pos="1191"/>
                <w:tab w:val="clear" w:pos="1588"/>
                <w:tab w:val="clear" w:pos="1985"/>
                <w:tab w:val="left" w:pos="284"/>
              </w:tabs>
              <w:spacing w:before="0" w:after="120"/>
              <w:ind w:left="288" w:hanging="230"/>
              <w:rPr>
                <w:rFonts w:cstheme="minorHAnsi"/>
                <w:sz w:val="22"/>
                <w:szCs w:val="22"/>
              </w:rPr>
            </w:pPr>
            <w:r w:rsidRPr="006517D2">
              <w:rPr>
                <w:rFonts w:cstheme="minorHAnsi"/>
                <w:sz w:val="22"/>
                <w:szCs w:val="22"/>
              </w:rPr>
              <w:t>Genève, le 28 janvier 2026</w:t>
            </w:r>
          </w:p>
        </w:tc>
      </w:tr>
      <w:tr w:rsidR="006517D2" w:rsidRPr="006517D2" w14:paraId="660AAEA3" w14:textId="77777777" w:rsidTr="006517D2">
        <w:trPr>
          <w:cantSplit/>
          <w:trHeight w:val="340"/>
        </w:trPr>
        <w:tc>
          <w:tcPr>
            <w:tcW w:w="0" w:type="auto"/>
          </w:tcPr>
          <w:p w14:paraId="5D6654A4" w14:textId="77777777" w:rsidR="006517D2" w:rsidRPr="006517D2" w:rsidRDefault="006517D2" w:rsidP="006517D2">
            <w:pPr>
              <w:tabs>
                <w:tab w:val="left" w:pos="4111"/>
              </w:tabs>
              <w:spacing w:before="10"/>
              <w:rPr>
                <w:rFonts w:cstheme="minorHAnsi"/>
                <w:b/>
                <w:bCs/>
                <w:sz w:val="22"/>
                <w:szCs w:val="22"/>
              </w:rPr>
            </w:pPr>
            <w:proofErr w:type="gramStart"/>
            <w:r w:rsidRPr="006517D2">
              <w:rPr>
                <w:rFonts w:cstheme="minorHAnsi"/>
                <w:b/>
                <w:bCs/>
                <w:sz w:val="22"/>
                <w:szCs w:val="22"/>
              </w:rPr>
              <w:t>Réf.:</w:t>
            </w:r>
            <w:proofErr w:type="gramEnd"/>
          </w:p>
        </w:tc>
        <w:tc>
          <w:tcPr>
            <w:tcW w:w="3135" w:type="dxa"/>
          </w:tcPr>
          <w:p w14:paraId="39C9FC95" w14:textId="77777777" w:rsidR="006517D2" w:rsidRPr="006517D2" w:rsidRDefault="006517D2" w:rsidP="006517D2">
            <w:pPr>
              <w:tabs>
                <w:tab w:val="left" w:pos="4111"/>
              </w:tabs>
              <w:spacing w:before="10"/>
              <w:ind w:left="57"/>
              <w:rPr>
                <w:rFonts w:cstheme="minorHAnsi"/>
                <w:b/>
                <w:sz w:val="22"/>
                <w:szCs w:val="22"/>
              </w:rPr>
            </w:pPr>
            <w:r w:rsidRPr="006517D2">
              <w:rPr>
                <w:rFonts w:cstheme="minorHAnsi"/>
                <w:b/>
                <w:sz w:val="22"/>
                <w:szCs w:val="22"/>
              </w:rPr>
              <w:t>Circulaire TSB 111</w:t>
            </w:r>
          </w:p>
        </w:tc>
        <w:tc>
          <w:tcPr>
            <w:tcW w:w="5315" w:type="dxa"/>
            <w:vMerge w:val="restart"/>
          </w:tcPr>
          <w:p w14:paraId="14EBB447" w14:textId="77777777" w:rsidR="006517D2" w:rsidRPr="006517D2" w:rsidRDefault="006517D2" w:rsidP="006517D2">
            <w:pPr>
              <w:tabs>
                <w:tab w:val="left" w:pos="4111"/>
              </w:tabs>
              <w:spacing w:before="0"/>
              <w:ind w:left="426" w:hanging="426"/>
              <w:rPr>
                <w:rFonts w:cstheme="minorHAnsi"/>
                <w:sz w:val="22"/>
                <w:szCs w:val="22"/>
              </w:rPr>
            </w:pPr>
            <w:bookmarkStart w:id="1" w:name="Addressee_F"/>
            <w:bookmarkEnd w:id="1"/>
            <w:r w:rsidRPr="006517D2">
              <w:rPr>
                <w:rFonts w:cstheme="minorHAnsi"/>
                <w:sz w:val="22"/>
                <w:szCs w:val="22"/>
              </w:rPr>
              <w:t>–</w:t>
            </w:r>
            <w:r w:rsidRPr="006517D2">
              <w:rPr>
                <w:rFonts w:cstheme="minorHAnsi"/>
                <w:sz w:val="22"/>
                <w:szCs w:val="22"/>
              </w:rPr>
              <w:tab/>
              <w:t xml:space="preserve">Aux Administrations des États Membres de </w:t>
            </w:r>
            <w:proofErr w:type="gramStart"/>
            <w:r w:rsidRPr="006517D2">
              <w:rPr>
                <w:rFonts w:cstheme="minorHAnsi"/>
                <w:sz w:val="22"/>
                <w:szCs w:val="22"/>
              </w:rPr>
              <w:t>l'Union;</w:t>
            </w:r>
            <w:proofErr w:type="gramEnd"/>
          </w:p>
          <w:p w14:paraId="316FBA98" w14:textId="77777777" w:rsidR="006517D2" w:rsidRPr="006517D2" w:rsidRDefault="006517D2" w:rsidP="006517D2">
            <w:pPr>
              <w:tabs>
                <w:tab w:val="left" w:pos="4111"/>
              </w:tabs>
              <w:spacing w:before="0"/>
              <w:ind w:left="426" w:hanging="426"/>
              <w:rPr>
                <w:rFonts w:cstheme="minorHAnsi"/>
                <w:sz w:val="22"/>
                <w:szCs w:val="22"/>
              </w:rPr>
            </w:pPr>
            <w:r w:rsidRPr="006517D2">
              <w:rPr>
                <w:rFonts w:cstheme="minorHAnsi"/>
                <w:sz w:val="22"/>
                <w:szCs w:val="22"/>
              </w:rPr>
              <w:t>–</w:t>
            </w:r>
            <w:r w:rsidRPr="006517D2">
              <w:rPr>
                <w:rFonts w:cstheme="minorHAnsi"/>
                <w:sz w:val="22"/>
                <w:szCs w:val="22"/>
              </w:rPr>
              <w:tab/>
              <w:t>À l'État de Palestine (Rés. 99 (Rév. Dubaï, 2018)</w:t>
            </w:r>
            <w:proofErr w:type="gramStart"/>
            <w:r w:rsidRPr="006517D2">
              <w:rPr>
                <w:rFonts w:cstheme="minorHAnsi"/>
                <w:sz w:val="22"/>
                <w:szCs w:val="22"/>
              </w:rPr>
              <w:t>);</w:t>
            </w:r>
            <w:proofErr w:type="gramEnd"/>
          </w:p>
          <w:p w14:paraId="265638E7" w14:textId="77777777" w:rsidR="006517D2" w:rsidRPr="006517D2" w:rsidRDefault="006517D2" w:rsidP="006517D2">
            <w:pPr>
              <w:tabs>
                <w:tab w:val="left" w:pos="4111"/>
              </w:tabs>
              <w:spacing w:before="0"/>
              <w:ind w:left="426" w:hanging="426"/>
              <w:rPr>
                <w:rFonts w:cstheme="minorHAnsi"/>
                <w:sz w:val="22"/>
                <w:szCs w:val="22"/>
              </w:rPr>
            </w:pPr>
            <w:r w:rsidRPr="006517D2">
              <w:rPr>
                <w:rFonts w:cstheme="minorHAnsi"/>
                <w:sz w:val="22"/>
                <w:szCs w:val="22"/>
              </w:rPr>
              <w:t>–</w:t>
            </w:r>
            <w:r w:rsidRPr="006517D2">
              <w:rPr>
                <w:rFonts w:cstheme="minorHAnsi"/>
                <w:sz w:val="22"/>
                <w:szCs w:val="22"/>
              </w:rPr>
              <w:tab/>
              <w:t>Aux Membres du Secteur de l'UIT-</w:t>
            </w:r>
            <w:proofErr w:type="gramStart"/>
            <w:r w:rsidRPr="006517D2">
              <w:rPr>
                <w:rFonts w:cstheme="minorHAnsi"/>
                <w:sz w:val="22"/>
                <w:szCs w:val="22"/>
              </w:rPr>
              <w:t>T;</w:t>
            </w:r>
            <w:proofErr w:type="gramEnd"/>
          </w:p>
          <w:p w14:paraId="54D1CE08" w14:textId="77777777" w:rsidR="006517D2" w:rsidRPr="006517D2" w:rsidRDefault="006517D2" w:rsidP="006517D2">
            <w:pPr>
              <w:tabs>
                <w:tab w:val="left" w:pos="4111"/>
              </w:tabs>
              <w:spacing w:before="0"/>
              <w:ind w:left="426" w:hanging="426"/>
              <w:rPr>
                <w:rFonts w:cstheme="minorHAnsi"/>
                <w:sz w:val="22"/>
                <w:szCs w:val="22"/>
              </w:rPr>
            </w:pPr>
            <w:r w:rsidRPr="006517D2">
              <w:rPr>
                <w:rFonts w:cstheme="minorHAnsi"/>
                <w:sz w:val="22"/>
                <w:szCs w:val="22"/>
              </w:rPr>
              <w:t>–</w:t>
            </w:r>
            <w:r w:rsidRPr="006517D2">
              <w:rPr>
                <w:rFonts w:cstheme="minorHAnsi"/>
                <w:sz w:val="22"/>
                <w:szCs w:val="22"/>
              </w:rPr>
              <w:tab/>
              <w:t>Aux Associés de l'UIT-</w:t>
            </w:r>
            <w:proofErr w:type="gramStart"/>
            <w:r w:rsidRPr="006517D2">
              <w:rPr>
                <w:rFonts w:cstheme="minorHAnsi"/>
                <w:sz w:val="22"/>
                <w:szCs w:val="22"/>
              </w:rPr>
              <w:t>T;</w:t>
            </w:r>
            <w:proofErr w:type="gramEnd"/>
          </w:p>
          <w:p w14:paraId="0FD9FA20" w14:textId="77777777" w:rsidR="006517D2" w:rsidRPr="006517D2" w:rsidRDefault="006517D2" w:rsidP="006517D2">
            <w:pPr>
              <w:tabs>
                <w:tab w:val="left" w:pos="4111"/>
              </w:tabs>
              <w:spacing w:before="0"/>
              <w:ind w:left="426" w:hanging="426"/>
              <w:rPr>
                <w:rFonts w:cstheme="minorHAnsi"/>
                <w:sz w:val="22"/>
                <w:szCs w:val="22"/>
              </w:rPr>
            </w:pPr>
            <w:r w:rsidRPr="006517D2">
              <w:rPr>
                <w:rFonts w:cstheme="minorHAnsi"/>
                <w:sz w:val="22"/>
                <w:szCs w:val="22"/>
              </w:rPr>
              <w:t>–</w:t>
            </w:r>
            <w:r w:rsidRPr="006517D2">
              <w:rPr>
                <w:rFonts w:cstheme="minorHAnsi"/>
                <w:sz w:val="22"/>
                <w:szCs w:val="22"/>
              </w:rPr>
              <w:tab/>
              <w:t>Aux Missions permanentes et aux Ambassades à Genève</w:t>
            </w:r>
          </w:p>
          <w:p w14:paraId="385D62B6" w14:textId="77777777" w:rsidR="006517D2" w:rsidRPr="006517D2" w:rsidRDefault="006517D2" w:rsidP="006517D2">
            <w:pPr>
              <w:tabs>
                <w:tab w:val="clear" w:pos="794"/>
                <w:tab w:val="left" w:pos="226"/>
                <w:tab w:val="left" w:pos="4111"/>
              </w:tabs>
              <w:spacing w:before="0"/>
              <w:ind w:left="226" w:hanging="226"/>
              <w:rPr>
                <w:rFonts w:cstheme="minorHAnsi"/>
                <w:b/>
                <w:bCs/>
                <w:sz w:val="22"/>
                <w:szCs w:val="22"/>
              </w:rPr>
            </w:pPr>
            <w:proofErr w:type="gramStart"/>
            <w:r w:rsidRPr="006517D2">
              <w:rPr>
                <w:rFonts w:cstheme="minorHAnsi"/>
                <w:b/>
                <w:bCs/>
                <w:sz w:val="22"/>
                <w:szCs w:val="22"/>
              </w:rPr>
              <w:t>Copie:</w:t>
            </w:r>
            <w:proofErr w:type="gramEnd"/>
          </w:p>
          <w:p w14:paraId="71A0A5B9" w14:textId="77777777" w:rsidR="006517D2" w:rsidRPr="006517D2" w:rsidRDefault="006517D2" w:rsidP="006517D2">
            <w:pPr>
              <w:tabs>
                <w:tab w:val="clear" w:pos="794"/>
                <w:tab w:val="left" w:pos="4111"/>
              </w:tabs>
              <w:spacing w:before="0"/>
              <w:ind w:left="426" w:hanging="426"/>
              <w:rPr>
                <w:rFonts w:cstheme="minorHAnsi"/>
                <w:sz w:val="22"/>
                <w:szCs w:val="22"/>
              </w:rPr>
            </w:pPr>
            <w:r w:rsidRPr="006517D2">
              <w:rPr>
                <w:rFonts w:cstheme="minorHAnsi"/>
                <w:sz w:val="22"/>
                <w:szCs w:val="22"/>
              </w:rPr>
              <w:t>–</w:t>
            </w:r>
            <w:r w:rsidRPr="006517D2">
              <w:rPr>
                <w:rFonts w:cstheme="minorHAnsi"/>
                <w:sz w:val="22"/>
                <w:szCs w:val="22"/>
              </w:rPr>
              <w:tab/>
              <w:t xml:space="preserve">Aux Présidents et Vice-Présidents des commissions </w:t>
            </w:r>
            <w:proofErr w:type="gramStart"/>
            <w:r w:rsidRPr="006517D2">
              <w:rPr>
                <w:rFonts w:cstheme="minorHAnsi"/>
                <w:sz w:val="22"/>
                <w:szCs w:val="22"/>
              </w:rPr>
              <w:t>d'études;</w:t>
            </w:r>
            <w:proofErr w:type="gramEnd"/>
          </w:p>
          <w:p w14:paraId="3B02A098" w14:textId="77777777" w:rsidR="006517D2" w:rsidRPr="006517D2" w:rsidRDefault="006517D2" w:rsidP="006517D2">
            <w:pPr>
              <w:tabs>
                <w:tab w:val="clear" w:pos="794"/>
                <w:tab w:val="left" w:pos="4111"/>
              </w:tabs>
              <w:spacing w:before="0"/>
              <w:ind w:left="426" w:hanging="426"/>
              <w:rPr>
                <w:rFonts w:cstheme="minorHAnsi"/>
                <w:sz w:val="22"/>
                <w:szCs w:val="22"/>
              </w:rPr>
            </w:pPr>
            <w:r w:rsidRPr="006517D2">
              <w:rPr>
                <w:rFonts w:cstheme="minorHAnsi"/>
                <w:sz w:val="22"/>
                <w:szCs w:val="22"/>
              </w:rPr>
              <w:t>–</w:t>
            </w:r>
            <w:r w:rsidRPr="006517D2">
              <w:rPr>
                <w:rFonts w:cstheme="minorHAnsi"/>
                <w:sz w:val="22"/>
                <w:szCs w:val="22"/>
              </w:rPr>
              <w:tab/>
              <w:t xml:space="preserve">Au Directeur du Bureau de développement des </w:t>
            </w:r>
            <w:proofErr w:type="gramStart"/>
            <w:r w:rsidRPr="006517D2">
              <w:rPr>
                <w:rFonts w:cstheme="minorHAnsi"/>
                <w:sz w:val="22"/>
                <w:szCs w:val="22"/>
              </w:rPr>
              <w:t>télécommunications;</w:t>
            </w:r>
            <w:proofErr w:type="gramEnd"/>
          </w:p>
          <w:p w14:paraId="6ED7C0C1" w14:textId="77777777" w:rsidR="006517D2" w:rsidRPr="006517D2" w:rsidRDefault="006517D2" w:rsidP="006517D2">
            <w:pPr>
              <w:tabs>
                <w:tab w:val="left" w:pos="4111"/>
              </w:tabs>
              <w:spacing w:before="0"/>
              <w:ind w:left="426" w:hanging="426"/>
              <w:rPr>
                <w:rFonts w:cstheme="minorHAnsi"/>
                <w:sz w:val="22"/>
                <w:szCs w:val="22"/>
              </w:rPr>
            </w:pPr>
            <w:r w:rsidRPr="006517D2">
              <w:rPr>
                <w:rFonts w:cstheme="minorHAnsi"/>
                <w:sz w:val="22"/>
                <w:szCs w:val="22"/>
              </w:rPr>
              <w:t>–</w:t>
            </w:r>
            <w:r w:rsidRPr="006517D2">
              <w:rPr>
                <w:rFonts w:cstheme="minorHAnsi"/>
                <w:sz w:val="22"/>
                <w:szCs w:val="22"/>
              </w:rPr>
              <w:tab/>
              <w:t>Au Directeur du Bureau des radiocommunications</w:t>
            </w:r>
          </w:p>
        </w:tc>
      </w:tr>
      <w:tr w:rsidR="006517D2" w:rsidRPr="006517D2" w14:paraId="591248AB" w14:textId="77777777" w:rsidTr="006517D2">
        <w:trPr>
          <w:cantSplit/>
        </w:trPr>
        <w:tc>
          <w:tcPr>
            <w:tcW w:w="0" w:type="auto"/>
          </w:tcPr>
          <w:p w14:paraId="42DA8D3D" w14:textId="77777777" w:rsidR="006517D2" w:rsidRPr="006517D2" w:rsidRDefault="006517D2" w:rsidP="006517D2">
            <w:pPr>
              <w:tabs>
                <w:tab w:val="left" w:pos="4111"/>
              </w:tabs>
              <w:spacing w:before="10"/>
              <w:rPr>
                <w:rFonts w:cstheme="minorHAnsi"/>
                <w:sz w:val="22"/>
                <w:szCs w:val="22"/>
              </w:rPr>
            </w:pPr>
            <w:proofErr w:type="gramStart"/>
            <w:r w:rsidRPr="006517D2">
              <w:rPr>
                <w:rFonts w:cstheme="minorHAnsi"/>
                <w:sz w:val="22"/>
                <w:szCs w:val="22"/>
              </w:rPr>
              <w:t>Tél.:</w:t>
            </w:r>
            <w:proofErr w:type="gramEnd"/>
          </w:p>
        </w:tc>
        <w:tc>
          <w:tcPr>
            <w:tcW w:w="3135" w:type="dxa"/>
          </w:tcPr>
          <w:p w14:paraId="556937D3" w14:textId="77777777" w:rsidR="006517D2" w:rsidRPr="006517D2" w:rsidRDefault="006517D2" w:rsidP="006517D2">
            <w:pPr>
              <w:tabs>
                <w:tab w:val="left" w:pos="4111"/>
              </w:tabs>
              <w:spacing w:before="0"/>
              <w:ind w:left="57"/>
              <w:rPr>
                <w:rFonts w:cstheme="minorHAnsi"/>
                <w:sz w:val="22"/>
                <w:szCs w:val="22"/>
              </w:rPr>
            </w:pPr>
            <w:r w:rsidRPr="006517D2">
              <w:rPr>
                <w:rFonts w:cstheme="minorHAnsi"/>
                <w:sz w:val="22"/>
                <w:szCs w:val="22"/>
              </w:rPr>
              <w:t>+41 22 730 5827</w:t>
            </w:r>
          </w:p>
        </w:tc>
        <w:tc>
          <w:tcPr>
            <w:tcW w:w="5315" w:type="dxa"/>
            <w:vMerge/>
          </w:tcPr>
          <w:p w14:paraId="408F6B40" w14:textId="77777777" w:rsidR="006517D2" w:rsidRPr="006517D2" w:rsidRDefault="006517D2" w:rsidP="006517D2">
            <w:pPr>
              <w:tabs>
                <w:tab w:val="left" w:pos="4111"/>
              </w:tabs>
              <w:spacing w:before="0"/>
              <w:ind w:left="426" w:hanging="426"/>
              <w:rPr>
                <w:rFonts w:cstheme="minorHAnsi"/>
                <w:b/>
                <w:sz w:val="22"/>
                <w:szCs w:val="22"/>
              </w:rPr>
            </w:pPr>
          </w:p>
        </w:tc>
      </w:tr>
      <w:tr w:rsidR="006517D2" w:rsidRPr="006517D2" w14:paraId="5CADA8F1" w14:textId="77777777" w:rsidTr="006517D2">
        <w:trPr>
          <w:cantSplit/>
          <w:trHeight w:val="586"/>
        </w:trPr>
        <w:tc>
          <w:tcPr>
            <w:tcW w:w="0" w:type="auto"/>
          </w:tcPr>
          <w:p w14:paraId="2D7AC0D5" w14:textId="77777777" w:rsidR="006517D2" w:rsidRPr="006517D2" w:rsidRDefault="006517D2" w:rsidP="006517D2">
            <w:pPr>
              <w:tabs>
                <w:tab w:val="left" w:pos="4111"/>
              </w:tabs>
              <w:spacing w:before="10"/>
              <w:rPr>
                <w:rFonts w:cstheme="minorHAnsi"/>
                <w:sz w:val="22"/>
                <w:szCs w:val="22"/>
              </w:rPr>
            </w:pPr>
            <w:proofErr w:type="gramStart"/>
            <w:r w:rsidRPr="006517D2">
              <w:rPr>
                <w:rFonts w:cstheme="minorHAnsi"/>
                <w:sz w:val="22"/>
                <w:szCs w:val="22"/>
              </w:rPr>
              <w:t>Télécopie:</w:t>
            </w:r>
            <w:proofErr w:type="gramEnd"/>
          </w:p>
        </w:tc>
        <w:tc>
          <w:tcPr>
            <w:tcW w:w="3135" w:type="dxa"/>
          </w:tcPr>
          <w:p w14:paraId="594476C1" w14:textId="77777777" w:rsidR="006517D2" w:rsidRPr="006517D2" w:rsidRDefault="006517D2" w:rsidP="006517D2">
            <w:pPr>
              <w:tabs>
                <w:tab w:val="left" w:pos="4111"/>
              </w:tabs>
              <w:spacing w:before="0"/>
              <w:ind w:left="57"/>
              <w:rPr>
                <w:rFonts w:cstheme="minorHAnsi"/>
                <w:sz w:val="22"/>
                <w:szCs w:val="22"/>
              </w:rPr>
            </w:pPr>
            <w:r w:rsidRPr="006517D2">
              <w:rPr>
                <w:rFonts w:cstheme="minorHAnsi"/>
                <w:sz w:val="22"/>
                <w:szCs w:val="22"/>
              </w:rPr>
              <w:t>+41 22 730 5853</w:t>
            </w:r>
          </w:p>
        </w:tc>
        <w:tc>
          <w:tcPr>
            <w:tcW w:w="5315" w:type="dxa"/>
            <w:vMerge/>
          </w:tcPr>
          <w:p w14:paraId="328CBFFA" w14:textId="77777777" w:rsidR="006517D2" w:rsidRPr="006517D2" w:rsidRDefault="006517D2" w:rsidP="006517D2">
            <w:pPr>
              <w:tabs>
                <w:tab w:val="left" w:pos="4111"/>
              </w:tabs>
              <w:spacing w:before="0"/>
              <w:ind w:left="426" w:hanging="426"/>
              <w:rPr>
                <w:rFonts w:cstheme="minorHAnsi"/>
                <w:b/>
                <w:sz w:val="22"/>
                <w:szCs w:val="22"/>
              </w:rPr>
            </w:pPr>
          </w:p>
        </w:tc>
      </w:tr>
      <w:tr w:rsidR="006517D2" w:rsidRPr="006517D2" w14:paraId="1B34ACE8" w14:textId="77777777" w:rsidTr="006517D2">
        <w:trPr>
          <w:cantSplit/>
        </w:trPr>
        <w:tc>
          <w:tcPr>
            <w:tcW w:w="0" w:type="auto"/>
          </w:tcPr>
          <w:p w14:paraId="0D371E90" w14:textId="77777777" w:rsidR="006517D2" w:rsidRPr="006517D2" w:rsidRDefault="006517D2" w:rsidP="006517D2">
            <w:pPr>
              <w:tabs>
                <w:tab w:val="left" w:pos="4111"/>
              </w:tabs>
              <w:spacing w:before="10"/>
              <w:rPr>
                <w:rFonts w:cstheme="minorHAnsi"/>
                <w:sz w:val="22"/>
                <w:szCs w:val="22"/>
              </w:rPr>
            </w:pPr>
            <w:proofErr w:type="gramStart"/>
            <w:r w:rsidRPr="006517D2">
              <w:rPr>
                <w:rFonts w:cstheme="minorHAnsi"/>
                <w:sz w:val="22"/>
                <w:szCs w:val="22"/>
              </w:rPr>
              <w:t>Courriel:</w:t>
            </w:r>
            <w:proofErr w:type="gramEnd"/>
          </w:p>
        </w:tc>
        <w:tc>
          <w:tcPr>
            <w:tcW w:w="3135" w:type="dxa"/>
          </w:tcPr>
          <w:p w14:paraId="169C3B34" w14:textId="77777777" w:rsidR="006517D2" w:rsidRPr="006517D2" w:rsidRDefault="006517D2" w:rsidP="006517D2">
            <w:pPr>
              <w:tabs>
                <w:tab w:val="left" w:pos="4111"/>
              </w:tabs>
              <w:spacing w:before="0"/>
              <w:ind w:left="57"/>
              <w:rPr>
                <w:rFonts w:cstheme="minorHAnsi"/>
                <w:sz w:val="22"/>
                <w:szCs w:val="22"/>
              </w:rPr>
            </w:pPr>
            <w:hyperlink r:id="rId9" w:history="1">
              <w:r w:rsidRPr="006517D2">
                <w:rPr>
                  <w:rStyle w:val="Hyperlink"/>
                  <w:rFonts w:cstheme="minorHAnsi"/>
                  <w:sz w:val="22"/>
                  <w:szCs w:val="22"/>
                </w:rPr>
                <w:t>ai@itu.int</w:t>
              </w:r>
            </w:hyperlink>
          </w:p>
        </w:tc>
        <w:tc>
          <w:tcPr>
            <w:tcW w:w="5315" w:type="dxa"/>
            <w:vMerge/>
          </w:tcPr>
          <w:p w14:paraId="0297F8E9" w14:textId="77777777" w:rsidR="006517D2" w:rsidRPr="006517D2" w:rsidRDefault="006517D2" w:rsidP="006517D2">
            <w:pPr>
              <w:tabs>
                <w:tab w:val="clear" w:pos="794"/>
                <w:tab w:val="left" w:pos="4111"/>
              </w:tabs>
              <w:spacing w:before="0"/>
              <w:ind w:left="426" w:hanging="426"/>
              <w:rPr>
                <w:rFonts w:cstheme="minorHAnsi"/>
                <w:sz w:val="22"/>
                <w:szCs w:val="22"/>
              </w:rPr>
            </w:pPr>
          </w:p>
        </w:tc>
      </w:tr>
      <w:tr w:rsidR="006517D2" w:rsidRPr="006517D2" w14:paraId="09D1F191" w14:textId="77777777" w:rsidTr="006517D2">
        <w:trPr>
          <w:cantSplit/>
          <w:trHeight w:val="397"/>
        </w:trPr>
        <w:tc>
          <w:tcPr>
            <w:tcW w:w="0" w:type="auto"/>
          </w:tcPr>
          <w:p w14:paraId="4EDA04D8" w14:textId="77777777" w:rsidR="006517D2" w:rsidRPr="006517D2" w:rsidRDefault="006517D2" w:rsidP="006517D2">
            <w:pPr>
              <w:tabs>
                <w:tab w:val="left" w:pos="4111"/>
              </w:tabs>
              <w:spacing w:before="40"/>
              <w:rPr>
                <w:rFonts w:cstheme="minorHAnsi"/>
                <w:b/>
                <w:bCs/>
                <w:sz w:val="22"/>
                <w:szCs w:val="22"/>
              </w:rPr>
            </w:pPr>
            <w:proofErr w:type="gramStart"/>
            <w:r w:rsidRPr="006517D2">
              <w:rPr>
                <w:rFonts w:cstheme="minorHAnsi"/>
                <w:b/>
                <w:bCs/>
                <w:sz w:val="22"/>
                <w:szCs w:val="22"/>
              </w:rPr>
              <w:t>Objet:</w:t>
            </w:r>
            <w:proofErr w:type="gramEnd"/>
          </w:p>
        </w:tc>
        <w:tc>
          <w:tcPr>
            <w:tcW w:w="0" w:type="auto"/>
            <w:gridSpan w:val="2"/>
          </w:tcPr>
          <w:p w14:paraId="1CF8A4AB" w14:textId="77777777" w:rsidR="006517D2" w:rsidRPr="006517D2" w:rsidRDefault="006517D2" w:rsidP="006517D2">
            <w:pPr>
              <w:tabs>
                <w:tab w:val="left" w:pos="4111"/>
              </w:tabs>
              <w:spacing w:before="40"/>
              <w:ind w:left="57"/>
              <w:rPr>
                <w:rFonts w:cstheme="minorHAnsi"/>
                <w:b/>
                <w:bCs/>
                <w:sz w:val="22"/>
                <w:szCs w:val="22"/>
              </w:rPr>
            </w:pPr>
            <w:r w:rsidRPr="006517D2">
              <w:rPr>
                <w:rFonts w:cstheme="minorHAnsi"/>
                <w:b/>
                <w:bCs/>
                <w:sz w:val="22"/>
                <w:szCs w:val="22"/>
              </w:rPr>
              <w:t>Sommet mondial de 2026 sur l'intelligence artificielle au service du bien social – Appels à participation</w:t>
            </w:r>
          </w:p>
        </w:tc>
      </w:tr>
    </w:tbl>
    <w:p w14:paraId="2D1EC328" w14:textId="77777777" w:rsidR="00517A03" w:rsidRPr="006517D2" w:rsidRDefault="00517A03" w:rsidP="006517D2">
      <w:pPr>
        <w:rPr>
          <w:rFonts w:cstheme="minorHAnsi"/>
          <w:sz w:val="22"/>
          <w:szCs w:val="22"/>
        </w:rPr>
      </w:pPr>
      <w:r w:rsidRPr="006517D2">
        <w:rPr>
          <w:rFonts w:cstheme="minorHAnsi"/>
          <w:sz w:val="22"/>
          <w:szCs w:val="22"/>
        </w:rPr>
        <w:t>Madame, Monsieur,</w:t>
      </w:r>
    </w:p>
    <w:p w14:paraId="2B854DA3" w14:textId="2A6D0D38" w:rsidR="00E32996" w:rsidRPr="006517D2" w:rsidRDefault="00E32996" w:rsidP="00E32996">
      <w:pPr>
        <w:rPr>
          <w:rFonts w:cstheme="minorHAnsi"/>
          <w:bCs/>
          <w:sz w:val="22"/>
          <w:szCs w:val="22"/>
        </w:rPr>
      </w:pPr>
      <w:r w:rsidRPr="006517D2">
        <w:rPr>
          <w:rFonts w:cstheme="minorHAnsi"/>
          <w:bCs/>
          <w:sz w:val="22"/>
          <w:szCs w:val="22"/>
        </w:rPr>
        <w:t>J'ai l'honneur de vous informer que les appels à participation pour l</w:t>
      </w:r>
      <w:r w:rsidRPr="006517D2">
        <w:rPr>
          <w:rFonts w:cstheme="minorHAnsi"/>
          <w:bCs/>
          <w:sz w:val="22"/>
          <w:szCs w:val="22"/>
          <w:u w:val="single"/>
        </w:rPr>
        <w:t>'</w:t>
      </w:r>
      <w:hyperlink r:id="rId10" w:anchor="/fr" w:history="1">
        <w:r w:rsidRPr="006517D2">
          <w:rPr>
            <w:rStyle w:val="Hyperlink"/>
            <w:rFonts w:cstheme="minorHAnsi"/>
            <w:bCs/>
            <w:sz w:val="22"/>
            <w:szCs w:val="22"/>
          </w:rPr>
          <w:t>édition de 2026 du Sommet mondial sur l'intelligence artificielle au service du bien social</w:t>
        </w:r>
      </w:hyperlink>
      <w:r w:rsidRPr="006517D2">
        <w:rPr>
          <w:rFonts w:cstheme="minorHAnsi"/>
          <w:bCs/>
          <w:sz w:val="22"/>
          <w:szCs w:val="22"/>
        </w:rPr>
        <w:t>, qui se tiendra du 7 au 10 juillet 2026 au Centre international de conférences et d'expositions Palexpo à Genève (Suisse), sont désormais ouverts.</w:t>
      </w:r>
      <w:hyperlink r:id="rId11" w:history="1"/>
    </w:p>
    <w:p w14:paraId="340022D5" w14:textId="07CF35C5" w:rsidR="00E32996" w:rsidRPr="006517D2" w:rsidRDefault="00E32996" w:rsidP="00E32996">
      <w:pPr>
        <w:rPr>
          <w:rFonts w:cstheme="minorHAnsi"/>
          <w:bCs/>
          <w:sz w:val="22"/>
          <w:szCs w:val="22"/>
        </w:rPr>
      </w:pPr>
      <w:r w:rsidRPr="006517D2">
        <w:rPr>
          <w:rFonts w:cstheme="minorHAnsi"/>
          <w:bCs/>
          <w:sz w:val="22"/>
          <w:szCs w:val="22"/>
        </w:rPr>
        <w:t>Principale tribune des Nations Unies consacrée à l'intelligence artificielle (IA), ce Sommet est organisé par l'Union internationale des télécommunications (UIT) en partenariat avec 53</w:t>
      </w:r>
      <w:r w:rsidR="00F51657" w:rsidRPr="006517D2">
        <w:rPr>
          <w:rFonts w:cstheme="minorHAnsi"/>
          <w:bCs/>
          <w:sz w:val="22"/>
          <w:szCs w:val="22"/>
        </w:rPr>
        <w:t> </w:t>
      </w:r>
      <w:r w:rsidRPr="006517D2">
        <w:rPr>
          <w:rFonts w:cstheme="minorHAnsi"/>
          <w:bCs/>
          <w:sz w:val="22"/>
          <w:szCs w:val="22"/>
        </w:rPr>
        <w:t>institutions des Nations Unies et conjointement avec le Gouvernement suisse. Il a pour mission d'exploiter les promesses de l'intelligence artificielle au service de l'humanité. En tant que plate</w:t>
      </w:r>
      <w:r w:rsidR="00F51657" w:rsidRPr="006517D2">
        <w:rPr>
          <w:rFonts w:cstheme="minorHAnsi"/>
          <w:bCs/>
          <w:sz w:val="22"/>
          <w:szCs w:val="22"/>
        </w:rPr>
        <w:noBreakHyphen/>
      </w:r>
      <w:r w:rsidRPr="006517D2">
        <w:rPr>
          <w:rFonts w:cstheme="minorHAnsi"/>
          <w:bCs/>
          <w:sz w:val="22"/>
          <w:szCs w:val="22"/>
        </w:rPr>
        <w:t>forme multi-parties prenantes, le Sommet sur l'IA au service du bien social a pour but de faire progresser le développement des compétences, les normes, les échanges de politiques et l'innovation responsable dans le domaine de l'IA.</w:t>
      </w:r>
    </w:p>
    <w:p w14:paraId="04451D33" w14:textId="62A760F2" w:rsidR="00E32996" w:rsidRPr="006517D2" w:rsidRDefault="00E32996" w:rsidP="00E32996">
      <w:pPr>
        <w:rPr>
          <w:rFonts w:cstheme="minorHAnsi"/>
          <w:bCs/>
          <w:sz w:val="22"/>
          <w:szCs w:val="22"/>
        </w:rPr>
      </w:pPr>
      <w:r w:rsidRPr="006517D2">
        <w:rPr>
          <w:rFonts w:cstheme="minorHAnsi"/>
          <w:bCs/>
          <w:sz w:val="22"/>
          <w:szCs w:val="22"/>
        </w:rPr>
        <w:t xml:space="preserve">Dans la perspective de l'édition de 2026 du Sommet, j'invite les parties prenantes intéressées à soumettre leurs propositions concernant les appels </w:t>
      </w:r>
      <w:proofErr w:type="gramStart"/>
      <w:r w:rsidRPr="006517D2">
        <w:rPr>
          <w:rFonts w:cstheme="minorHAnsi"/>
          <w:bCs/>
          <w:sz w:val="22"/>
          <w:szCs w:val="22"/>
        </w:rPr>
        <w:t>suivants:</w:t>
      </w:r>
      <w:proofErr w:type="gramEnd"/>
    </w:p>
    <w:p w14:paraId="6A7DDC81" w14:textId="77777777" w:rsidR="00E32996" w:rsidRPr="006517D2" w:rsidRDefault="00E32996" w:rsidP="00F51657">
      <w:pPr>
        <w:pStyle w:val="headingb"/>
        <w:rPr>
          <w:rFonts w:cstheme="minorHAnsi"/>
          <w:sz w:val="22"/>
          <w:szCs w:val="22"/>
        </w:rPr>
      </w:pPr>
      <w:r w:rsidRPr="006517D2">
        <w:rPr>
          <w:rFonts w:cstheme="minorHAnsi"/>
          <w:sz w:val="22"/>
          <w:szCs w:val="22"/>
        </w:rPr>
        <w:t>Nomination des orateurs</w:t>
      </w:r>
    </w:p>
    <w:p w14:paraId="3E52F788" w14:textId="66D89BFD" w:rsidR="00445A09" w:rsidRPr="006517D2" w:rsidRDefault="00E32996" w:rsidP="006517D2">
      <w:pPr>
        <w:rPr>
          <w:rFonts w:cstheme="minorHAnsi"/>
          <w:bCs/>
          <w:sz w:val="22"/>
          <w:szCs w:val="22"/>
        </w:rPr>
      </w:pPr>
      <w:r w:rsidRPr="006517D2">
        <w:rPr>
          <w:rFonts w:cstheme="minorHAnsi"/>
          <w:bCs/>
          <w:sz w:val="22"/>
          <w:szCs w:val="22"/>
        </w:rPr>
        <w:t xml:space="preserve">Les parties prenantes intéressées sont invitées à soumettre des propositions d'intervention en vue de contribuer au programme du Sommet de 2026 avant le 15 mars 2026. Des informations détaillées sur le processus de soumission, le calendrier et les lignes directrices en matière de contenu sont disponibles </w:t>
      </w:r>
      <w:hyperlink r:id="rId12" w:anchor="/fr" w:history="1">
        <w:r w:rsidRPr="006517D2">
          <w:rPr>
            <w:rStyle w:val="Hyperlink"/>
            <w:rFonts w:cstheme="minorHAnsi"/>
            <w:bCs/>
            <w:sz w:val="22"/>
            <w:szCs w:val="22"/>
          </w:rPr>
          <w:t>ici</w:t>
        </w:r>
      </w:hyperlink>
      <w:r w:rsidRPr="006517D2">
        <w:rPr>
          <w:rFonts w:cstheme="minorHAnsi"/>
          <w:bCs/>
          <w:sz w:val="22"/>
          <w:szCs w:val="22"/>
        </w:rPr>
        <w:t>. </w:t>
      </w:r>
      <w:hyperlink r:id="rId13" w:tgtFrame="_blank" w:history="1"/>
    </w:p>
    <w:p w14:paraId="6E062237" w14:textId="4AE7EBEE" w:rsidR="00E32996" w:rsidRPr="006517D2" w:rsidRDefault="00E32996" w:rsidP="00F51657">
      <w:pPr>
        <w:pStyle w:val="headingb"/>
        <w:rPr>
          <w:rFonts w:cstheme="minorHAnsi"/>
          <w:sz w:val="22"/>
          <w:szCs w:val="22"/>
        </w:rPr>
      </w:pPr>
      <w:r w:rsidRPr="006517D2">
        <w:rPr>
          <w:rFonts w:cstheme="minorHAnsi"/>
          <w:sz w:val="22"/>
          <w:szCs w:val="22"/>
        </w:rPr>
        <w:t>Prix AI for Good Impact (2ème édition)</w:t>
      </w:r>
    </w:p>
    <w:p w14:paraId="7C5B9C86" w14:textId="36975A1B" w:rsidR="00E32996" w:rsidRPr="006517D2" w:rsidRDefault="00E32996" w:rsidP="00F51657">
      <w:pPr>
        <w:keepNext/>
        <w:keepLines/>
        <w:rPr>
          <w:rFonts w:cstheme="minorHAnsi"/>
          <w:bCs/>
          <w:sz w:val="22"/>
          <w:szCs w:val="22"/>
        </w:rPr>
      </w:pPr>
      <w:r w:rsidRPr="006517D2">
        <w:rPr>
          <w:rFonts w:cstheme="minorHAnsi"/>
          <w:bCs/>
          <w:sz w:val="22"/>
          <w:szCs w:val="22"/>
        </w:rPr>
        <w:t>Les prix AI for Good Impact (les effets de l'IA au service du bien social) récompensent à l'échelle mondiale des solutions innovantes en matière d'intelligence artificielle qui produisent des effets concrets. Les grandes entreprises, les PME, les organisations à but non lucratif, les établissements universitaires, les organismes publics et les contributeurs individuels sont invités à présenter leurs solutions d'IA dans les catégories "l'IA au service des personnes", "l'IA au service de la planète" et "l'IA au service de la prospérité". Les solutions les plus innovantes et les plus efficaces seront récompensées lors de la cérémonie de remise des prix "AI for Good Impact" lors du Sommet mondial sur l'IA au service du bien social de 2026 à Genève.</w:t>
      </w:r>
    </w:p>
    <w:p w14:paraId="6190CD52" w14:textId="3D06A1ED" w:rsidR="00E32996" w:rsidRPr="006517D2" w:rsidRDefault="00E32996" w:rsidP="00E32996">
      <w:pPr>
        <w:rPr>
          <w:rFonts w:cstheme="minorHAnsi"/>
          <w:bCs/>
          <w:sz w:val="22"/>
          <w:szCs w:val="22"/>
        </w:rPr>
      </w:pPr>
      <w:r w:rsidRPr="006517D2">
        <w:rPr>
          <w:rFonts w:cstheme="minorHAnsi"/>
          <w:bCs/>
          <w:sz w:val="22"/>
          <w:szCs w:val="22"/>
        </w:rPr>
        <w:t>La date limite de soumission des candidatures pour les prix "AI for Good Impact" est fixée au 15</w:t>
      </w:r>
      <w:r w:rsidR="00F51657" w:rsidRPr="006517D2">
        <w:rPr>
          <w:rFonts w:cstheme="minorHAnsi"/>
          <w:bCs/>
          <w:sz w:val="22"/>
          <w:szCs w:val="22"/>
        </w:rPr>
        <w:t> </w:t>
      </w:r>
      <w:r w:rsidRPr="006517D2">
        <w:rPr>
          <w:rFonts w:cstheme="minorHAnsi"/>
          <w:bCs/>
          <w:sz w:val="22"/>
          <w:szCs w:val="22"/>
        </w:rPr>
        <w:t xml:space="preserve">mars 2026. Des informations détaillées sur le processus de soumission, le calendrier et les directives de contenu sont disponibles </w:t>
      </w:r>
      <w:hyperlink r:id="rId14" w:anchor="/fr" w:history="1">
        <w:r w:rsidRPr="006517D2">
          <w:rPr>
            <w:rStyle w:val="Hyperlink"/>
            <w:rFonts w:cstheme="minorHAnsi"/>
            <w:bCs/>
            <w:sz w:val="22"/>
            <w:szCs w:val="22"/>
          </w:rPr>
          <w:t>ici</w:t>
        </w:r>
      </w:hyperlink>
      <w:r w:rsidRPr="006517D2">
        <w:rPr>
          <w:rFonts w:cstheme="minorHAnsi"/>
          <w:bCs/>
          <w:sz w:val="22"/>
          <w:szCs w:val="22"/>
        </w:rPr>
        <w:t>. </w:t>
      </w:r>
      <w:hyperlink r:id="rId15" w:tgtFrame="_blank" w:history="1"/>
    </w:p>
    <w:p w14:paraId="0B219A62" w14:textId="77777777" w:rsidR="00E32996" w:rsidRPr="006517D2" w:rsidRDefault="00E32996" w:rsidP="00F51657">
      <w:pPr>
        <w:pStyle w:val="headingb"/>
        <w:rPr>
          <w:rFonts w:cstheme="minorHAnsi"/>
          <w:sz w:val="22"/>
          <w:szCs w:val="22"/>
        </w:rPr>
      </w:pPr>
      <w:r w:rsidRPr="006517D2">
        <w:rPr>
          <w:rFonts w:cstheme="minorHAnsi"/>
          <w:sz w:val="22"/>
          <w:szCs w:val="22"/>
        </w:rPr>
        <w:t>Tableaux du futur (3ème édition)</w:t>
      </w:r>
    </w:p>
    <w:p w14:paraId="232C620B" w14:textId="46E4611C" w:rsidR="00E32996" w:rsidRPr="006517D2" w:rsidRDefault="00E32996" w:rsidP="00E32996">
      <w:pPr>
        <w:rPr>
          <w:rFonts w:cstheme="minorHAnsi"/>
          <w:bCs/>
          <w:sz w:val="22"/>
          <w:szCs w:val="22"/>
        </w:rPr>
      </w:pPr>
      <w:r w:rsidRPr="006517D2">
        <w:rPr>
          <w:rFonts w:cstheme="minorHAnsi"/>
          <w:bCs/>
          <w:sz w:val="22"/>
          <w:szCs w:val="22"/>
        </w:rPr>
        <w:t xml:space="preserve">L'initiative "Tableaux du futur" est un concours d'art alimenté par l'IA qui vise à explorer la façon dont l'IA peut élargir les possibilités de la création artistique. Des créateurs, des éducateurs, des technologues et des artistes de toutes les disciplines sont invités à soumettre une image numérique originale à haute résolution, </w:t>
      </w:r>
      <w:r w:rsidRPr="006517D2">
        <w:rPr>
          <w:rFonts w:cstheme="minorHAnsi"/>
          <w:bCs/>
          <w:sz w:val="22"/>
          <w:szCs w:val="22"/>
        </w:rPr>
        <w:lastRenderedPageBreak/>
        <w:t>alimentée par l'IA ou améliorée par l'IA et explorant la façon dont l'IA façonne l'avenir de l'éducation et du travail. Le lauréat sera invité à assister au Sommet mondial sur l'IA au service du bien social de 2026 à Genève et à y présenter ses travaux.</w:t>
      </w:r>
    </w:p>
    <w:p w14:paraId="78B9FB90" w14:textId="58A6BD7C" w:rsidR="00E32996" w:rsidRPr="006517D2" w:rsidRDefault="00E32996" w:rsidP="00E32996">
      <w:pPr>
        <w:rPr>
          <w:rFonts w:cstheme="minorHAnsi"/>
          <w:bCs/>
          <w:sz w:val="22"/>
          <w:szCs w:val="22"/>
        </w:rPr>
      </w:pPr>
      <w:r w:rsidRPr="006517D2">
        <w:rPr>
          <w:rFonts w:cstheme="minorHAnsi"/>
          <w:bCs/>
          <w:sz w:val="22"/>
          <w:szCs w:val="22"/>
        </w:rPr>
        <w:t xml:space="preserve">Les travaux pour les Tableaux du futur doivent être soumis avant le 15 mars 2026. Des informations détaillées sur le processus de soumission, le calendrier et les lignes directrices en matière de contenu sont disponibles </w:t>
      </w:r>
      <w:hyperlink r:id="rId16" w:anchor="/fr" w:history="1">
        <w:r w:rsidRPr="006517D2">
          <w:rPr>
            <w:rStyle w:val="Hyperlink"/>
            <w:rFonts w:cstheme="minorHAnsi"/>
            <w:bCs/>
            <w:sz w:val="22"/>
            <w:szCs w:val="22"/>
          </w:rPr>
          <w:t>ici</w:t>
        </w:r>
      </w:hyperlink>
      <w:r w:rsidRPr="006517D2">
        <w:rPr>
          <w:rFonts w:cstheme="minorHAnsi"/>
          <w:bCs/>
          <w:sz w:val="22"/>
          <w:szCs w:val="22"/>
        </w:rPr>
        <w:t>. </w:t>
      </w:r>
      <w:hyperlink r:id="rId17" w:tgtFrame="_blank" w:history="1"/>
    </w:p>
    <w:p w14:paraId="11F4ACAA" w14:textId="1EB12A35" w:rsidR="00E32996" w:rsidRPr="006517D2" w:rsidRDefault="00E32996" w:rsidP="00F51657">
      <w:pPr>
        <w:pStyle w:val="headingb"/>
        <w:rPr>
          <w:rFonts w:cstheme="minorHAnsi"/>
          <w:sz w:val="22"/>
          <w:szCs w:val="22"/>
        </w:rPr>
      </w:pPr>
      <w:r w:rsidRPr="006517D2">
        <w:rPr>
          <w:rFonts w:cstheme="minorHAnsi"/>
          <w:sz w:val="22"/>
          <w:szCs w:val="22"/>
        </w:rPr>
        <w:t>Festival du film sur l'intelligence artificielle au service du bien social (2ème édition)</w:t>
      </w:r>
    </w:p>
    <w:p w14:paraId="7290B837" w14:textId="4A30B8FF" w:rsidR="00E32996" w:rsidRPr="006517D2" w:rsidRDefault="00E32996" w:rsidP="00E32996">
      <w:pPr>
        <w:rPr>
          <w:rFonts w:cstheme="minorHAnsi"/>
          <w:bCs/>
          <w:sz w:val="22"/>
          <w:szCs w:val="22"/>
        </w:rPr>
      </w:pPr>
      <w:r w:rsidRPr="006517D2">
        <w:rPr>
          <w:rFonts w:cstheme="minorHAnsi"/>
          <w:bCs/>
          <w:sz w:val="22"/>
          <w:szCs w:val="22"/>
        </w:rPr>
        <w:t>L'édition de 2026 du Festival du film sur l'IA au service du bien social est une compétition internationale visant à mettre en évidence la façon dont l'IA élargit la création cinématographique tout en relevant des défis mondiaux par le biais de la narration. Les cinéastes sont invités à soumettre des courts métrages originaux générés ou améliorés à l'aide d'outils d'IA. Les finalistes seront invités à participer à la séance de projection du Festival pendant l'édition de 2026 du Sommet mondial sur l'IA au service du bien social à Genève. </w:t>
      </w:r>
    </w:p>
    <w:p w14:paraId="34F81A9B" w14:textId="7D2EA744" w:rsidR="00E32996" w:rsidRPr="006517D2" w:rsidRDefault="00E32996" w:rsidP="00E32996">
      <w:pPr>
        <w:rPr>
          <w:rFonts w:cstheme="minorHAnsi"/>
          <w:bCs/>
          <w:sz w:val="22"/>
          <w:szCs w:val="22"/>
        </w:rPr>
      </w:pPr>
      <w:r w:rsidRPr="006517D2">
        <w:rPr>
          <w:rFonts w:cstheme="minorHAnsi"/>
          <w:bCs/>
          <w:sz w:val="22"/>
          <w:szCs w:val="22"/>
        </w:rPr>
        <w:t xml:space="preserve">La date limite de soumission pour le Festival du film sur l'intelligence artificielle au service du bien social est fixée au 15 mars 2026. Des informations détaillées sur le processus de soumission, le calendrier et les lignes directrices en matière de contenu sont disponibles </w:t>
      </w:r>
      <w:hyperlink r:id="rId18" w:anchor="/fr" w:history="1">
        <w:r w:rsidRPr="006517D2">
          <w:rPr>
            <w:rStyle w:val="Hyperlink"/>
            <w:rFonts w:cstheme="minorHAnsi"/>
            <w:bCs/>
            <w:sz w:val="22"/>
            <w:szCs w:val="22"/>
          </w:rPr>
          <w:t>ici</w:t>
        </w:r>
      </w:hyperlink>
      <w:r w:rsidRPr="006517D2">
        <w:rPr>
          <w:rFonts w:cstheme="minorHAnsi"/>
          <w:bCs/>
          <w:sz w:val="22"/>
          <w:szCs w:val="22"/>
        </w:rPr>
        <w:t>. </w:t>
      </w:r>
      <w:hyperlink r:id="rId19" w:tgtFrame="_blank" w:history="1"/>
    </w:p>
    <w:p w14:paraId="2D217344" w14:textId="01D3DF82" w:rsidR="00E32996" w:rsidRPr="006517D2" w:rsidRDefault="00E32996" w:rsidP="00F51657">
      <w:pPr>
        <w:pStyle w:val="headingb"/>
        <w:rPr>
          <w:rFonts w:cstheme="minorHAnsi"/>
          <w:sz w:val="22"/>
          <w:szCs w:val="22"/>
        </w:rPr>
      </w:pPr>
      <w:r w:rsidRPr="006517D2">
        <w:rPr>
          <w:rFonts w:cstheme="minorHAnsi"/>
          <w:sz w:val="22"/>
          <w:szCs w:val="22"/>
        </w:rPr>
        <w:t>Innovate for Impact (2ème édition)</w:t>
      </w:r>
    </w:p>
    <w:p w14:paraId="073BFE7C" w14:textId="1EE535BE" w:rsidR="00445A09" w:rsidRPr="006517D2" w:rsidRDefault="00E32996" w:rsidP="006517D2">
      <w:pPr>
        <w:rPr>
          <w:rFonts w:cstheme="minorHAnsi"/>
          <w:bCs/>
          <w:sz w:val="22"/>
          <w:szCs w:val="22"/>
        </w:rPr>
      </w:pPr>
      <w:r w:rsidRPr="006517D2">
        <w:rPr>
          <w:rFonts w:cstheme="minorHAnsi"/>
          <w:bCs/>
          <w:sz w:val="22"/>
          <w:szCs w:val="22"/>
        </w:rPr>
        <w:t xml:space="preserve">L'initiative Innovate for Impact (innover pour produire des effets) vise à recueillir des cas d'utilisation de l'IA pour relever des défis mondiaux, des demandes de bourse et des nominations pour les membres du Comité consultatif technique. Les auteurs des projets sélectionnés bénéficient d'une visibilité, d'un appui spécialisé et d'une mise en relation avec des partenaires, les candidatures pouvant être soumises jusqu'au 28 février 2026. Des informations détaillées sur le processus de soumission, le calendrier et les lignes directrices en matière de contenu sont disponibles </w:t>
      </w:r>
      <w:hyperlink r:id="rId20" w:anchor="/fr" w:history="1">
        <w:r w:rsidRPr="006517D2">
          <w:rPr>
            <w:rStyle w:val="Hyperlink"/>
            <w:rFonts w:cstheme="minorHAnsi"/>
            <w:bCs/>
            <w:sz w:val="22"/>
            <w:szCs w:val="22"/>
          </w:rPr>
          <w:t>ici</w:t>
        </w:r>
      </w:hyperlink>
      <w:r w:rsidRPr="006517D2">
        <w:rPr>
          <w:rFonts w:cstheme="minorHAnsi"/>
          <w:bCs/>
          <w:sz w:val="22"/>
          <w:szCs w:val="22"/>
        </w:rPr>
        <w:t>.</w:t>
      </w:r>
      <w:hyperlink r:id="rId21" w:tgtFrame="_blank" w:history="1"/>
    </w:p>
    <w:p w14:paraId="4C3AB243" w14:textId="0F533C46" w:rsidR="00E32996" w:rsidRPr="006517D2" w:rsidRDefault="00E32996" w:rsidP="00F51657">
      <w:pPr>
        <w:pStyle w:val="headingb"/>
        <w:rPr>
          <w:rFonts w:cstheme="minorHAnsi"/>
          <w:sz w:val="22"/>
          <w:szCs w:val="22"/>
        </w:rPr>
      </w:pPr>
      <w:r w:rsidRPr="006517D2">
        <w:rPr>
          <w:rFonts w:cstheme="minorHAnsi"/>
          <w:sz w:val="22"/>
          <w:szCs w:val="22"/>
        </w:rPr>
        <w:t>Usine de l'innovation</w:t>
      </w:r>
    </w:p>
    <w:p w14:paraId="02D59753" w14:textId="03543C58" w:rsidR="00E32996" w:rsidRPr="006517D2" w:rsidRDefault="00E32996" w:rsidP="00E32996">
      <w:pPr>
        <w:rPr>
          <w:rFonts w:cstheme="minorHAnsi"/>
          <w:bCs/>
          <w:sz w:val="22"/>
          <w:szCs w:val="22"/>
        </w:rPr>
      </w:pPr>
      <w:r w:rsidRPr="006517D2">
        <w:rPr>
          <w:rFonts w:cstheme="minorHAnsi"/>
          <w:bCs/>
          <w:sz w:val="22"/>
          <w:szCs w:val="22"/>
        </w:rPr>
        <w:t>L'Usine de l'innovation dans le cadre de l'IA au service du bien social, qui se tient tout au long de l'année, est une plate-forme de présentation et d'accélération de start</w:t>
      </w:r>
      <w:r w:rsidR="003F5FEE" w:rsidRPr="006517D2">
        <w:rPr>
          <w:rFonts w:cstheme="minorHAnsi"/>
          <w:bCs/>
          <w:sz w:val="22"/>
          <w:szCs w:val="22"/>
        </w:rPr>
        <w:t>-</w:t>
      </w:r>
      <w:r w:rsidRPr="006517D2">
        <w:rPr>
          <w:rFonts w:cstheme="minorHAnsi"/>
          <w:bCs/>
          <w:sz w:val="22"/>
          <w:szCs w:val="22"/>
        </w:rPr>
        <w:t>up visant à soutenir les jeunes entreprises développant des solutions fondées sur l'IA pour relever des défis mondiaux. L'Usine d'innovation sur l'intelligence artificielle au service du bien social, qui comprend des concours mensuels de présentation dans toutes les régions et tous les secteurs, aboutit à une grande finale qui se tiendra pendant l'édition de 2026 du Sommet mondial sur l'intelligence artificielle au service du bien social.</w:t>
      </w:r>
    </w:p>
    <w:p w14:paraId="571AFC9B" w14:textId="0B085543" w:rsidR="00E32996" w:rsidRPr="006517D2" w:rsidRDefault="00E32996" w:rsidP="00E32996">
      <w:pPr>
        <w:rPr>
          <w:rFonts w:cstheme="minorHAnsi"/>
          <w:bCs/>
          <w:sz w:val="22"/>
          <w:szCs w:val="22"/>
        </w:rPr>
      </w:pPr>
      <w:r w:rsidRPr="006517D2">
        <w:rPr>
          <w:rFonts w:cstheme="minorHAnsi"/>
          <w:bCs/>
          <w:sz w:val="22"/>
          <w:szCs w:val="22"/>
        </w:rPr>
        <w:t xml:space="preserve">Des informations détaillées sur le processus de soumission, le calendrier et les lignes directrices en matière de contenu sont disponibles </w:t>
      </w:r>
      <w:hyperlink r:id="rId22" w:anchor="/fr" w:history="1">
        <w:r w:rsidRPr="006517D2">
          <w:rPr>
            <w:rStyle w:val="Hyperlink"/>
            <w:rFonts w:cstheme="minorHAnsi"/>
            <w:bCs/>
            <w:sz w:val="22"/>
            <w:szCs w:val="22"/>
          </w:rPr>
          <w:t>ici</w:t>
        </w:r>
      </w:hyperlink>
      <w:r w:rsidRPr="006517D2">
        <w:rPr>
          <w:rFonts w:cstheme="minorHAnsi"/>
          <w:bCs/>
          <w:sz w:val="22"/>
          <w:szCs w:val="22"/>
        </w:rPr>
        <w:t>.</w:t>
      </w:r>
      <w:hyperlink r:id="rId23"/>
    </w:p>
    <w:p w14:paraId="41599BA8" w14:textId="77777777" w:rsidR="00E32996" w:rsidRPr="006517D2" w:rsidRDefault="00E32996" w:rsidP="00F51657">
      <w:pPr>
        <w:pStyle w:val="headingb"/>
        <w:rPr>
          <w:rFonts w:cstheme="minorHAnsi"/>
          <w:sz w:val="22"/>
          <w:szCs w:val="22"/>
        </w:rPr>
      </w:pPr>
      <w:r w:rsidRPr="006517D2">
        <w:rPr>
          <w:rFonts w:cstheme="minorHAnsi"/>
          <w:sz w:val="22"/>
          <w:szCs w:val="22"/>
        </w:rPr>
        <w:t>Parrainages et pavillons</w:t>
      </w:r>
    </w:p>
    <w:p w14:paraId="25B5423E" w14:textId="519BA507" w:rsidR="00E32996" w:rsidRPr="006517D2" w:rsidRDefault="00E32996" w:rsidP="00E32996">
      <w:pPr>
        <w:rPr>
          <w:rFonts w:cstheme="minorHAnsi"/>
          <w:bCs/>
          <w:sz w:val="22"/>
          <w:szCs w:val="22"/>
        </w:rPr>
      </w:pPr>
      <w:r w:rsidRPr="006517D2">
        <w:rPr>
          <w:rFonts w:cstheme="minorHAnsi"/>
          <w:bCs/>
          <w:sz w:val="22"/>
          <w:szCs w:val="22"/>
        </w:rPr>
        <w:t xml:space="preserve">Par ailleurs, si votre pays ou organisation souhaite mettre en avant ses innovations, ses solutions ou ses idées novatrices en matière d'IA, nous proposons </w:t>
      </w:r>
      <w:hyperlink r:id="rId24" w:anchor="/fr" w:history="1">
        <w:r w:rsidRPr="006517D2">
          <w:rPr>
            <w:rStyle w:val="Hyperlink"/>
            <w:rFonts w:cstheme="minorHAnsi"/>
            <w:bCs/>
            <w:sz w:val="22"/>
            <w:szCs w:val="22"/>
          </w:rPr>
          <w:t>ici</w:t>
        </w:r>
      </w:hyperlink>
      <w:r w:rsidRPr="006517D2">
        <w:rPr>
          <w:rFonts w:cstheme="minorHAnsi"/>
          <w:bCs/>
          <w:sz w:val="22"/>
          <w:szCs w:val="22"/>
        </w:rPr>
        <w:t xml:space="preserve"> des possibilités de parrainage. Ces possibilités consistent par exemple à organiser une manifestation, comme un atelier ou un déjeuner professionnel, ou à installer un pavillon thématique régional ou national mettant à l'honneur </w:t>
      </w:r>
      <w:proofErr w:type="gramStart"/>
      <w:r w:rsidRPr="006517D2">
        <w:rPr>
          <w:rFonts w:cstheme="minorHAnsi"/>
          <w:bCs/>
          <w:sz w:val="22"/>
          <w:szCs w:val="22"/>
        </w:rPr>
        <w:t>les start</w:t>
      </w:r>
      <w:r w:rsidR="003F5FEE" w:rsidRPr="006517D2">
        <w:rPr>
          <w:rFonts w:cstheme="minorHAnsi"/>
          <w:bCs/>
          <w:sz w:val="22"/>
          <w:szCs w:val="22"/>
        </w:rPr>
        <w:t>-</w:t>
      </w:r>
      <w:r w:rsidRPr="006517D2">
        <w:rPr>
          <w:rFonts w:cstheme="minorHAnsi"/>
          <w:bCs/>
          <w:sz w:val="22"/>
          <w:szCs w:val="22"/>
        </w:rPr>
        <w:t>up</w:t>
      </w:r>
      <w:proofErr w:type="gramEnd"/>
      <w:r w:rsidRPr="006517D2">
        <w:rPr>
          <w:rFonts w:cstheme="minorHAnsi"/>
          <w:bCs/>
          <w:sz w:val="22"/>
          <w:szCs w:val="22"/>
        </w:rPr>
        <w:t xml:space="preserve"> exerçant dans le domaine de l'IA. Afin de faciliter les préparatifs, nous vous invitons à nous faire part de votre intérêt à participer dès que possible.</w:t>
      </w:r>
      <w:hyperlink r:id="rId25" w:history="1"/>
    </w:p>
    <w:p w14:paraId="35BAFF91" w14:textId="2C4C8209" w:rsidR="00E32996" w:rsidRPr="006517D2" w:rsidRDefault="00E32996" w:rsidP="00F51657">
      <w:pPr>
        <w:rPr>
          <w:rFonts w:cstheme="minorHAnsi"/>
          <w:sz w:val="22"/>
          <w:szCs w:val="22"/>
        </w:rPr>
      </w:pPr>
      <w:r w:rsidRPr="006517D2">
        <w:rPr>
          <w:rFonts w:cstheme="minorHAnsi"/>
          <w:sz w:val="22"/>
          <w:szCs w:val="22"/>
        </w:rPr>
        <w:t>Je vous invite vivement à prendre note de ces possibilités et à encourager les parties intéressées au sein de vos réseaux à y participer.</w:t>
      </w:r>
    </w:p>
    <w:p w14:paraId="46F2C3C2" w14:textId="0745F480" w:rsidR="00307FB4" w:rsidRPr="006517D2" w:rsidRDefault="00E32996" w:rsidP="00E32996">
      <w:pPr>
        <w:rPr>
          <w:rFonts w:cstheme="minorHAnsi"/>
          <w:bCs/>
          <w:sz w:val="22"/>
          <w:szCs w:val="22"/>
        </w:rPr>
      </w:pPr>
      <w:r w:rsidRPr="006517D2">
        <w:rPr>
          <w:rFonts w:cstheme="minorHAnsi"/>
          <w:bCs/>
          <w:sz w:val="22"/>
          <w:szCs w:val="22"/>
        </w:rPr>
        <w:t>Pour tout renseignement complémentaire, notre équipe se tient à votre disposition à l'adresse</w:t>
      </w:r>
      <w:r w:rsidR="00F51657" w:rsidRPr="006517D2">
        <w:rPr>
          <w:rFonts w:cstheme="minorHAnsi"/>
          <w:bCs/>
          <w:sz w:val="22"/>
          <w:szCs w:val="22"/>
        </w:rPr>
        <w:t> </w:t>
      </w:r>
      <w:hyperlink r:id="rId26" w:history="1">
        <w:r w:rsidR="00F51657" w:rsidRPr="006517D2">
          <w:rPr>
            <w:rStyle w:val="Hyperlink"/>
            <w:rFonts w:cstheme="minorHAnsi"/>
            <w:bCs/>
            <w:sz w:val="22"/>
            <w:szCs w:val="22"/>
          </w:rPr>
          <w:t>ai@itu.int</w:t>
        </w:r>
      </w:hyperlink>
      <w:r w:rsidRPr="006517D2">
        <w:rPr>
          <w:rFonts w:cstheme="minorHAnsi"/>
          <w:bCs/>
          <w:sz w:val="22"/>
          <w:szCs w:val="22"/>
        </w:rPr>
        <w:t>.</w:t>
      </w:r>
    </w:p>
    <w:p w14:paraId="6A4CD67F" w14:textId="3FEB2B0A" w:rsidR="00307FB4" w:rsidRPr="006517D2" w:rsidRDefault="00307FB4" w:rsidP="00307FB4">
      <w:pPr>
        <w:rPr>
          <w:rFonts w:cstheme="minorHAnsi"/>
          <w:bCs/>
          <w:sz w:val="22"/>
          <w:szCs w:val="22"/>
        </w:rPr>
      </w:pPr>
      <w:r w:rsidRPr="006517D2">
        <w:rPr>
          <w:rFonts w:cstheme="minorHAnsi"/>
          <w:bCs/>
          <w:sz w:val="22"/>
          <w:szCs w:val="22"/>
        </w:rPr>
        <w:t>Veuillez agréer, Madame, Monsieur, l'assurance de ma considération distinguée.</w:t>
      </w:r>
    </w:p>
    <w:p w14:paraId="558FB742" w14:textId="3BDEFBEB" w:rsidR="002937DB" w:rsidRPr="006517D2" w:rsidRDefault="00D55CC7" w:rsidP="006517D2">
      <w:pPr>
        <w:spacing w:before="600"/>
        <w:rPr>
          <w:rFonts w:cstheme="minorHAnsi"/>
          <w:bCs/>
          <w:sz w:val="22"/>
          <w:szCs w:val="22"/>
        </w:rPr>
      </w:pPr>
      <w:r>
        <w:rPr>
          <w:rFonts w:cstheme="minorHAnsi"/>
          <w:bCs/>
          <w:noProof/>
          <w:sz w:val="22"/>
          <w:szCs w:val="22"/>
        </w:rPr>
        <w:drawing>
          <wp:anchor distT="0" distB="0" distL="114300" distR="114300" simplePos="0" relativeHeight="251658240" behindDoc="1" locked="0" layoutInCell="1" allowOverlap="1" wp14:anchorId="45058F06" wp14:editId="711CCAB1">
            <wp:simplePos x="0" y="0"/>
            <wp:positionH relativeFrom="column">
              <wp:posOffset>-5715</wp:posOffset>
            </wp:positionH>
            <wp:positionV relativeFrom="paragraph">
              <wp:posOffset>24130</wp:posOffset>
            </wp:positionV>
            <wp:extent cx="692186" cy="330217"/>
            <wp:effectExtent l="0" t="0" r="0" b="0"/>
            <wp:wrapNone/>
            <wp:docPr id="1380640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40442" name="Picture 1380640442"/>
                    <pic:cNvPicPr/>
                  </pic:nvPicPr>
                  <pic:blipFill>
                    <a:blip r:embed="rId27">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307FB4" w:rsidRPr="006517D2">
        <w:rPr>
          <w:rFonts w:cstheme="minorHAnsi"/>
          <w:bCs/>
          <w:sz w:val="22"/>
          <w:szCs w:val="22"/>
        </w:rPr>
        <w:t>Seizo Onoe</w:t>
      </w:r>
      <w:r w:rsidR="00B60868" w:rsidRPr="006517D2">
        <w:rPr>
          <w:rFonts w:cstheme="minorHAnsi"/>
          <w:bCs/>
          <w:sz w:val="22"/>
          <w:szCs w:val="22"/>
        </w:rPr>
        <w:br/>
      </w:r>
      <w:r w:rsidR="00307FB4" w:rsidRPr="006517D2">
        <w:rPr>
          <w:rFonts w:cstheme="minorHAnsi"/>
          <w:bCs/>
          <w:sz w:val="22"/>
          <w:szCs w:val="22"/>
        </w:rPr>
        <w:t>Directeur du Bureau de la normalisation</w:t>
      </w:r>
      <w:r w:rsidR="00B60868" w:rsidRPr="006517D2">
        <w:rPr>
          <w:rFonts w:cstheme="minorHAnsi"/>
          <w:bCs/>
          <w:sz w:val="22"/>
          <w:szCs w:val="22"/>
        </w:rPr>
        <w:br/>
      </w:r>
      <w:r w:rsidR="00307FB4" w:rsidRPr="006517D2">
        <w:rPr>
          <w:rFonts w:cstheme="minorHAnsi"/>
          <w:bCs/>
          <w:sz w:val="22"/>
          <w:szCs w:val="22"/>
        </w:rPr>
        <w:t>des télécommunications</w:t>
      </w:r>
    </w:p>
    <w:sectPr w:rsidR="002937DB" w:rsidRPr="006517D2" w:rsidSect="006517D2">
      <w:headerReference w:type="default" r:id="rId28"/>
      <w:footerReference w:type="first" r:id="rId29"/>
      <w:pgSz w:w="11907" w:h="16840" w:code="9"/>
      <w:pgMar w:top="1134" w:right="1089" w:bottom="540" w:left="1089" w:header="567" w:footer="34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28786" w14:textId="77777777" w:rsidR="00200C21" w:rsidRDefault="00200C21">
      <w:r>
        <w:separator/>
      </w:r>
    </w:p>
  </w:endnote>
  <w:endnote w:type="continuationSeparator" w:id="0">
    <w:p w14:paraId="5DA83F72" w14:textId="77777777" w:rsidR="00200C21" w:rsidRDefault="0020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166B61F3"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19247" w14:textId="77777777" w:rsidR="00200C21" w:rsidRDefault="00200C21">
      <w:r>
        <w:t>____________________</w:t>
      </w:r>
    </w:p>
  </w:footnote>
  <w:footnote w:type="continuationSeparator" w:id="0">
    <w:p w14:paraId="127A5ECD" w14:textId="77777777" w:rsidR="00200C21" w:rsidRDefault="00200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68F17AE5" w:rsidR="00697BC1" w:rsidRPr="00697BC1" w:rsidRDefault="00000000" w:rsidP="00445A09">
    <w:pPr>
      <w:pStyle w:val="Header"/>
      <w:ind w:left="360"/>
      <w:rPr>
        <w:sz w:val="18"/>
        <w:szCs w:val="16"/>
      </w:rPr>
    </w:pPr>
    <w:sdt>
      <w:sdtPr>
        <w:rPr>
          <w:sz w:val="18"/>
          <w:szCs w:val="16"/>
        </w:rPr>
        <w:id w:val="526448189"/>
        <w:docPartObj>
          <w:docPartGallery w:val="Page Numbers (Top of Page)"/>
          <w:docPartUnique/>
        </w:docPartObj>
      </w:sdtPr>
      <w:sdtEndPr>
        <w:rPr>
          <w:noProof/>
        </w:rPr>
      </w:sdtEndPr>
      <w:sdtContent>
        <w:r w:rsidR="00445A09">
          <w:rPr>
            <w:sz w:val="18"/>
            <w:szCs w:val="16"/>
          </w:rPr>
          <w:t>-</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r w:rsidR="00445A09">
          <w:rPr>
            <w:noProof/>
            <w:sz w:val="18"/>
            <w:szCs w:val="16"/>
          </w:rPr>
          <w:t>-</w:t>
        </w:r>
      </w:sdtContent>
    </w:sdt>
    <w:r w:rsidR="00AF0D7D">
      <w:rPr>
        <w:noProof/>
        <w:sz w:val="18"/>
        <w:szCs w:val="16"/>
      </w:rPr>
      <w:br/>
      <w:t xml:space="preserve">Circulaire TSB </w:t>
    </w:r>
    <w:r w:rsidR="00E32996">
      <w:rPr>
        <w:noProof/>
        <w:sz w:val="18"/>
        <w:szCs w:val="16"/>
      </w:rPr>
      <w:t>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0C0B21A7"/>
    <w:multiLevelType w:val="hybridMultilevel"/>
    <w:tmpl w:val="9B86EF00"/>
    <w:lvl w:ilvl="0" w:tplc="99A8624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4"/>
  </w:num>
  <w:num w:numId="3" w16cid:durableId="2075545744">
    <w:abstractNumId w:val="3"/>
  </w:num>
  <w:num w:numId="4" w16cid:durableId="1871449755">
    <w:abstractNumId w:val="0"/>
  </w:num>
  <w:num w:numId="5" w16cid:durableId="1723678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679"/>
    <w:rsid w:val="001077FD"/>
    <w:rsid w:val="00115DD7"/>
    <w:rsid w:val="00167472"/>
    <w:rsid w:val="00167F92"/>
    <w:rsid w:val="00173738"/>
    <w:rsid w:val="001B79A3"/>
    <w:rsid w:val="001D0B8F"/>
    <w:rsid w:val="00200C21"/>
    <w:rsid w:val="002152A3"/>
    <w:rsid w:val="00236597"/>
    <w:rsid w:val="0023667A"/>
    <w:rsid w:val="002937DB"/>
    <w:rsid w:val="002A513B"/>
    <w:rsid w:val="002E395D"/>
    <w:rsid w:val="00307FB4"/>
    <w:rsid w:val="003131F0"/>
    <w:rsid w:val="00333A80"/>
    <w:rsid w:val="00341117"/>
    <w:rsid w:val="00364E95"/>
    <w:rsid w:val="00372875"/>
    <w:rsid w:val="003742F8"/>
    <w:rsid w:val="003B1E80"/>
    <w:rsid w:val="003B66E8"/>
    <w:rsid w:val="003E66AD"/>
    <w:rsid w:val="003F5FEE"/>
    <w:rsid w:val="004033F1"/>
    <w:rsid w:val="00414B0C"/>
    <w:rsid w:val="00423C21"/>
    <w:rsid w:val="004257AC"/>
    <w:rsid w:val="0043711B"/>
    <w:rsid w:val="004419E9"/>
    <w:rsid w:val="00445A09"/>
    <w:rsid w:val="00445B68"/>
    <w:rsid w:val="0048088B"/>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517D2"/>
    <w:rsid w:val="00697BC1"/>
    <w:rsid w:val="006A6FFE"/>
    <w:rsid w:val="006C5A91"/>
    <w:rsid w:val="006F52F7"/>
    <w:rsid w:val="00716BBC"/>
    <w:rsid w:val="007321BC"/>
    <w:rsid w:val="00760063"/>
    <w:rsid w:val="00775E4B"/>
    <w:rsid w:val="0079553B"/>
    <w:rsid w:val="00795679"/>
    <w:rsid w:val="007A40FE"/>
    <w:rsid w:val="00810105"/>
    <w:rsid w:val="008157E0"/>
    <w:rsid w:val="00850477"/>
    <w:rsid w:val="00854E1D"/>
    <w:rsid w:val="00887FA6"/>
    <w:rsid w:val="008C4397"/>
    <w:rsid w:val="008C465A"/>
    <w:rsid w:val="008F2C9B"/>
    <w:rsid w:val="00923CD6"/>
    <w:rsid w:val="00935AA8"/>
    <w:rsid w:val="00971C9A"/>
    <w:rsid w:val="009D51FA"/>
    <w:rsid w:val="009F1E23"/>
    <w:rsid w:val="009F34F8"/>
    <w:rsid w:val="00A15179"/>
    <w:rsid w:val="00A51537"/>
    <w:rsid w:val="00A5280F"/>
    <w:rsid w:val="00A5645A"/>
    <w:rsid w:val="00A60FC1"/>
    <w:rsid w:val="00A97C37"/>
    <w:rsid w:val="00AA131B"/>
    <w:rsid w:val="00AC37B5"/>
    <w:rsid w:val="00AD752F"/>
    <w:rsid w:val="00AF08A4"/>
    <w:rsid w:val="00AF0D7D"/>
    <w:rsid w:val="00B27B41"/>
    <w:rsid w:val="00B42659"/>
    <w:rsid w:val="00B46F2D"/>
    <w:rsid w:val="00B60868"/>
    <w:rsid w:val="00B8573E"/>
    <w:rsid w:val="00BB24C0"/>
    <w:rsid w:val="00BD6ECF"/>
    <w:rsid w:val="00C26F2E"/>
    <w:rsid w:val="00C302E3"/>
    <w:rsid w:val="00C41B89"/>
    <w:rsid w:val="00C45376"/>
    <w:rsid w:val="00C9028F"/>
    <w:rsid w:val="00CA0416"/>
    <w:rsid w:val="00CB1125"/>
    <w:rsid w:val="00CB4E80"/>
    <w:rsid w:val="00CD042E"/>
    <w:rsid w:val="00CF2560"/>
    <w:rsid w:val="00CF5B46"/>
    <w:rsid w:val="00D46B68"/>
    <w:rsid w:val="00D542A5"/>
    <w:rsid w:val="00D55CC7"/>
    <w:rsid w:val="00DC3D47"/>
    <w:rsid w:val="00DD77DA"/>
    <w:rsid w:val="00E06C61"/>
    <w:rsid w:val="00E13DB3"/>
    <w:rsid w:val="00E2408B"/>
    <w:rsid w:val="00E32996"/>
    <w:rsid w:val="00E62CEA"/>
    <w:rsid w:val="00E72AE1"/>
    <w:rsid w:val="00EB5716"/>
    <w:rsid w:val="00ED6A7A"/>
    <w:rsid w:val="00EE4C36"/>
    <w:rsid w:val="00EF6A23"/>
    <w:rsid w:val="00F346CE"/>
    <w:rsid w:val="00F34F98"/>
    <w:rsid w:val="00F40540"/>
    <w:rsid w:val="00F51657"/>
    <w:rsid w:val="00F576B4"/>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iforgood.itu.int/engage/speak/" TargetMode="External"/><Relationship Id="rId18" Type="http://schemas.openxmlformats.org/officeDocument/2006/relationships/hyperlink" Target="https://aiforgood.itu.int/ai-for-good-film-festival/" TargetMode="External"/><Relationship Id="rId26" Type="http://schemas.openxmlformats.org/officeDocument/2006/relationships/hyperlink" Target="mailto:ai@itu.int" TargetMode="External"/><Relationship Id="rId3" Type="http://schemas.openxmlformats.org/officeDocument/2006/relationships/styles" Target="styles.xml"/><Relationship Id="rId21" Type="http://schemas.openxmlformats.org/officeDocument/2006/relationships/hyperlink" Target="https://aiforgood.itu.int/innovate-for-impact/" TargetMode="External"/><Relationship Id="rId7" Type="http://schemas.openxmlformats.org/officeDocument/2006/relationships/endnotes" Target="endnotes.xml"/><Relationship Id="rId12" Type="http://schemas.openxmlformats.org/officeDocument/2006/relationships/hyperlink" Target="https://aiforgood.itu.int/engage/speak/" TargetMode="External"/><Relationship Id="rId17" Type="http://schemas.openxmlformats.org/officeDocument/2006/relationships/hyperlink" Target="https://aiforgood.itu.int/canvas-of-the-future/" TargetMode="External"/><Relationship Id="rId25" Type="http://schemas.openxmlformats.org/officeDocument/2006/relationships/hyperlink" Target="https://aiforgood.itu.int/engage/sponsor/" TargetMode="External"/><Relationship Id="rId2" Type="http://schemas.openxmlformats.org/officeDocument/2006/relationships/numbering" Target="numbering.xml"/><Relationship Id="rId16" Type="http://schemas.openxmlformats.org/officeDocument/2006/relationships/hyperlink" Target="https://aiforgood.itu.int/canvas-of-the-future/" TargetMode="External"/><Relationship Id="rId20" Type="http://schemas.openxmlformats.org/officeDocument/2006/relationships/hyperlink" Target="https://aiforgood.itu.int/innovate-for-impac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forgood.itu.int/summit26/" TargetMode="External"/><Relationship Id="rId24" Type="http://schemas.openxmlformats.org/officeDocument/2006/relationships/hyperlink" Target="https://aiforgood.itu.int/engage/sponsor/" TargetMode="External"/><Relationship Id="rId5" Type="http://schemas.openxmlformats.org/officeDocument/2006/relationships/webSettings" Target="webSettings.xml"/><Relationship Id="rId15" Type="http://schemas.openxmlformats.org/officeDocument/2006/relationships/hyperlink" Target="https://aiforgood.itu.int/ai-for-good-impact-awards/" TargetMode="External"/><Relationship Id="rId23" Type="http://schemas.openxmlformats.org/officeDocument/2006/relationships/hyperlink" Target="https://aiforgood.itu.int/about-us/innovation-factory/" TargetMode="External"/><Relationship Id="rId28" Type="http://schemas.openxmlformats.org/officeDocument/2006/relationships/header" Target="header1.xml"/><Relationship Id="rId10" Type="http://schemas.openxmlformats.org/officeDocument/2006/relationships/hyperlink" Target="https://aiforgood.itu.int/summit26/" TargetMode="External"/><Relationship Id="rId19" Type="http://schemas.openxmlformats.org/officeDocument/2006/relationships/hyperlink" Target="https://aiforgood.itu.int/ai-for-good-film-festiva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i@itu.int" TargetMode="External"/><Relationship Id="rId14" Type="http://schemas.openxmlformats.org/officeDocument/2006/relationships/hyperlink" Target="https://aiforgood.itu.int/ai-for-good-impact-awards/" TargetMode="External"/><Relationship Id="rId22" Type="http://schemas.openxmlformats.org/officeDocument/2006/relationships/hyperlink" Target="https://aiforgood.itu.int/about-us/innovation-factory/" TargetMode="External"/><Relationship Id="rId27" Type="http://schemas.openxmlformats.org/officeDocument/2006/relationships/image" Target="media/image2.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0</TotalTime>
  <Pages>2</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8536</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Chaudhary, Manvi</cp:lastModifiedBy>
  <cp:revision>2</cp:revision>
  <cp:lastPrinted>2026-02-04T14:50:00Z</cp:lastPrinted>
  <dcterms:created xsi:type="dcterms:W3CDTF">2026-02-04T15:43:00Z</dcterms:created>
  <dcterms:modified xsi:type="dcterms:W3CDTF">2026-02-04T15:43:00Z</dcterms:modified>
</cp:coreProperties>
</file>