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5" w:type="dxa"/>
        <w:tblInd w:w="8" w:type="dxa"/>
        <w:tblLayout w:type="fixed"/>
        <w:tblCellMar>
          <w:left w:w="0" w:type="dxa"/>
          <w:right w:w="0" w:type="dxa"/>
        </w:tblCellMar>
        <w:tblLook w:val="0000" w:firstRow="0" w:lastRow="0" w:firstColumn="0" w:lastColumn="0" w:noHBand="0" w:noVBand="0"/>
      </w:tblPr>
      <w:tblGrid>
        <w:gridCol w:w="1410"/>
        <w:gridCol w:w="3402"/>
        <w:gridCol w:w="5103"/>
      </w:tblGrid>
      <w:tr w:rsidR="007B6316" w14:paraId="16B86984" w14:textId="77777777" w:rsidTr="009F7107">
        <w:trPr>
          <w:cantSplit/>
          <w:trHeight w:val="340"/>
        </w:trPr>
        <w:tc>
          <w:tcPr>
            <w:tcW w:w="1410" w:type="dxa"/>
          </w:tcPr>
          <w:p w14:paraId="41E8E26B"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1D863831" wp14:editId="41268093">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505" w:type="dxa"/>
            <w:gridSpan w:val="2"/>
            <w:vAlign w:val="center"/>
          </w:tcPr>
          <w:p w14:paraId="1E43093A"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0CC5AE32"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F84D90" w14:paraId="2AC8EFD1" w14:textId="77777777" w:rsidTr="009F7107">
        <w:trPr>
          <w:cantSplit/>
          <w:trHeight w:val="340"/>
        </w:trPr>
        <w:tc>
          <w:tcPr>
            <w:tcW w:w="1410" w:type="dxa"/>
          </w:tcPr>
          <w:p w14:paraId="3BB4AD04" w14:textId="77777777" w:rsidR="007B6316" w:rsidRPr="00F84D90" w:rsidRDefault="007B6316" w:rsidP="00303D62">
            <w:pPr>
              <w:tabs>
                <w:tab w:val="left" w:pos="4111"/>
              </w:tabs>
              <w:spacing w:before="10"/>
              <w:ind w:left="57"/>
              <w:rPr>
                <w:rFonts w:cstheme="minorHAnsi"/>
                <w:b/>
                <w:bCs/>
                <w:sz w:val="22"/>
                <w:szCs w:val="22"/>
              </w:rPr>
            </w:pPr>
          </w:p>
        </w:tc>
        <w:tc>
          <w:tcPr>
            <w:tcW w:w="3402" w:type="dxa"/>
          </w:tcPr>
          <w:p w14:paraId="1D5E57E9" w14:textId="77777777" w:rsidR="007B6316" w:rsidRPr="00F84D90" w:rsidRDefault="007B6316" w:rsidP="00303D62">
            <w:pPr>
              <w:tabs>
                <w:tab w:val="left" w:pos="4111"/>
              </w:tabs>
              <w:spacing w:before="0"/>
              <w:ind w:left="57"/>
              <w:rPr>
                <w:rFonts w:cstheme="minorHAnsi"/>
                <w:b/>
                <w:sz w:val="22"/>
                <w:szCs w:val="22"/>
              </w:rPr>
            </w:pPr>
          </w:p>
        </w:tc>
        <w:tc>
          <w:tcPr>
            <w:tcW w:w="5103" w:type="dxa"/>
          </w:tcPr>
          <w:p w14:paraId="475F36DF" w14:textId="656924B5" w:rsidR="007B6316" w:rsidRPr="00F84D90" w:rsidRDefault="007B6316" w:rsidP="007B6316">
            <w:pPr>
              <w:tabs>
                <w:tab w:val="clear" w:pos="794"/>
                <w:tab w:val="clear" w:pos="1191"/>
                <w:tab w:val="clear" w:pos="1588"/>
                <w:tab w:val="clear" w:pos="1985"/>
                <w:tab w:val="left" w:pos="284"/>
              </w:tabs>
              <w:spacing w:after="120"/>
              <w:ind w:left="284" w:hanging="227"/>
              <w:rPr>
                <w:rFonts w:cstheme="minorHAnsi"/>
                <w:sz w:val="22"/>
                <w:szCs w:val="22"/>
              </w:rPr>
            </w:pPr>
            <w:r w:rsidRPr="00F84D90">
              <w:rPr>
                <w:rFonts w:cstheme="minorHAnsi"/>
                <w:sz w:val="22"/>
                <w:szCs w:val="22"/>
              </w:rPr>
              <w:t>Ginebra,</w:t>
            </w:r>
            <w:r w:rsidR="006A02AC" w:rsidRPr="00F84D90">
              <w:rPr>
                <w:rFonts w:cstheme="minorHAnsi"/>
                <w:color w:val="000000"/>
                <w:sz w:val="22"/>
                <w:szCs w:val="22"/>
                <w:lang w:val="es-ES"/>
              </w:rPr>
              <w:t xml:space="preserve"> 19 de febrero de 2026</w:t>
            </w:r>
          </w:p>
        </w:tc>
      </w:tr>
      <w:tr w:rsidR="001350B9" w:rsidRPr="00F84D90" w14:paraId="0CD5E887" w14:textId="77777777" w:rsidTr="009F7107">
        <w:trPr>
          <w:cantSplit/>
          <w:trHeight w:val="719"/>
        </w:trPr>
        <w:tc>
          <w:tcPr>
            <w:tcW w:w="1410" w:type="dxa"/>
          </w:tcPr>
          <w:p w14:paraId="45452B1F" w14:textId="26637416" w:rsidR="001350B9" w:rsidRPr="00F84D90" w:rsidRDefault="001350B9" w:rsidP="00F84D90">
            <w:pPr>
              <w:tabs>
                <w:tab w:val="left" w:pos="4111"/>
              </w:tabs>
              <w:spacing w:before="10"/>
              <w:rPr>
                <w:rFonts w:cstheme="minorHAnsi"/>
                <w:sz w:val="22"/>
                <w:szCs w:val="22"/>
              </w:rPr>
            </w:pPr>
            <w:r w:rsidRPr="00F84D90">
              <w:rPr>
                <w:rFonts w:cstheme="minorHAnsi"/>
                <w:b/>
                <w:bCs/>
                <w:sz w:val="22"/>
                <w:szCs w:val="22"/>
              </w:rPr>
              <w:t>Ref</w:t>
            </w:r>
            <w:r w:rsidRPr="00F84D90">
              <w:rPr>
                <w:rFonts w:cstheme="minorHAnsi"/>
                <w:sz w:val="22"/>
                <w:szCs w:val="22"/>
              </w:rPr>
              <w:t>.:</w:t>
            </w:r>
          </w:p>
        </w:tc>
        <w:tc>
          <w:tcPr>
            <w:tcW w:w="3402" w:type="dxa"/>
          </w:tcPr>
          <w:p w14:paraId="09942D17" w14:textId="499D0B69" w:rsidR="001350B9" w:rsidRPr="00F84D90" w:rsidRDefault="001350B9" w:rsidP="00303D62">
            <w:pPr>
              <w:tabs>
                <w:tab w:val="left" w:pos="4111"/>
              </w:tabs>
              <w:spacing w:before="0"/>
              <w:ind w:left="57"/>
              <w:rPr>
                <w:rFonts w:cstheme="minorHAnsi"/>
                <w:b/>
                <w:sz w:val="22"/>
                <w:szCs w:val="22"/>
              </w:rPr>
            </w:pPr>
            <w:r w:rsidRPr="00F84D90">
              <w:rPr>
                <w:rFonts w:cstheme="minorHAnsi"/>
                <w:b/>
                <w:sz w:val="22"/>
                <w:szCs w:val="22"/>
              </w:rPr>
              <w:t xml:space="preserve">Circular TSB </w:t>
            </w:r>
            <w:r w:rsidR="00010E7E" w:rsidRPr="00F84D90">
              <w:rPr>
                <w:rFonts w:cstheme="minorHAnsi"/>
                <w:b/>
                <w:bCs/>
                <w:color w:val="000000"/>
                <w:sz w:val="22"/>
                <w:szCs w:val="22"/>
                <w:lang w:val="es-ES"/>
              </w:rPr>
              <w:t>110</w:t>
            </w:r>
          </w:p>
          <w:p w14:paraId="53C21B6B" w14:textId="4EFE9DD9" w:rsidR="001350B9" w:rsidRPr="00F84D90" w:rsidRDefault="006A02AC" w:rsidP="007B6316">
            <w:pPr>
              <w:tabs>
                <w:tab w:val="left" w:pos="4111"/>
              </w:tabs>
              <w:spacing w:before="0"/>
              <w:ind w:left="57"/>
              <w:rPr>
                <w:rFonts w:cstheme="minorHAnsi"/>
                <w:b/>
                <w:sz w:val="22"/>
                <w:szCs w:val="22"/>
              </w:rPr>
            </w:pPr>
            <w:r w:rsidRPr="00F84D90">
              <w:rPr>
                <w:rFonts w:cstheme="minorHAnsi"/>
                <w:color w:val="000000"/>
                <w:sz w:val="22"/>
                <w:szCs w:val="22"/>
                <w:lang w:val="es-ES"/>
              </w:rPr>
              <w:t>FNC-2026/SP</w:t>
            </w:r>
          </w:p>
        </w:tc>
        <w:tc>
          <w:tcPr>
            <w:tcW w:w="5103" w:type="dxa"/>
            <w:vMerge w:val="restart"/>
          </w:tcPr>
          <w:p w14:paraId="03EFB944" w14:textId="77777777" w:rsidR="006A02AC" w:rsidRPr="00F84D90" w:rsidRDefault="006A02AC" w:rsidP="00F84D90">
            <w:pPr>
              <w:tabs>
                <w:tab w:val="clear" w:pos="794"/>
                <w:tab w:val="clear" w:pos="1191"/>
                <w:tab w:val="clear" w:pos="1588"/>
                <w:tab w:val="clear" w:pos="1985"/>
                <w:tab w:val="left" w:pos="284"/>
              </w:tabs>
              <w:spacing w:before="0" w:after="20"/>
              <w:ind w:left="288" w:hanging="230"/>
              <w:rPr>
                <w:rFonts w:cstheme="minorHAnsi"/>
                <w:b/>
                <w:bCs/>
                <w:sz w:val="22"/>
                <w:szCs w:val="22"/>
              </w:rPr>
            </w:pPr>
            <w:bookmarkStart w:id="0" w:name="Addressee_S"/>
            <w:bookmarkEnd w:id="0"/>
            <w:r w:rsidRPr="00F84D90">
              <w:rPr>
                <w:rFonts w:cstheme="minorHAnsi"/>
                <w:b/>
                <w:bCs/>
                <w:sz w:val="22"/>
                <w:szCs w:val="22"/>
              </w:rPr>
              <w:t>A:</w:t>
            </w:r>
          </w:p>
          <w:p w14:paraId="58A2CAA9" w14:textId="24B2E69A" w:rsidR="001350B9" w:rsidRPr="00F84D90" w:rsidRDefault="001350B9" w:rsidP="00F84D90">
            <w:pPr>
              <w:tabs>
                <w:tab w:val="clear" w:pos="794"/>
                <w:tab w:val="clear" w:pos="1191"/>
                <w:tab w:val="clear" w:pos="1588"/>
                <w:tab w:val="clear" w:pos="1985"/>
                <w:tab w:val="left" w:pos="284"/>
              </w:tabs>
              <w:spacing w:before="0" w:after="20"/>
              <w:ind w:left="288" w:hanging="230"/>
              <w:rPr>
                <w:rFonts w:cstheme="minorHAnsi"/>
                <w:sz w:val="22"/>
                <w:szCs w:val="22"/>
              </w:rPr>
            </w:pPr>
            <w:r w:rsidRPr="00F84D90">
              <w:rPr>
                <w:rFonts w:cstheme="minorHAnsi"/>
                <w:sz w:val="22"/>
                <w:szCs w:val="22"/>
              </w:rPr>
              <w:t>-</w:t>
            </w:r>
            <w:r w:rsidRPr="00F84D90">
              <w:rPr>
                <w:rFonts w:cstheme="minorHAnsi"/>
                <w:sz w:val="22"/>
                <w:szCs w:val="22"/>
              </w:rPr>
              <w:tab/>
              <w:t>las Administraciones de los Estados Miembros de la Unión</w:t>
            </w:r>
          </w:p>
          <w:p w14:paraId="7337B4CB" w14:textId="6761688D" w:rsidR="006A02AC" w:rsidRPr="00F84D90" w:rsidRDefault="006A02AC" w:rsidP="00F84D90">
            <w:pPr>
              <w:tabs>
                <w:tab w:val="clear" w:pos="794"/>
                <w:tab w:val="clear" w:pos="1191"/>
                <w:tab w:val="clear" w:pos="1588"/>
                <w:tab w:val="clear" w:pos="1985"/>
                <w:tab w:val="left" w:pos="284"/>
              </w:tabs>
              <w:spacing w:before="0" w:after="20"/>
              <w:ind w:left="288" w:hanging="230"/>
              <w:rPr>
                <w:rFonts w:cstheme="minorHAnsi"/>
                <w:sz w:val="22"/>
                <w:szCs w:val="22"/>
              </w:rPr>
            </w:pPr>
            <w:r w:rsidRPr="00F84D90">
              <w:rPr>
                <w:rFonts w:cstheme="minorHAnsi"/>
                <w:sz w:val="22"/>
                <w:szCs w:val="22"/>
              </w:rPr>
              <w:t>-</w:t>
            </w:r>
            <w:r w:rsidRPr="00F84D90">
              <w:rPr>
                <w:rFonts w:cstheme="minorHAnsi"/>
                <w:sz w:val="22"/>
                <w:szCs w:val="22"/>
              </w:rPr>
              <w:tab/>
              <w:t>el Estado de Palestina (Res. 99 (Rev. Dubái, 2018));</w:t>
            </w:r>
          </w:p>
          <w:p w14:paraId="2127305E" w14:textId="45C55814" w:rsidR="001350B9" w:rsidRPr="00F84D90" w:rsidRDefault="001350B9" w:rsidP="00F84D90">
            <w:pPr>
              <w:tabs>
                <w:tab w:val="clear" w:pos="794"/>
                <w:tab w:val="clear" w:pos="1191"/>
                <w:tab w:val="clear" w:pos="1588"/>
                <w:tab w:val="clear" w:pos="1985"/>
                <w:tab w:val="left" w:pos="284"/>
              </w:tabs>
              <w:spacing w:before="0" w:after="20"/>
              <w:ind w:left="288" w:hanging="230"/>
              <w:rPr>
                <w:rFonts w:cstheme="minorHAnsi"/>
                <w:sz w:val="22"/>
                <w:szCs w:val="22"/>
              </w:rPr>
            </w:pPr>
            <w:r w:rsidRPr="00F84D90">
              <w:rPr>
                <w:rFonts w:cstheme="minorHAnsi"/>
                <w:sz w:val="22"/>
                <w:szCs w:val="22"/>
              </w:rPr>
              <w:t>-</w:t>
            </w:r>
            <w:r w:rsidRPr="00F84D90">
              <w:rPr>
                <w:rFonts w:cstheme="minorHAnsi"/>
                <w:sz w:val="22"/>
                <w:szCs w:val="22"/>
              </w:rPr>
              <w:tab/>
              <w:t>los Miembros del Sector UIT</w:t>
            </w:r>
            <w:r w:rsidRPr="00F84D90">
              <w:rPr>
                <w:rFonts w:cstheme="minorHAnsi"/>
                <w:sz w:val="22"/>
                <w:szCs w:val="22"/>
              </w:rPr>
              <w:noBreakHyphen/>
              <w:t>T;</w:t>
            </w:r>
          </w:p>
          <w:p w14:paraId="777737D3" w14:textId="6AF5D5DC" w:rsidR="001350B9" w:rsidRPr="00F84D90" w:rsidRDefault="001350B9" w:rsidP="00F84D90">
            <w:pPr>
              <w:tabs>
                <w:tab w:val="clear" w:pos="794"/>
                <w:tab w:val="clear" w:pos="1191"/>
                <w:tab w:val="clear" w:pos="1588"/>
                <w:tab w:val="clear" w:pos="1985"/>
                <w:tab w:val="left" w:pos="284"/>
              </w:tabs>
              <w:spacing w:before="0" w:after="20"/>
              <w:ind w:left="288" w:hanging="230"/>
              <w:rPr>
                <w:rFonts w:cstheme="minorHAnsi"/>
                <w:sz w:val="22"/>
                <w:szCs w:val="22"/>
              </w:rPr>
            </w:pPr>
            <w:r w:rsidRPr="00F84D90">
              <w:rPr>
                <w:rFonts w:cstheme="minorHAnsi"/>
                <w:sz w:val="22"/>
                <w:szCs w:val="22"/>
              </w:rPr>
              <w:t>-</w:t>
            </w:r>
            <w:r w:rsidRPr="00F84D90">
              <w:rPr>
                <w:rFonts w:cstheme="minorHAnsi"/>
                <w:sz w:val="22"/>
                <w:szCs w:val="22"/>
              </w:rPr>
              <w:tab/>
              <w:t>los Asociados del UIT</w:t>
            </w:r>
            <w:r w:rsidRPr="00F84D90">
              <w:rPr>
                <w:rFonts w:cstheme="minorHAnsi"/>
                <w:sz w:val="22"/>
                <w:szCs w:val="22"/>
              </w:rPr>
              <w:noBreakHyphen/>
              <w:t>T;</w:t>
            </w:r>
          </w:p>
          <w:p w14:paraId="33A583E7" w14:textId="2EA3D75C" w:rsidR="001350B9" w:rsidRPr="00F84D90" w:rsidRDefault="001350B9" w:rsidP="00F84D90">
            <w:pPr>
              <w:tabs>
                <w:tab w:val="clear" w:pos="794"/>
                <w:tab w:val="clear" w:pos="1191"/>
                <w:tab w:val="clear" w:pos="1588"/>
                <w:tab w:val="clear" w:pos="1985"/>
                <w:tab w:val="left" w:pos="284"/>
              </w:tabs>
              <w:spacing w:before="0" w:after="20"/>
              <w:ind w:left="288" w:hanging="230"/>
              <w:rPr>
                <w:rFonts w:cstheme="minorHAnsi"/>
                <w:sz w:val="22"/>
                <w:szCs w:val="22"/>
              </w:rPr>
            </w:pPr>
            <w:r w:rsidRPr="00F84D90">
              <w:rPr>
                <w:rFonts w:cstheme="minorHAnsi"/>
                <w:sz w:val="22"/>
                <w:szCs w:val="22"/>
              </w:rPr>
              <w:t>-</w:t>
            </w:r>
            <w:r w:rsidRPr="00F84D90">
              <w:rPr>
                <w:rFonts w:cstheme="minorHAnsi"/>
                <w:sz w:val="22"/>
                <w:szCs w:val="22"/>
              </w:rPr>
              <w:tab/>
              <w:t>las Instituciones Académicas del UIT-T;</w:t>
            </w:r>
          </w:p>
          <w:p w14:paraId="345282B3" w14:textId="2424FC0E" w:rsidR="006A02AC" w:rsidRPr="00F84D90" w:rsidRDefault="006A02AC" w:rsidP="00F84D90">
            <w:pPr>
              <w:tabs>
                <w:tab w:val="clear" w:pos="794"/>
                <w:tab w:val="clear" w:pos="1191"/>
                <w:tab w:val="clear" w:pos="1588"/>
                <w:tab w:val="clear" w:pos="1985"/>
                <w:tab w:val="left" w:pos="284"/>
              </w:tabs>
              <w:spacing w:before="0" w:after="20"/>
              <w:ind w:left="288" w:hanging="230"/>
              <w:rPr>
                <w:rFonts w:cstheme="minorHAnsi"/>
                <w:b/>
                <w:bCs/>
                <w:sz w:val="22"/>
                <w:szCs w:val="22"/>
              </w:rPr>
            </w:pPr>
            <w:r w:rsidRPr="00F84D90">
              <w:rPr>
                <w:rFonts w:cstheme="minorHAnsi"/>
                <w:b/>
                <w:bCs/>
                <w:sz w:val="22"/>
                <w:szCs w:val="22"/>
              </w:rPr>
              <w:t>Copia a:</w:t>
            </w:r>
          </w:p>
          <w:p w14:paraId="6FC1FE45" w14:textId="50692E8E" w:rsidR="001350B9" w:rsidRPr="00F84D90" w:rsidRDefault="001350B9" w:rsidP="00F84D90">
            <w:pPr>
              <w:tabs>
                <w:tab w:val="clear" w:pos="794"/>
                <w:tab w:val="clear" w:pos="1191"/>
                <w:tab w:val="clear" w:pos="1588"/>
                <w:tab w:val="clear" w:pos="1985"/>
                <w:tab w:val="left" w:pos="284"/>
              </w:tabs>
              <w:spacing w:before="0" w:after="20"/>
              <w:ind w:left="288" w:hanging="230"/>
              <w:rPr>
                <w:rFonts w:cstheme="minorHAnsi"/>
                <w:sz w:val="22"/>
                <w:szCs w:val="22"/>
              </w:rPr>
            </w:pPr>
            <w:r w:rsidRPr="00F84D90">
              <w:rPr>
                <w:rFonts w:cstheme="minorHAnsi"/>
                <w:sz w:val="22"/>
                <w:szCs w:val="22"/>
              </w:rPr>
              <w:t>-</w:t>
            </w:r>
            <w:r w:rsidRPr="00F84D90">
              <w:rPr>
                <w:rFonts w:cstheme="minorHAnsi"/>
                <w:sz w:val="22"/>
                <w:szCs w:val="22"/>
              </w:rPr>
              <w:tab/>
            </w:r>
            <w:r w:rsidR="006A02AC" w:rsidRPr="00F84D90">
              <w:rPr>
                <w:rFonts w:cstheme="minorHAnsi"/>
                <w:sz w:val="22"/>
                <w:szCs w:val="22"/>
              </w:rPr>
              <w:t>los</w:t>
            </w:r>
            <w:r w:rsidRPr="00F84D90">
              <w:rPr>
                <w:rFonts w:cstheme="minorHAnsi"/>
                <w:sz w:val="22"/>
                <w:szCs w:val="22"/>
              </w:rPr>
              <w:t xml:space="preserve"> </w:t>
            </w:r>
            <w:proofErr w:type="gramStart"/>
            <w:r w:rsidRPr="00F84D90">
              <w:rPr>
                <w:rFonts w:cstheme="minorHAnsi"/>
                <w:sz w:val="22"/>
                <w:szCs w:val="22"/>
              </w:rPr>
              <w:t>Presidente</w:t>
            </w:r>
            <w:r w:rsidR="006A02AC" w:rsidRPr="00F84D90">
              <w:rPr>
                <w:rFonts w:cstheme="minorHAnsi"/>
                <w:sz w:val="22"/>
                <w:szCs w:val="22"/>
              </w:rPr>
              <w:t>s</w:t>
            </w:r>
            <w:proofErr w:type="gramEnd"/>
            <w:r w:rsidRPr="00F84D90">
              <w:rPr>
                <w:rFonts w:cstheme="minorHAnsi"/>
                <w:sz w:val="22"/>
                <w:szCs w:val="22"/>
              </w:rPr>
              <w:t xml:space="preserve"> y a los </w:t>
            </w:r>
            <w:proofErr w:type="gramStart"/>
            <w:r w:rsidRPr="00F84D90">
              <w:rPr>
                <w:rFonts w:cstheme="minorHAnsi"/>
                <w:sz w:val="22"/>
                <w:szCs w:val="22"/>
              </w:rPr>
              <w:t>Vicepresidentes</w:t>
            </w:r>
            <w:proofErr w:type="gramEnd"/>
            <w:r w:rsidRPr="00F84D90">
              <w:rPr>
                <w:rFonts w:cstheme="minorHAnsi"/>
                <w:sz w:val="22"/>
                <w:szCs w:val="22"/>
              </w:rPr>
              <w:t xml:space="preserve"> de la</w:t>
            </w:r>
            <w:r w:rsidR="006A02AC" w:rsidRPr="00F84D90">
              <w:rPr>
                <w:rFonts w:cstheme="minorHAnsi"/>
                <w:sz w:val="22"/>
                <w:szCs w:val="22"/>
              </w:rPr>
              <w:t xml:space="preserve">s </w:t>
            </w:r>
            <w:r w:rsidRPr="00F84D90">
              <w:rPr>
                <w:rFonts w:cstheme="minorHAnsi"/>
                <w:sz w:val="22"/>
                <w:szCs w:val="22"/>
              </w:rPr>
              <w:t>Comisi</w:t>
            </w:r>
            <w:r w:rsidR="006A02AC" w:rsidRPr="00F84D90">
              <w:rPr>
                <w:rFonts w:cstheme="minorHAnsi"/>
                <w:sz w:val="22"/>
                <w:szCs w:val="22"/>
              </w:rPr>
              <w:t>o</w:t>
            </w:r>
            <w:r w:rsidRPr="00F84D90">
              <w:rPr>
                <w:rFonts w:cstheme="minorHAnsi"/>
                <w:sz w:val="22"/>
                <w:szCs w:val="22"/>
              </w:rPr>
              <w:t>n</w:t>
            </w:r>
            <w:r w:rsidR="006A02AC" w:rsidRPr="00F84D90">
              <w:rPr>
                <w:rFonts w:cstheme="minorHAnsi"/>
                <w:sz w:val="22"/>
                <w:szCs w:val="22"/>
              </w:rPr>
              <w:t>es</w:t>
            </w:r>
            <w:r w:rsidRPr="00F84D90">
              <w:rPr>
                <w:rFonts w:cstheme="minorHAnsi"/>
                <w:sz w:val="22"/>
                <w:szCs w:val="22"/>
              </w:rPr>
              <w:t xml:space="preserve"> de Estudio;</w:t>
            </w:r>
          </w:p>
          <w:p w14:paraId="0044969B" w14:textId="3497CFD3" w:rsidR="001350B9" w:rsidRPr="00F84D90" w:rsidRDefault="001350B9" w:rsidP="00F84D90">
            <w:pPr>
              <w:tabs>
                <w:tab w:val="clear" w:pos="794"/>
                <w:tab w:val="clear" w:pos="1191"/>
                <w:tab w:val="clear" w:pos="1588"/>
                <w:tab w:val="clear" w:pos="1985"/>
                <w:tab w:val="left" w:pos="284"/>
              </w:tabs>
              <w:spacing w:before="0" w:after="20"/>
              <w:ind w:left="288" w:hanging="230"/>
              <w:rPr>
                <w:rFonts w:cstheme="minorHAnsi"/>
                <w:sz w:val="22"/>
                <w:szCs w:val="22"/>
              </w:rPr>
            </w:pPr>
            <w:r w:rsidRPr="00F84D90">
              <w:rPr>
                <w:rFonts w:cstheme="minorHAnsi"/>
                <w:sz w:val="22"/>
                <w:szCs w:val="22"/>
              </w:rPr>
              <w:t>-</w:t>
            </w:r>
            <w:r w:rsidRPr="00F84D90">
              <w:rPr>
                <w:rFonts w:cstheme="minorHAnsi"/>
                <w:sz w:val="22"/>
                <w:szCs w:val="22"/>
              </w:rPr>
              <w:tab/>
            </w:r>
            <w:r w:rsidR="006A02AC" w:rsidRPr="00F84D90">
              <w:rPr>
                <w:rFonts w:cstheme="minorHAnsi"/>
                <w:sz w:val="22"/>
                <w:szCs w:val="22"/>
              </w:rPr>
              <w:t>el</w:t>
            </w:r>
            <w:r w:rsidRPr="00F84D90">
              <w:rPr>
                <w:rFonts w:cstheme="minorHAnsi"/>
                <w:sz w:val="22"/>
                <w:szCs w:val="22"/>
              </w:rPr>
              <w:t xml:space="preserve"> </w:t>
            </w:r>
            <w:proofErr w:type="gramStart"/>
            <w:r w:rsidRPr="00F84D90">
              <w:rPr>
                <w:rFonts w:cstheme="minorHAnsi"/>
                <w:sz w:val="22"/>
                <w:szCs w:val="22"/>
              </w:rPr>
              <w:t>Director</w:t>
            </w:r>
            <w:proofErr w:type="gramEnd"/>
            <w:r w:rsidRPr="00F84D90">
              <w:rPr>
                <w:rFonts w:cstheme="minorHAnsi"/>
                <w:sz w:val="22"/>
                <w:szCs w:val="22"/>
              </w:rPr>
              <w:t xml:space="preserve"> de la Oficina de Desarrollo de las Telecomunicaciones;</w:t>
            </w:r>
          </w:p>
          <w:p w14:paraId="62525D65" w14:textId="2732CC4B" w:rsidR="00F938AE" w:rsidRPr="00F84D90" w:rsidRDefault="001350B9" w:rsidP="00F84D90">
            <w:pPr>
              <w:tabs>
                <w:tab w:val="clear" w:pos="794"/>
                <w:tab w:val="clear" w:pos="1191"/>
                <w:tab w:val="clear" w:pos="1588"/>
                <w:tab w:val="clear" w:pos="1985"/>
                <w:tab w:val="left" w:pos="284"/>
              </w:tabs>
              <w:spacing w:before="0" w:after="20"/>
              <w:ind w:left="288" w:hanging="230"/>
              <w:rPr>
                <w:rFonts w:cstheme="minorHAnsi"/>
                <w:sz w:val="22"/>
                <w:szCs w:val="22"/>
              </w:rPr>
            </w:pPr>
            <w:r w:rsidRPr="00F84D90">
              <w:rPr>
                <w:rFonts w:cstheme="minorHAnsi"/>
                <w:sz w:val="22"/>
                <w:szCs w:val="22"/>
              </w:rPr>
              <w:t>-</w:t>
            </w:r>
            <w:r w:rsidRPr="00F84D90">
              <w:rPr>
                <w:rFonts w:cstheme="minorHAnsi"/>
                <w:sz w:val="22"/>
                <w:szCs w:val="22"/>
              </w:rPr>
              <w:tab/>
            </w:r>
            <w:r w:rsidR="006A02AC" w:rsidRPr="00F84D90">
              <w:rPr>
                <w:rFonts w:cstheme="minorHAnsi"/>
                <w:sz w:val="22"/>
                <w:szCs w:val="22"/>
              </w:rPr>
              <w:t>e</w:t>
            </w:r>
            <w:r w:rsidRPr="00F84D90">
              <w:rPr>
                <w:rFonts w:cstheme="minorHAnsi"/>
                <w:sz w:val="22"/>
                <w:szCs w:val="22"/>
              </w:rPr>
              <w:t xml:space="preserve">l </w:t>
            </w:r>
            <w:proofErr w:type="gramStart"/>
            <w:r w:rsidRPr="00F84D90">
              <w:rPr>
                <w:rFonts w:cstheme="minorHAnsi"/>
                <w:sz w:val="22"/>
                <w:szCs w:val="22"/>
              </w:rPr>
              <w:t>Director</w:t>
            </w:r>
            <w:proofErr w:type="gramEnd"/>
            <w:r w:rsidRPr="00F84D90">
              <w:rPr>
                <w:rFonts w:cstheme="minorHAnsi"/>
                <w:sz w:val="22"/>
                <w:szCs w:val="22"/>
              </w:rPr>
              <w:t xml:space="preserve"> de la Oficina de Radiocomunicaciones</w:t>
            </w:r>
          </w:p>
        </w:tc>
      </w:tr>
      <w:tr w:rsidR="006A02AC" w:rsidRPr="00F84D90" w14:paraId="77CB7211" w14:textId="77777777" w:rsidTr="009F7107">
        <w:trPr>
          <w:cantSplit/>
        </w:trPr>
        <w:tc>
          <w:tcPr>
            <w:tcW w:w="1410" w:type="dxa"/>
          </w:tcPr>
          <w:p w14:paraId="278CDF73" w14:textId="6B92D8D1" w:rsidR="006A02AC" w:rsidRPr="00F84D90" w:rsidRDefault="006A02AC" w:rsidP="00F84D90">
            <w:pPr>
              <w:tabs>
                <w:tab w:val="left" w:pos="4111"/>
              </w:tabs>
              <w:spacing w:before="10"/>
              <w:rPr>
                <w:rFonts w:cstheme="minorHAnsi"/>
                <w:sz w:val="22"/>
                <w:szCs w:val="22"/>
              </w:rPr>
            </w:pPr>
            <w:r w:rsidRPr="00F84D90">
              <w:rPr>
                <w:rFonts w:cstheme="minorHAnsi"/>
                <w:sz w:val="22"/>
                <w:szCs w:val="22"/>
              </w:rPr>
              <w:t>Contacto:</w:t>
            </w:r>
          </w:p>
        </w:tc>
        <w:tc>
          <w:tcPr>
            <w:tcW w:w="3402" w:type="dxa"/>
          </w:tcPr>
          <w:p w14:paraId="6264FDCA" w14:textId="474EBC10" w:rsidR="006A02AC" w:rsidRPr="00F84D90" w:rsidRDefault="006A02AC" w:rsidP="00303D62">
            <w:pPr>
              <w:tabs>
                <w:tab w:val="left" w:pos="4111"/>
              </w:tabs>
              <w:spacing w:before="0"/>
              <w:ind w:left="57"/>
              <w:rPr>
                <w:rFonts w:cstheme="minorHAnsi"/>
                <w:sz w:val="22"/>
                <w:szCs w:val="22"/>
              </w:rPr>
            </w:pPr>
            <w:r w:rsidRPr="00F84D90">
              <w:rPr>
                <w:rFonts w:cstheme="minorHAnsi"/>
                <w:color w:val="000000"/>
                <w:sz w:val="22"/>
                <w:szCs w:val="22"/>
                <w:lang w:val="es-ES"/>
              </w:rPr>
              <w:t>Stefano Polidori</w:t>
            </w:r>
          </w:p>
        </w:tc>
        <w:tc>
          <w:tcPr>
            <w:tcW w:w="5103" w:type="dxa"/>
            <w:vMerge/>
          </w:tcPr>
          <w:p w14:paraId="5769255E" w14:textId="77777777" w:rsidR="006A02AC" w:rsidRPr="00F84D90" w:rsidRDefault="006A02AC" w:rsidP="00303D62">
            <w:pPr>
              <w:tabs>
                <w:tab w:val="left" w:pos="226"/>
                <w:tab w:val="left" w:pos="510"/>
              </w:tabs>
              <w:spacing w:before="0"/>
              <w:ind w:left="226" w:hanging="169"/>
              <w:rPr>
                <w:rFonts w:cstheme="minorHAnsi"/>
                <w:b/>
                <w:sz w:val="22"/>
                <w:szCs w:val="22"/>
              </w:rPr>
            </w:pPr>
          </w:p>
        </w:tc>
      </w:tr>
      <w:tr w:rsidR="001350B9" w:rsidRPr="00F84D90" w14:paraId="62F9530E" w14:textId="77777777" w:rsidTr="009F7107">
        <w:trPr>
          <w:cantSplit/>
        </w:trPr>
        <w:tc>
          <w:tcPr>
            <w:tcW w:w="1410" w:type="dxa"/>
          </w:tcPr>
          <w:p w14:paraId="05463613" w14:textId="77777777" w:rsidR="001350B9" w:rsidRPr="00F84D90" w:rsidRDefault="001350B9" w:rsidP="00F84D90">
            <w:pPr>
              <w:tabs>
                <w:tab w:val="left" w:pos="4111"/>
              </w:tabs>
              <w:spacing w:before="10"/>
              <w:rPr>
                <w:rFonts w:cstheme="minorHAnsi"/>
                <w:sz w:val="22"/>
                <w:szCs w:val="22"/>
              </w:rPr>
            </w:pPr>
            <w:r w:rsidRPr="00F84D90">
              <w:rPr>
                <w:rFonts w:cstheme="minorHAnsi"/>
                <w:sz w:val="22"/>
                <w:szCs w:val="22"/>
              </w:rPr>
              <w:t>Tel.:</w:t>
            </w:r>
          </w:p>
        </w:tc>
        <w:tc>
          <w:tcPr>
            <w:tcW w:w="3402" w:type="dxa"/>
          </w:tcPr>
          <w:p w14:paraId="71951EC3" w14:textId="4F75987E" w:rsidR="001350B9" w:rsidRPr="00F84D90" w:rsidRDefault="001350B9" w:rsidP="00303D62">
            <w:pPr>
              <w:tabs>
                <w:tab w:val="left" w:pos="4111"/>
              </w:tabs>
              <w:spacing w:before="0"/>
              <w:ind w:left="57"/>
              <w:rPr>
                <w:rStyle w:val="Hyperlink"/>
                <w:rFonts w:cstheme="minorHAnsi"/>
                <w:sz w:val="22"/>
                <w:szCs w:val="22"/>
              </w:rPr>
            </w:pPr>
            <w:r w:rsidRPr="00F84D90">
              <w:rPr>
                <w:rFonts w:cstheme="minorHAnsi"/>
                <w:sz w:val="22"/>
                <w:szCs w:val="22"/>
              </w:rPr>
              <w:t>+41 22 730</w:t>
            </w:r>
            <w:r w:rsidR="006A02AC" w:rsidRPr="00F84D90">
              <w:rPr>
                <w:rFonts w:cstheme="minorHAnsi"/>
                <w:sz w:val="22"/>
                <w:szCs w:val="22"/>
              </w:rPr>
              <w:t xml:space="preserve"> 5858</w:t>
            </w:r>
          </w:p>
        </w:tc>
        <w:tc>
          <w:tcPr>
            <w:tcW w:w="5103" w:type="dxa"/>
            <w:vMerge/>
          </w:tcPr>
          <w:p w14:paraId="00CA10F6" w14:textId="77777777" w:rsidR="001350B9" w:rsidRPr="00F84D90" w:rsidRDefault="001350B9" w:rsidP="00303D62">
            <w:pPr>
              <w:tabs>
                <w:tab w:val="left" w:pos="226"/>
                <w:tab w:val="left" w:pos="510"/>
              </w:tabs>
              <w:spacing w:before="0"/>
              <w:ind w:left="226" w:hanging="169"/>
              <w:rPr>
                <w:rFonts w:cstheme="minorHAnsi"/>
                <w:b/>
                <w:sz w:val="22"/>
                <w:szCs w:val="22"/>
              </w:rPr>
            </w:pPr>
          </w:p>
        </w:tc>
      </w:tr>
      <w:tr w:rsidR="001350B9" w:rsidRPr="00F84D90" w14:paraId="2F5DC46B" w14:textId="77777777" w:rsidTr="009F7107">
        <w:trPr>
          <w:cantSplit/>
        </w:trPr>
        <w:tc>
          <w:tcPr>
            <w:tcW w:w="1410" w:type="dxa"/>
          </w:tcPr>
          <w:p w14:paraId="11F427F1" w14:textId="77777777" w:rsidR="001350B9" w:rsidRPr="00F84D90" w:rsidRDefault="001350B9" w:rsidP="00F84D90">
            <w:pPr>
              <w:tabs>
                <w:tab w:val="left" w:pos="4111"/>
              </w:tabs>
              <w:spacing w:before="10"/>
              <w:rPr>
                <w:rFonts w:cstheme="minorHAnsi"/>
                <w:sz w:val="22"/>
                <w:szCs w:val="22"/>
              </w:rPr>
            </w:pPr>
            <w:r w:rsidRPr="00F84D90">
              <w:rPr>
                <w:rFonts w:cstheme="minorHAnsi"/>
                <w:sz w:val="22"/>
                <w:szCs w:val="22"/>
              </w:rPr>
              <w:t>Fax:</w:t>
            </w:r>
          </w:p>
        </w:tc>
        <w:tc>
          <w:tcPr>
            <w:tcW w:w="3402" w:type="dxa"/>
          </w:tcPr>
          <w:p w14:paraId="5EACFE0C" w14:textId="77777777" w:rsidR="001350B9" w:rsidRPr="00F84D90" w:rsidRDefault="001350B9" w:rsidP="00303D62">
            <w:pPr>
              <w:tabs>
                <w:tab w:val="left" w:pos="4111"/>
              </w:tabs>
              <w:spacing w:before="0"/>
              <w:ind w:left="57"/>
              <w:rPr>
                <w:rStyle w:val="Hyperlink"/>
                <w:rFonts w:cstheme="minorHAnsi"/>
                <w:sz w:val="22"/>
                <w:szCs w:val="22"/>
              </w:rPr>
            </w:pPr>
            <w:r w:rsidRPr="00F84D90">
              <w:rPr>
                <w:rFonts w:cstheme="minorHAnsi"/>
                <w:sz w:val="22"/>
                <w:szCs w:val="22"/>
              </w:rPr>
              <w:t>+41 22 730 5853</w:t>
            </w:r>
          </w:p>
        </w:tc>
        <w:tc>
          <w:tcPr>
            <w:tcW w:w="5103" w:type="dxa"/>
            <w:vMerge/>
          </w:tcPr>
          <w:p w14:paraId="2D9B06B9" w14:textId="77777777" w:rsidR="001350B9" w:rsidRPr="00F84D90" w:rsidRDefault="001350B9" w:rsidP="00303D62">
            <w:pPr>
              <w:tabs>
                <w:tab w:val="left" w:pos="226"/>
                <w:tab w:val="left" w:pos="510"/>
              </w:tabs>
              <w:spacing w:before="0"/>
              <w:ind w:left="226" w:hanging="169"/>
              <w:rPr>
                <w:rFonts w:cstheme="minorHAnsi"/>
                <w:b/>
                <w:sz w:val="22"/>
                <w:szCs w:val="22"/>
              </w:rPr>
            </w:pPr>
          </w:p>
        </w:tc>
      </w:tr>
      <w:tr w:rsidR="001350B9" w:rsidRPr="00F84D90" w14:paraId="76509919" w14:textId="77777777" w:rsidTr="00F84D90">
        <w:trPr>
          <w:cantSplit/>
          <w:trHeight w:val="2322"/>
        </w:trPr>
        <w:tc>
          <w:tcPr>
            <w:tcW w:w="1410" w:type="dxa"/>
          </w:tcPr>
          <w:p w14:paraId="3B451536" w14:textId="77777777" w:rsidR="001350B9" w:rsidRPr="00F84D90" w:rsidRDefault="001350B9" w:rsidP="00F84D90">
            <w:pPr>
              <w:tabs>
                <w:tab w:val="left" w:pos="4111"/>
              </w:tabs>
              <w:spacing w:before="10"/>
              <w:rPr>
                <w:rFonts w:cstheme="minorHAnsi"/>
                <w:sz w:val="22"/>
                <w:szCs w:val="22"/>
              </w:rPr>
            </w:pPr>
            <w:r w:rsidRPr="00F84D90">
              <w:rPr>
                <w:rFonts w:cstheme="minorHAnsi"/>
                <w:sz w:val="22"/>
                <w:szCs w:val="22"/>
              </w:rPr>
              <w:t>Correo-e:</w:t>
            </w:r>
          </w:p>
        </w:tc>
        <w:tc>
          <w:tcPr>
            <w:tcW w:w="3402" w:type="dxa"/>
          </w:tcPr>
          <w:p w14:paraId="644B9860" w14:textId="645D8A5F" w:rsidR="001350B9" w:rsidRPr="00F84D90" w:rsidRDefault="006A02AC" w:rsidP="00303D62">
            <w:pPr>
              <w:tabs>
                <w:tab w:val="left" w:pos="4111"/>
              </w:tabs>
              <w:spacing w:before="0"/>
              <w:ind w:left="57"/>
              <w:rPr>
                <w:rFonts w:cstheme="minorHAnsi"/>
                <w:sz w:val="22"/>
                <w:szCs w:val="22"/>
              </w:rPr>
            </w:pPr>
            <w:hyperlink r:id="rId9" w:history="1">
              <w:r w:rsidRPr="00F84D90">
                <w:rPr>
                  <w:rStyle w:val="Hyperlink"/>
                  <w:rFonts w:cstheme="minorHAnsi"/>
                  <w:sz w:val="22"/>
                  <w:szCs w:val="22"/>
                </w:rPr>
                <w:t>tsbevents@itu.int</w:t>
              </w:r>
            </w:hyperlink>
            <w:r w:rsidR="001350B9" w:rsidRPr="00F84D90">
              <w:rPr>
                <w:rFonts w:cstheme="minorHAnsi"/>
                <w:sz w:val="22"/>
                <w:szCs w:val="22"/>
              </w:rPr>
              <w:t xml:space="preserve"> </w:t>
            </w:r>
          </w:p>
        </w:tc>
        <w:tc>
          <w:tcPr>
            <w:tcW w:w="5103" w:type="dxa"/>
            <w:vMerge/>
          </w:tcPr>
          <w:p w14:paraId="432179F6" w14:textId="77777777" w:rsidR="001350B9" w:rsidRPr="00F84D90" w:rsidRDefault="001350B9" w:rsidP="00303D62">
            <w:pPr>
              <w:tabs>
                <w:tab w:val="clear" w:pos="794"/>
                <w:tab w:val="clear" w:pos="1191"/>
                <w:tab w:val="clear" w:pos="1588"/>
                <w:tab w:val="clear" w:pos="1985"/>
                <w:tab w:val="left" w:pos="226"/>
                <w:tab w:val="left" w:pos="510"/>
              </w:tabs>
              <w:spacing w:before="0"/>
              <w:ind w:left="226" w:hanging="169"/>
              <w:rPr>
                <w:rFonts w:cstheme="minorHAnsi"/>
                <w:sz w:val="22"/>
                <w:szCs w:val="22"/>
              </w:rPr>
            </w:pPr>
          </w:p>
        </w:tc>
      </w:tr>
      <w:tr w:rsidR="007B6316" w:rsidRPr="00F84D90" w14:paraId="42AA2D2F" w14:textId="77777777" w:rsidTr="009F7107">
        <w:trPr>
          <w:cantSplit/>
          <w:trHeight w:val="602"/>
        </w:trPr>
        <w:tc>
          <w:tcPr>
            <w:tcW w:w="1410" w:type="dxa"/>
          </w:tcPr>
          <w:p w14:paraId="1AAA1BEB" w14:textId="77777777" w:rsidR="007B6316" w:rsidRPr="00F84D90" w:rsidRDefault="007B6316" w:rsidP="00F84D90">
            <w:pPr>
              <w:tabs>
                <w:tab w:val="left" w:pos="4111"/>
              </w:tabs>
              <w:spacing w:before="10"/>
              <w:rPr>
                <w:rFonts w:cstheme="minorHAnsi"/>
                <w:sz w:val="22"/>
                <w:szCs w:val="22"/>
              </w:rPr>
            </w:pPr>
            <w:r w:rsidRPr="00F84D90">
              <w:rPr>
                <w:rFonts w:cstheme="minorHAnsi"/>
                <w:b/>
                <w:bCs/>
                <w:sz w:val="22"/>
                <w:szCs w:val="22"/>
              </w:rPr>
              <w:t>Asunto</w:t>
            </w:r>
            <w:r w:rsidRPr="00F84D90">
              <w:rPr>
                <w:rFonts w:cstheme="minorHAnsi"/>
                <w:sz w:val="22"/>
                <w:szCs w:val="22"/>
              </w:rPr>
              <w:t>:</w:t>
            </w:r>
          </w:p>
        </w:tc>
        <w:tc>
          <w:tcPr>
            <w:tcW w:w="8505" w:type="dxa"/>
            <w:gridSpan w:val="2"/>
          </w:tcPr>
          <w:p w14:paraId="0AFDB8E0" w14:textId="501E5138" w:rsidR="007B6316" w:rsidRPr="00F84D90" w:rsidRDefault="006A02AC" w:rsidP="006A02AC">
            <w:pPr>
              <w:tabs>
                <w:tab w:val="left" w:pos="4111"/>
              </w:tabs>
              <w:spacing w:before="0"/>
              <w:ind w:left="57"/>
              <w:rPr>
                <w:rFonts w:cstheme="minorHAnsi"/>
                <w:b/>
                <w:sz w:val="22"/>
                <w:szCs w:val="22"/>
              </w:rPr>
            </w:pPr>
            <w:r w:rsidRPr="00F84D90">
              <w:rPr>
                <w:rFonts w:cstheme="minorHAnsi"/>
                <w:b/>
                <w:bCs/>
                <w:color w:val="000000"/>
                <w:sz w:val="22"/>
                <w:szCs w:val="22"/>
                <w:lang w:val="es-ES"/>
              </w:rPr>
              <w:t>Simposio sobre el Automóvil Conectado del Futuro – (FNC 2026)</w:t>
            </w:r>
            <w:r w:rsidRPr="00F84D90">
              <w:rPr>
                <w:rFonts w:cstheme="minorHAnsi"/>
                <w:b/>
                <w:bCs/>
                <w:color w:val="000000"/>
                <w:sz w:val="22"/>
                <w:szCs w:val="22"/>
                <w:lang w:val="es-ES"/>
              </w:rPr>
              <w:br/>
              <w:t>(8-9 de julio de 2026, Ginebra, Suiza)</w:t>
            </w:r>
          </w:p>
        </w:tc>
      </w:tr>
    </w:tbl>
    <w:p w14:paraId="15944CAD" w14:textId="1A34560A" w:rsidR="00C34772" w:rsidRPr="00F84D90" w:rsidRDefault="006A02AC" w:rsidP="00F84D90">
      <w:pPr>
        <w:spacing w:after="120"/>
        <w:rPr>
          <w:rFonts w:cstheme="minorHAnsi"/>
          <w:sz w:val="22"/>
          <w:szCs w:val="22"/>
        </w:rPr>
      </w:pPr>
      <w:bookmarkStart w:id="1" w:name="StartTyping_S"/>
      <w:bookmarkStart w:id="2" w:name="suitetext"/>
      <w:bookmarkStart w:id="3" w:name="text"/>
      <w:bookmarkEnd w:id="1"/>
      <w:bookmarkEnd w:id="2"/>
      <w:bookmarkEnd w:id="3"/>
      <w:r w:rsidRPr="00F84D90">
        <w:rPr>
          <w:rFonts w:cstheme="minorHAnsi"/>
          <w:sz w:val="22"/>
          <w:szCs w:val="22"/>
        </w:rPr>
        <w:t>Estimado señor/señora</w:t>
      </w:r>
      <w:r w:rsidR="00F84D90">
        <w:rPr>
          <w:rFonts w:cstheme="minorHAnsi"/>
          <w:sz w:val="22"/>
          <w:szCs w:val="22"/>
        </w:rPr>
        <w:t>,</w:t>
      </w:r>
    </w:p>
    <w:p w14:paraId="0C47920F" w14:textId="77777777" w:rsidR="006A02AC" w:rsidRPr="00F84D90" w:rsidRDefault="006A02AC" w:rsidP="006A02AC">
      <w:pPr>
        <w:spacing w:before="0" w:after="120"/>
        <w:rPr>
          <w:rFonts w:cstheme="minorHAnsi"/>
          <w:noProof/>
          <w:sz w:val="22"/>
          <w:szCs w:val="22"/>
          <w:lang w:val="es-ES"/>
        </w:rPr>
      </w:pPr>
      <w:r w:rsidRPr="00F84D90">
        <w:rPr>
          <w:rFonts w:cstheme="minorHAnsi"/>
          <w:sz w:val="22"/>
          <w:szCs w:val="22"/>
          <w:lang w:val="es-ES"/>
        </w:rPr>
        <w:t>1</w:t>
      </w:r>
      <w:r w:rsidRPr="00F84D90">
        <w:rPr>
          <w:rFonts w:cstheme="minorHAnsi"/>
          <w:sz w:val="22"/>
          <w:szCs w:val="22"/>
          <w:lang w:val="es-ES"/>
        </w:rPr>
        <w:tab/>
      </w:r>
      <w:proofErr w:type="gramStart"/>
      <w:r w:rsidRPr="00F84D90">
        <w:rPr>
          <w:rFonts w:cstheme="minorHAnsi"/>
          <w:sz w:val="22"/>
          <w:szCs w:val="22"/>
          <w:lang w:val="es-ES"/>
        </w:rPr>
        <w:t>Me</w:t>
      </w:r>
      <w:proofErr w:type="gramEnd"/>
      <w:r w:rsidRPr="00F84D90">
        <w:rPr>
          <w:rFonts w:cstheme="minorHAnsi"/>
          <w:sz w:val="22"/>
          <w:szCs w:val="22"/>
          <w:lang w:val="es-ES"/>
        </w:rPr>
        <w:t xml:space="preserve"> complace informarle que la Unión Internacional de Telecomunicaciones (UIT) y la Comisión Económica para Europa (CEPE) de las Naciones Unidas organizarán conjuntamente la 21ª edición del </w:t>
      </w:r>
      <w:r w:rsidRPr="00F84D90">
        <w:rPr>
          <w:rFonts w:cstheme="minorHAnsi"/>
          <w:b/>
          <w:bCs/>
          <w:sz w:val="22"/>
          <w:szCs w:val="22"/>
          <w:lang w:val="es-ES"/>
        </w:rPr>
        <w:t>Simposio sobre el Automóvil Conectado del Futuro (FNC-2026)</w:t>
      </w:r>
      <w:r w:rsidRPr="00F84D90">
        <w:rPr>
          <w:rFonts w:cstheme="minorHAnsi"/>
          <w:sz w:val="22"/>
          <w:szCs w:val="22"/>
          <w:lang w:val="es-ES"/>
        </w:rPr>
        <w:t xml:space="preserve"> en Ginebra (Suiza), los días </w:t>
      </w:r>
      <w:r w:rsidRPr="00F84D90">
        <w:rPr>
          <w:rFonts w:cstheme="minorHAnsi"/>
          <w:b/>
          <w:bCs/>
          <w:sz w:val="22"/>
          <w:szCs w:val="22"/>
          <w:lang w:val="es-ES"/>
        </w:rPr>
        <w:t>8 y 9 de julio de 2026</w:t>
      </w:r>
      <w:r w:rsidRPr="00F84D90">
        <w:rPr>
          <w:rFonts w:cstheme="minorHAnsi"/>
          <w:sz w:val="22"/>
          <w:szCs w:val="22"/>
          <w:lang w:val="es-ES"/>
        </w:rPr>
        <w:t xml:space="preserve">, con ocasión de la Cumbre Mundial </w:t>
      </w:r>
      <w:r w:rsidRPr="00F84D90">
        <w:rPr>
          <w:rFonts w:cstheme="minorHAnsi"/>
          <w:i/>
          <w:iCs/>
          <w:sz w:val="22"/>
          <w:szCs w:val="22"/>
          <w:lang w:val="es-ES"/>
        </w:rPr>
        <w:t>AI for Good</w:t>
      </w:r>
      <w:r w:rsidRPr="00F84D90">
        <w:rPr>
          <w:rFonts w:cstheme="minorHAnsi"/>
          <w:sz w:val="22"/>
          <w:szCs w:val="22"/>
          <w:lang w:val="es-ES"/>
        </w:rPr>
        <w:t xml:space="preserve"> 2026. Véase el proyecto de programa en anexo.</w:t>
      </w:r>
    </w:p>
    <w:p w14:paraId="30BB0FBC" w14:textId="77777777" w:rsidR="006A02AC" w:rsidRPr="00F84D90" w:rsidRDefault="006A02AC" w:rsidP="006A02AC">
      <w:pPr>
        <w:spacing w:before="0" w:after="120"/>
        <w:rPr>
          <w:rFonts w:eastAsia="SimSun" w:cstheme="minorHAnsi"/>
          <w:noProof/>
          <w:sz w:val="22"/>
          <w:szCs w:val="22"/>
          <w:lang w:val="es-ES"/>
        </w:rPr>
      </w:pPr>
      <w:r w:rsidRPr="00F84D90">
        <w:rPr>
          <w:rFonts w:cstheme="minorHAnsi"/>
          <w:sz w:val="22"/>
          <w:szCs w:val="22"/>
          <w:lang w:val="es-ES"/>
        </w:rPr>
        <w:t>2</w:t>
      </w:r>
      <w:r w:rsidRPr="00F84D90">
        <w:rPr>
          <w:rFonts w:cstheme="minorHAnsi"/>
          <w:sz w:val="22"/>
          <w:szCs w:val="22"/>
          <w:lang w:val="es-ES"/>
        </w:rPr>
        <w:tab/>
      </w:r>
      <w:proofErr w:type="gramStart"/>
      <w:r w:rsidRPr="00F84D90">
        <w:rPr>
          <w:rFonts w:cstheme="minorHAnsi"/>
          <w:sz w:val="22"/>
          <w:szCs w:val="22"/>
          <w:lang w:val="es-ES"/>
        </w:rPr>
        <w:t>En</w:t>
      </w:r>
      <w:proofErr w:type="gramEnd"/>
      <w:r w:rsidRPr="00F84D90">
        <w:rPr>
          <w:rFonts w:cstheme="minorHAnsi"/>
          <w:sz w:val="22"/>
          <w:szCs w:val="22"/>
          <w:lang w:val="es-ES"/>
        </w:rPr>
        <w:t xml:space="preserve"> el Simposio sobre el Automóvil Conectado del Futuro se examinan los últimos avances en materia de conectividad vehicular y movilidad automatizada, compartiendo a nivel internacional sus implicaciones en materia de tecnología, empresas, normalización y reglamentación.</w:t>
      </w:r>
    </w:p>
    <w:p w14:paraId="13576150" w14:textId="77777777" w:rsidR="006A02AC" w:rsidRPr="00F84D90" w:rsidRDefault="006A02AC" w:rsidP="006A02AC">
      <w:pPr>
        <w:spacing w:before="0" w:after="120"/>
        <w:rPr>
          <w:rFonts w:cstheme="minorHAnsi"/>
          <w:noProof/>
          <w:sz w:val="22"/>
          <w:szCs w:val="22"/>
          <w:lang w:val="es-ES"/>
        </w:rPr>
      </w:pPr>
      <w:r w:rsidRPr="00F84D90">
        <w:rPr>
          <w:rFonts w:cstheme="minorHAnsi"/>
          <w:sz w:val="22"/>
          <w:szCs w:val="22"/>
          <w:lang w:val="es-ES"/>
        </w:rPr>
        <w:t>3</w:t>
      </w:r>
      <w:r w:rsidRPr="00F84D90">
        <w:rPr>
          <w:rFonts w:cstheme="minorHAnsi"/>
          <w:sz w:val="22"/>
          <w:szCs w:val="22"/>
          <w:lang w:val="es-ES"/>
        </w:rPr>
        <w:tab/>
      </w:r>
      <w:proofErr w:type="gramStart"/>
      <w:r w:rsidRPr="00F84D90">
        <w:rPr>
          <w:rFonts w:cstheme="minorHAnsi"/>
          <w:sz w:val="22"/>
          <w:szCs w:val="22"/>
          <w:lang w:val="es-ES"/>
        </w:rPr>
        <w:t>Desde</w:t>
      </w:r>
      <w:proofErr w:type="gramEnd"/>
      <w:r w:rsidRPr="00F84D90">
        <w:rPr>
          <w:rFonts w:cstheme="minorHAnsi"/>
          <w:sz w:val="22"/>
          <w:szCs w:val="22"/>
          <w:lang w:val="es-ES"/>
        </w:rPr>
        <w:t xml:space="preserve"> su creación en 2005, el Simposio ha reunido a representantes de las industrias del automóvil, el transporte y las tecnologías de la información y las comunicaciones con dirigentes gubernamentales y organismos reguladores para examinar la situación y el futuro de las comunicaciones de los vehículos y la conducción automática, desde los puntos de vista técnico y reglamentario.</w:t>
      </w:r>
    </w:p>
    <w:p w14:paraId="1A3CEE84" w14:textId="77777777" w:rsidR="006A02AC" w:rsidRPr="00F84D90" w:rsidRDefault="006A02AC" w:rsidP="006A02AC">
      <w:pPr>
        <w:tabs>
          <w:tab w:val="clear" w:pos="794"/>
          <w:tab w:val="clear" w:pos="1191"/>
          <w:tab w:val="clear" w:pos="1588"/>
          <w:tab w:val="clear" w:pos="1985"/>
        </w:tabs>
        <w:overflowPunct/>
        <w:autoSpaceDE/>
        <w:autoSpaceDN/>
        <w:adjustRightInd/>
        <w:spacing w:before="0" w:after="120"/>
        <w:textAlignment w:val="auto"/>
        <w:rPr>
          <w:rFonts w:cstheme="minorHAnsi"/>
          <w:noProof/>
          <w:sz w:val="22"/>
          <w:szCs w:val="22"/>
          <w:lang w:val="es-ES"/>
        </w:rPr>
      </w:pPr>
      <w:r w:rsidRPr="00F84D90">
        <w:rPr>
          <w:rFonts w:cstheme="minorHAnsi"/>
          <w:sz w:val="22"/>
          <w:szCs w:val="22"/>
          <w:lang w:val="es-ES"/>
        </w:rPr>
        <w:t>4</w:t>
      </w:r>
      <w:r w:rsidRPr="00F84D90">
        <w:rPr>
          <w:rFonts w:cstheme="minorHAnsi"/>
          <w:sz w:val="22"/>
          <w:szCs w:val="22"/>
          <w:lang w:val="es-ES"/>
        </w:rPr>
        <w:tab/>
      </w:r>
      <w:proofErr w:type="gramStart"/>
      <w:r w:rsidRPr="00F84D90">
        <w:rPr>
          <w:rFonts w:cstheme="minorHAnsi"/>
          <w:sz w:val="22"/>
          <w:szCs w:val="22"/>
          <w:lang w:val="es-ES"/>
        </w:rPr>
        <w:t>El</w:t>
      </w:r>
      <w:proofErr w:type="gramEnd"/>
      <w:r w:rsidRPr="00F84D90">
        <w:rPr>
          <w:rFonts w:cstheme="minorHAnsi"/>
          <w:sz w:val="22"/>
          <w:szCs w:val="22"/>
          <w:lang w:val="es-ES"/>
        </w:rPr>
        <w:t xml:space="preserve"> FNC-2026 proporcionará una exploración exhaustiva de cómo se gobiernan, desarrollan, validan y habilitan los sistemas de conducción automatizada para su implementación en la vida cotidiana. El Foro, que se inaugurará con perspectivas de alto nivel de la UIT, la CEPE y el Enviado Especial de las Naciones Unidas para la Seguridad Vial, establecerá la política mundial y el contexto de seguridad vial para la transición hacia una movilidad cada vez más automatizada. Los debates examinarán la evolución de los marcos reglamentarios, la infraestructura de datos de IA para automóviles, los enfoques para la validación de los sistemas de conducción automatizada y el papel fundamental de las comunicaciones y la conectividad vehiculares. </w:t>
      </w:r>
    </w:p>
    <w:p w14:paraId="2E96F720" w14:textId="77777777" w:rsidR="006A02AC" w:rsidRPr="00F84D90" w:rsidRDefault="006A02AC" w:rsidP="00F94782">
      <w:pPr>
        <w:keepNext/>
        <w:keepLines/>
        <w:spacing w:before="0" w:after="120"/>
        <w:rPr>
          <w:rFonts w:cstheme="minorHAnsi"/>
          <w:noProof/>
          <w:sz w:val="22"/>
          <w:szCs w:val="22"/>
          <w:lang w:val="es-ES"/>
        </w:rPr>
      </w:pPr>
      <w:bookmarkStart w:id="4" w:name="_Hlk153275870"/>
      <w:r w:rsidRPr="00F84D90">
        <w:rPr>
          <w:rFonts w:cstheme="minorHAnsi"/>
          <w:sz w:val="22"/>
          <w:szCs w:val="22"/>
          <w:lang w:val="es-ES"/>
        </w:rPr>
        <w:t>5</w:t>
      </w:r>
      <w:r w:rsidRPr="00F84D90">
        <w:rPr>
          <w:rFonts w:cstheme="minorHAnsi"/>
          <w:sz w:val="22"/>
          <w:szCs w:val="22"/>
          <w:lang w:val="es-ES"/>
        </w:rPr>
        <w:tab/>
      </w:r>
      <w:proofErr w:type="gramStart"/>
      <w:r w:rsidRPr="00F84D90">
        <w:rPr>
          <w:rFonts w:cstheme="minorHAnsi"/>
          <w:sz w:val="22"/>
          <w:szCs w:val="22"/>
          <w:lang w:val="es-ES"/>
        </w:rPr>
        <w:t>La</w:t>
      </w:r>
      <w:proofErr w:type="gramEnd"/>
      <w:r w:rsidRPr="00F84D90">
        <w:rPr>
          <w:rFonts w:cstheme="minorHAnsi"/>
          <w:sz w:val="22"/>
          <w:szCs w:val="22"/>
          <w:lang w:val="es-ES"/>
        </w:rPr>
        <w:t xml:space="preserve"> participación está abierta a los Estados Miembros, a los Miembros de Sector, a los Asociados y a las Instituciones Académicas de la UIT, y a cualquier persona de un país que sea miembro de las Naciones Unidas y desee contribuir a los trabajos. Esto incluye a las personas que también son miembros de organizaciones nacionales, regionales e internacionales.</w:t>
      </w:r>
    </w:p>
    <w:bookmarkEnd w:id="4"/>
    <w:p w14:paraId="709350CD" w14:textId="77777777" w:rsidR="006A02AC" w:rsidRPr="00F84D90" w:rsidRDefault="006A02AC" w:rsidP="006A02AC">
      <w:pPr>
        <w:spacing w:before="0" w:after="120"/>
        <w:rPr>
          <w:rFonts w:cstheme="minorHAnsi"/>
          <w:bCs/>
          <w:noProof/>
          <w:sz w:val="22"/>
          <w:szCs w:val="22"/>
          <w:lang w:val="es-ES"/>
        </w:rPr>
      </w:pPr>
      <w:r w:rsidRPr="00F84D90">
        <w:rPr>
          <w:rFonts w:cstheme="minorHAnsi"/>
          <w:sz w:val="22"/>
          <w:szCs w:val="22"/>
          <w:lang w:val="es-ES"/>
        </w:rPr>
        <w:t>6</w:t>
      </w:r>
      <w:r w:rsidRPr="00F84D90">
        <w:rPr>
          <w:rFonts w:cstheme="minorHAnsi"/>
          <w:sz w:val="22"/>
          <w:szCs w:val="22"/>
          <w:lang w:val="es-ES"/>
        </w:rPr>
        <w:tab/>
      </w:r>
      <w:proofErr w:type="gramStart"/>
      <w:r w:rsidRPr="00F84D90">
        <w:rPr>
          <w:rFonts w:cstheme="minorHAnsi"/>
          <w:sz w:val="22"/>
          <w:szCs w:val="22"/>
          <w:lang w:val="es-ES"/>
        </w:rPr>
        <w:t>Toda</w:t>
      </w:r>
      <w:proofErr w:type="gramEnd"/>
      <w:r w:rsidRPr="00F84D90">
        <w:rPr>
          <w:rFonts w:cstheme="minorHAnsi"/>
          <w:sz w:val="22"/>
          <w:szCs w:val="22"/>
          <w:lang w:val="es-ES"/>
        </w:rPr>
        <w:t xml:space="preserve"> la información pertinente relativa al Simposio (oradores, proyecto de programa, detalles de la conexión a distancia, enlaces para la inscripción) estará disponible en el sitio web del evento principal que se encuentra en </w:t>
      </w:r>
      <w:hyperlink r:id="rId10" w:history="1">
        <w:r w:rsidRPr="00F84D90">
          <w:rPr>
            <w:rStyle w:val="Hyperlink"/>
            <w:rFonts w:cstheme="minorHAnsi"/>
            <w:sz w:val="22"/>
            <w:szCs w:val="22"/>
            <w:lang w:val="es-ES"/>
          </w:rPr>
          <w:t>https://fnc.itu.int/</w:t>
        </w:r>
      </w:hyperlink>
      <w:r w:rsidRPr="00F84D90">
        <w:rPr>
          <w:rFonts w:cstheme="minorHAnsi"/>
          <w:sz w:val="22"/>
          <w:szCs w:val="22"/>
          <w:lang w:val="es-ES"/>
        </w:rPr>
        <w:t xml:space="preserve">. </w:t>
      </w:r>
      <w:hyperlink r:id="rId11" w:history="1"/>
    </w:p>
    <w:p w14:paraId="5E8FC1EE" w14:textId="77777777" w:rsidR="006A02AC" w:rsidRPr="00F84D90" w:rsidRDefault="006A02AC" w:rsidP="006A02AC">
      <w:pPr>
        <w:rPr>
          <w:rFonts w:cstheme="minorHAnsi"/>
          <w:noProof/>
          <w:sz w:val="22"/>
          <w:szCs w:val="22"/>
          <w:lang w:val="es-ES"/>
        </w:rPr>
      </w:pPr>
      <w:r w:rsidRPr="00F84D90">
        <w:rPr>
          <w:rFonts w:cstheme="minorHAnsi"/>
          <w:sz w:val="22"/>
          <w:szCs w:val="22"/>
          <w:lang w:val="es-ES"/>
        </w:rPr>
        <w:lastRenderedPageBreak/>
        <w:t>7</w:t>
      </w:r>
      <w:r w:rsidRPr="00F84D90">
        <w:rPr>
          <w:rFonts w:cstheme="minorHAnsi"/>
          <w:sz w:val="22"/>
          <w:szCs w:val="22"/>
          <w:lang w:val="es-ES"/>
        </w:rPr>
        <w:tab/>
      </w:r>
      <w:proofErr w:type="gramStart"/>
      <w:r w:rsidRPr="00F84D90">
        <w:rPr>
          <w:rFonts w:cstheme="minorHAnsi"/>
          <w:b/>
          <w:bCs/>
          <w:sz w:val="22"/>
          <w:szCs w:val="22"/>
          <w:lang w:val="es-ES"/>
        </w:rPr>
        <w:t>Le</w:t>
      </w:r>
      <w:proofErr w:type="gramEnd"/>
      <w:r w:rsidRPr="00F84D90">
        <w:rPr>
          <w:rFonts w:cstheme="minorHAnsi"/>
          <w:b/>
          <w:bCs/>
          <w:sz w:val="22"/>
          <w:szCs w:val="22"/>
          <w:lang w:val="es-ES"/>
        </w:rPr>
        <w:t xml:space="preserve"> informamos de que la inscripción en la </w:t>
      </w:r>
      <w:hyperlink r:id="rId12" w:anchor="/es" w:history="1">
        <w:r w:rsidRPr="00F84D90">
          <w:rPr>
            <w:rStyle w:val="Hyperlink"/>
            <w:rFonts w:cstheme="minorHAnsi"/>
            <w:b/>
            <w:bCs/>
            <w:sz w:val="22"/>
            <w:szCs w:val="22"/>
            <w:lang w:val="es-ES"/>
          </w:rPr>
          <w:t>Cumbre Mundial AI for Good</w:t>
        </w:r>
      </w:hyperlink>
      <w:r w:rsidRPr="00F84D90">
        <w:rPr>
          <w:rFonts w:cstheme="minorHAnsi"/>
          <w:b/>
          <w:bCs/>
          <w:sz w:val="22"/>
          <w:szCs w:val="22"/>
          <w:lang w:val="es-ES"/>
        </w:rPr>
        <w:t xml:space="preserve"> es obligatoria para asistir al FNC-2026.</w:t>
      </w:r>
      <w:r w:rsidRPr="00F84D90">
        <w:rPr>
          <w:rFonts w:cstheme="minorHAnsi"/>
          <w:sz w:val="22"/>
          <w:szCs w:val="22"/>
          <w:lang w:val="es-ES"/>
        </w:rPr>
        <w:t xml:space="preserve"> El </w:t>
      </w:r>
      <w:hyperlink r:id="rId13" w:history="1">
        <w:r w:rsidRPr="00F84D90">
          <w:rPr>
            <w:rStyle w:val="Hyperlink"/>
            <w:rFonts w:cstheme="minorHAnsi"/>
            <w:sz w:val="22"/>
            <w:szCs w:val="22"/>
            <w:lang w:val="es-ES"/>
          </w:rPr>
          <w:t>sitio web del Simposio</w:t>
        </w:r>
      </w:hyperlink>
      <w:r w:rsidRPr="00F84D90">
        <w:rPr>
          <w:rFonts w:cstheme="minorHAnsi"/>
          <w:sz w:val="22"/>
          <w:szCs w:val="22"/>
          <w:lang w:val="es-ES"/>
        </w:rPr>
        <w:t xml:space="preserve"> se actualizará continuamente con la información más reciente y los cambios que se introduzcan. Se alienta a los participantes a visitar el sitio web periódicamente para obtener información actualizada. Para más detalles sobre el programa, sírvase dirigirse al Sr. Stefano Polidori (</w:t>
      </w:r>
      <w:hyperlink r:id="rId14" w:history="1">
        <w:r w:rsidRPr="00F84D90">
          <w:rPr>
            <w:rStyle w:val="Hyperlink"/>
            <w:rFonts w:cstheme="minorHAnsi"/>
            <w:sz w:val="22"/>
            <w:szCs w:val="22"/>
            <w:lang w:val="es-ES"/>
          </w:rPr>
          <w:t>tsbcits@itu.int</w:t>
        </w:r>
      </w:hyperlink>
      <w:r w:rsidRPr="00F84D90">
        <w:rPr>
          <w:rFonts w:cstheme="minorHAnsi"/>
          <w:sz w:val="22"/>
          <w:szCs w:val="22"/>
          <w:lang w:val="es-ES"/>
        </w:rPr>
        <w:t>).</w:t>
      </w:r>
      <w:hyperlink r:id="rId15" w:history="1"/>
      <w:hyperlink r:id="rId16" w:history="1"/>
      <w:hyperlink r:id="rId17" w:history="1"/>
    </w:p>
    <w:p w14:paraId="754E5233" w14:textId="04B5BABD" w:rsidR="007B6316" w:rsidRPr="00F84D90" w:rsidRDefault="006A02AC" w:rsidP="006A02AC">
      <w:pPr>
        <w:rPr>
          <w:rFonts w:cstheme="minorHAnsi"/>
          <w:sz w:val="22"/>
          <w:szCs w:val="22"/>
          <w:lang w:val="es-ES"/>
        </w:rPr>
      </w:pPr>
      <w:r w:rsidRPr="00F84D90">
        <w:rPr>
          <w:rFonts w:cstheme="minorHAnsi"/>
          <w:sz w:val="22"/>
          <w:szCs w:val="22"/>
          <w:lang w:val="es-ES"/>
        </w:rPr>
        <w:t>8</w:t>
      </w:r>
      <w:r w:rsidRPr="00F84D90">
        <w:rPr>
          <w:rFonts w:cstheme="minorHAnsi"/>
          <w:sz w:val="22"/>
          <w:szCs w:val="22"/>
          <w:lang w:val="es-ES"/>
        </w:rPr>
        <w:tab/>
      </w:r>
      <w:proofErr w:type="gramStart"/>
      <w:r w:rsidRPr="00F84D90">
        <w:rPr>
          <w:rFonts w:cstheme="minorHAnsi"/>
          <w:sz w:val="22"/>
          <w:szCs w:val="22"/>
          <w:lang w:val="es-ES"/>
        </w:rPr>
        <w:t>Si</w:t>
      </w:r>
      <w:proofErr w:type="gramEnd"/>
      <w:r w:rsidRPr="00F84D90">
        <w:rPr>
          <w:rFonts w:cstheme="minorHAnsi"/>
          <w:sz w:val="22"/>
          <w:szCs w:val="22"/>
          <w:lang w:val="es-ES"/>
        </w:rPr>
        <w:t xml:space="preserve"> desea información sobre las </w:t>
      </w:r>
      <w:r w:rsidRPr="00F84D90">
        <w:rPr>
          <w:rFonts w:cstheme="minorHAnsi"/>
          <w:b/>
          <w:bCs/>
          <w:sz w:val="22"/>
          <w:szCs w:val="22"/>
          <w:lang w:val="es-ES"/>
        </w:rPr>
        <w:t>oportunidades de patrocinio</w:t>
      </w:r>
      <w:r w:rsidRPr="00F84D90">
        <w:rPr>
          <w:rFonts w:cstheme="minorHAnsi"/>
          <w:sz w:val="22"/>
          <w:szCs w:val="22"/>
          <w:lang w:val="es-ES"/>
        </w:rPr>
        <w:t xml:space="preserve"> del FNC-2026, puede comunicarse con </w:t>
      </w:r>
      <w:hyperlink r:id="rId18" w:history="1">
        <w:r w:rsidRPr="00F84D90">
          <w:rPr>
            <w:rStyle w:val="Hyperlink"/>
            <w:rFonts w:cstheme="minorHAnsi"/>
            <w:sz w:val="22"/>
            <w:szCs w:val="22"/>
            <w:lang w:val="es-ES"/>
          </w:rPr>
          <w:t>tsbevents@itu.int</w:t>
        </w:r>
      </w:hyperlink>
      <w:r w:rsidRPr="00F84D90">
        <w:rPr>
          <w:rFonts w:cstheme="minorHAnsi"/>
          <w:sz w:val="22"/>
          <w:szCs w:val="22"/>
          <w:lang w:val="es-ES"/>
        </w:rPr>
        <w:t xml:space="preserve">. El paquete de patrocinio puede descargarse en línea en la dirección </w:t>
      </w:r>
      <w:hyperlink r:id="rId19" w:history="1">
        <w:r w:rsidRPr="00F84D90">
          <w:rPr>
            <w:rStyle w:val="Hyperlink"/>
            <w:rFonts w:cstheme="minorHAnsi"/>
            <w:sz w:val="22"/>
            <w:szCs w:val="22"/>
            <w:lang w:val="es-ES"/>
          </w:rPr>
          <w:t>https://fnc.itu.int/engage/</w:t>
        </w:r>
      </w:hyperlink>
      <w:r w:rsidRPr="00F84D90">
        <w:rPr>
          <w:rFonts w:cstheme="minorHAnsi"/>
          <w:sz w:val="22"/>
          <w:szCs w:val="22"/>
          <w:lang w:val="es-ES"/>
        </w:rPr>
        <w:t xml:space="preserve">. </w:t>
      </w:r>
    </w:p>
    <w:p w14:paraId="1C08F945" w14:textId="1E9196A6" w:rsidR="007B6316" w:rsidRPr="00F84D90" w:rsidRDefault="007B6316" w:rsidP="00F84D90">
      <w:pPr>
        <w:rPr>
          <w:rFonts w:cstheme="minorHAnsi"/>
          <w:sz w:val="22"/>
          <w:szCs w:val="22"/>
        </w:rPr>
      </w:pPr>
      <w:r w:rsidRPr="00F84D90">
        <w:rPr>
          <w:rFonts w:cstheme="minorHAnsi"/>
          <w:sz w:val="22"/>
          <w:szCs w:val="22"/>
        </w:rPr>
        <w:t>Atentamente,</w:t>
      </w:r>
    </w:p>
    <w:p w14:paraId="475B6EFD" w14:textId="589266A3" w:rsidR="007B6316" w:rsidRPr="00F84D90" w:rsidRDefault="008A0517" w:rsidP="00F84D90">
      <w:pPr>
        <w:spacing w:before="720" w:after="240"/>
        <w:rPr>
          <w:rFonts w:cstheme="minorHAnsi"/>
          <w:sz w:val="22"/>
          <w:szCs w:val="22"/>
        </w:rPr>
      </w:pPr>
      <w:r>
        <w:rPr>
          <w:rFonts w:cstheme="minorHAnsi"/>
          <w:noProof/>
          <w:sz w:val="22"/>
          <w:szCs w:val="22"/>
          <w:lang w:val="es-ES"/>
        </w:rPr>
        <w:drawing>
          <wp:anchor distT="0" distB="0" distL="114300" distR="114300" simplePos="0" relativeHeight="251658240" behindDoc="1" locked="0" layoutInCell="1" allowOverlap="1" wp14:anchorId="0378567B" wp14:editId="776C856E">
            <wp:simplePos x="0" y="0"/>
            <wp:positionH relativeFrom="margin">
              <wp:align>left</wp:align>
            </wp:positionH>
            <wp:positionV relativeFrom="paragraph">
              <wp:posOffset>97790</wp:posOffset>
            </wp:positionV>
            <wp:extent cx="825542" cy="330217"/>
            <wp:effectExtent l="0" t="0" r="0" b="0"/>
            <wp:wrapNone/>
            <wp:docPr id="67512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28714" name="Picture 675128714"/>
                    <pic:cNvPicPr/>
                  </pic:nvPicPr>
                  <pic:blipFill>
                    <a:blip r:embed="rId20">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350B9" w:rsidRPr="00F84D90">
        <w:rPr>
          <w:rFonts w:cstheme="minorHAnsi"/>
          <w:sz w:val="22"/>
          <w:szCs w:val="22"/>
          <w:lang w:val="es-ES"/>
        </w:rPr>
        <w:t>Seizo Onoe</w:t>
      </w:r>
      <w:r w:rsidR="007B6316" w:rsidRPr="00F84D90">
        <w:rPr>
          <w:rFonts w:cstheme="minorHAnsi"/>
          <w:sz w:val="22"/>
          <w:szCs w:val="22"/>
        </w:rPr>
        <w:br/>
      </w:r>
      <w:proofErr w:type="gramStart"/>
      <w:r w:rsidR="007B6316" w:rsidRPr="00F84D90">
        <w:rPr>
          <w:rFonts w:cstheme="minorHAnsi"/>
          <w:sz w:val="22"/>
          <w:szCs w:val="22"/>
        </w:rPr>
        <w:t>Director</w:t>
      </w:r>
      <w:proofErr w:type="gramEnd"/>
      <w:r w:rsidR="007B6316" w:rsidRPr="00F84D90">
        <w:rPr>
          <w:rFonts w:cstheme="minorHAnsi"/>
          <w:sz w:val="22"/>
          <w:szCs w:val="22"/>
        </w:rPr>
        <w:t xml:space="preserve"> de la Oficina de </w:t>
      </w:r>
      <w:r w:rsidR="007B6316" w:rsidRPr="00F84D90">
        <w:rPr>
          <w:rFonts w:cstheme="minorHAnsi"/>
          <w:sz w:val="22"/>
          <w:szCs w:val="22"/>
        </w:rPr>
        <w:br/>
        <w:t>Normalización de las Telecomunicaciones</w:t>
      </w:r>
    </w:p>
    <w:p w14:paraId="3ADE8376" w14:textId="77777777" w:rsidR="0050642F" w:rsidRPr="00F84D90" w:rsidRDefault="0050642F" w:rsidP="0050642F">
      <w:pPr>
        <w:spacing w:before="480"/>
        <w:rPr>
          <w:rFonts w:cstheme="minorHAnsi"/>
          <w:sz w:val="22"/>
          <w:szCs w:val="22"/>
          <w:lang w:val="es-ES"/>
        </w:rPr>
      </w:pPr>
      <w:r w:rsidRPr="00F84D90">
        <w:rPr>
          <w:rFonts w:cstheme="minorHAnsi"/>
          <w:b/>
          <w:bCs/>
          <w:sz w:val="22"/>
          <w:szCs w:val="22"/>
          <w:lang w:val="es-ES"/>
        </w:rPr>
        <w:t>Anexo:</w:t>
      </w:r>
      <w:r w:rsidRPr="00F84D90">
        <w:rPr>
          <w:rFonts w:cstheme="minorHAnsi"/>
          <w:sz w:val="22"/>
          <w:szCs w:val="22"/>
          <w:lang w:val="es-ES"/>
        </w:rPr>
        <w:tab/>
        <w:t xml:space="preserve">1 </w:t>
      </w:r>
    </w:p>
    <w:p w14:paraId="05662315" w14:textId="77777777" w:rsidR="0050642F" w:rsidRDefault="0050642F" w:rsidP="0050642F">
      <w:pPr>
        <w:tabs>
          <w:tab w:val="clear" w:pos="794"/>
          <w:tab w:val="clear" w:pos="1191"/>
          <w:tab w:val="clear" w:pos="1588"/>
          <w:tab w:val="clear" w:pos="1985"/>
        </w:tabs>
        <w:overflowPunct/>
        <w:autoSpaceDE/>
        <w:autoSpaceDN/>
        <w:adjustRightInd/>
        <w:spacing w:before="0"/>
        <w:textAlignment w:val="auto"/>
        <w:rPr>
          <w:sz w:val="22"/>
          <w:szCs w:val="22"/>
          <w:lang w:val="es-ES"/>
        </w:rPr>
      </w:pPr>
      <w:r>
        <w:rPr>
          <w:sz w:val="22"/>
          <w:szCs w:val="22"/>
          <w:lang w:val="es-ES"/>
        </w:rPr>
        <w:br w:type="page"/>
      </w:r>
    </w:p>
    <w:p w14:paraId="4EE86607" w14:textId="77777777" w:rsidR="0050642F" w:rsidRPr="00F94782" w:rsidRDefault="0050642F" w:rsidP="00F94782">
      <w:pPr>
        <w:pStyle w:val="AnnexTitle"/>
        <w:rPr>
          <w:sz w:val="28"/>
          <w:szCs w:val="22"/>
          <w:lang w:val="fr-FR"/>
        </w:rPr>
      </w:pPr>
      <w:r w:rsidRPr="00F94782">
        <w:rPr>
          <w:sz w:val="28"/>
          <w:szCs w:val="22"/>
          <w:lang w:val="fr-FR"/>
        </w:rPr>
        <w:lastRenderedPageBreak/>
        <w:t>El FNC en la Cumbre Mundial AI for Good 2026</w:t>
      </w:r>
      <w:r w:rsidRPr="00F94782">
        <w:rPr>
          <w:sz w:val="28"/>
          <w:szCs w:val="22"/>
          <w:lang w:val="fr-FR"/>
        </w:rPr>
        <w:br/>
        <w:t>Presencial, 8-9 de julio de 2026</w:t>
      </w:r>
      <w:bookmarkStart w:id="5" w:name="_Hlk152348107"/>
      <w:bookmarkEnd w:id="5"/>
    </w:p>
    <w:p w14:paraId="449EEC71" w14:textId="77777777" w:rsidR="0050642F" w:rsidRPr="006F06CD" w:rsidRDefault="0050642F" w:rsidP="0050642F">
      <w:pPr>
        <w:tabs>
          <w:tab w:val="clear" w:pos="794"/>
          <w:tab w:val="clear" w:pos="1191"/>
          <w:tab w:val="clear" w:pos="1588"/>
          <w:tab w:val="clear" w:pos="1985"/>
        </w:tabs>
        <w:overflowPunct/>
        <w:autoSpaceDE/>
        <w:autoSpaceDN/>
        <w:adjustRightInd/>
        <w:spacing w:before="0" w:after="160" w:line="259" w:lineRule="auto"/>
        <w:textAlignment w:val="auto"/>
        <w:rPr>
          <w:rFonts w:eastAsiaTheme="minorEastAsia" w:cstheme="minorBidi"/>
          <w:sz w:val="22"/>
          <w:szCs w:val="22"/>
          <w:lang w:val="es-ES" w:eastAsia="zh-CN"/>
        </w:rPr>
      </w:pPr>
    </w:p>
    <w:tbl>
      <w:tblPr>
        <w:tblStyle w:val="TableGrid"/>
        <w:tblW w:w="8931"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8931"/>
      </w:tblGrid>
      <w:tr w:rsidR="0050642F" w:rsidRPr="0050642F" w14:paraId="2704EF69" w14:textId="77777777" w:rsidTr="00AE7947">
        <w:trPr>
          <w:cantSplit/>
          <w:trHeight w:val="629"/>
          <w:jc w:val="center"/>
        </w:trPr>
        <w:tc>
          <w:tcPr>
            <w:tcW w:w="8931" w:type="dxa"/>
          </w:tcPr>
          <w:p w14:paraId="6C548D8E" w14:textId="77777777" w:rsidR="00F94782" w:rsidRDefault="0050642F" w:rsidP="00AE7947">
            <w:pPr>
              <w:tabs>
                <w:tab w:val="clear" w:pos="794"/>
                <w:tab w:val="clear" w:pos="1191"/>
                <w:tab w:val="clear" w:pos="1588"/>
                <w:tab w:val="clear" w:pos="1985"/>
              </w:tabs>
              <w:overflowPunct/>
              <w:autoSpaceDE/>
              <w:autoSpaceDN/>
              <w:adjustRightInd/>
              <w:spacing w:before="0"/>
              <w:textAlignment w:val="auto"/>
              <w:rPr>
                <w:color w:val="000000"/>
                <w:szCs w:val="24"/>
                <w:lang w:val="es-ES"/>
              </w:rPr>
            </w:pPr>
            <w:bookmarkStart w:id="6" w:name="_Hlk153446010"/>
            <w:r w:rsidRPr="0050642F">
              <w:rPr>
                <w:b/>
                <w:bCs/>
                <w:color w:val="000000"/>
                <w:szCs w:val="24"/>
                <w:lang w:val="es-ES"/>
              </w:rPr>
              <w:t xml:space="preserve">Simposio sobre el Automóvil Conectado del Futuro (FNC) en </w:t>
            </w:r>
            <w:r w:rsidRPr="00541A42">
              <w:rPr>
                <w:b/>
                <w:bCs/>
                <w:i/>
                <w:iCs/>
                <w:color w:val="000000"/>
                <w:szCs w:val="24"/>
                <w:lang w:val="es-ES"/>
              </w:rPr>
              <w:t>AI for Good</w:t>
            </w:r>
            <w:r w:rsidRPr="00541A42">
              <w:rPr>
                <w:i/>
                <w:iCs/>
                <w:color w:val="000000"/>
                <w:szCs w:val="24"/>
                <w:lang w:val="es-ES"/>
              </w:rPr>
              <w:t xml:space="preserve"> </w:t>
            </w:r>
          </w:p>
          <w:p w14:paraId="1FE172FC" w14:textId="16F912D7" w:rsidR="0050642F" w:rsidRPr="0050642F" w:rsidRDefault="0050642F" w:rsidP="00F94782">
            <w:pPr>
              <w:tabs>
                <w:tab w:val="clear" w:pos="794"/>
                <w:tab w:val="clear" w:pos="1191"/>
                <w:tab w:val="clear" w:pos="1588"/>
                <w:tab w:val="clear" w:pos="1985"/>
              </w:tabs>
              <w:overflowPunct/>
              <w:autoSpaceDE/>
              <w:autoSpaceDN/>
              <w:adjustRightInd/>
              <w:textAlignment w:val="auto"/>
              <w:rPr>
                <w:color w:val="000000"/>
                <w:szCs w:val="24"/>
                <w:lang w:val="es-ES"/>
              </w:rPr>
            </w:pPr>
            <w:r w:rsidRPr="0050642F">
              <w:rPr>
                <w:color w:val="000000"/>
                <w:szCs w:val="24"/>
                <w:lang w:val="es-ES"/>
              </w:rPr>
              <w:t xml:space="preserve">El FNC reúne a los sectores de las telecomunicaciones y la automoción a nivel internacional para analizar los avances en conectividad, movilidad automatizada e inteligencia artificial aplicada al transporte, compartiendo perspectivas sobre las implicaciones tecnológicas, comerciales y normativas en el marco de la UIT y la CEPE. Le invitamos a participar en el Simposio del Automóvil Conectado del futuro (FNC), donde los mundos de la automoción y las telecomunicaciones convergen para debatir marcos tecnológicos y de políticas públicas orientados a una movilidad más segura e inteligente. Organizado por </w:t>
            </w:r>
            <w:r w:rsidRPr="00F94782">
              <w:rPr>
                <w:i/>
                <w:iCs/>
                <w:color w:val="000000"/>
                <w:szCs w:val="24"/>
                <w:lang w:val="es-ES"/>
              </w:rPr>
              <w:t>AI for Good</w:t>
            </w:r>
            <w:r w:rsidRPr="0050642F">
              <w:rPr>
                <w:color w:val="000000"/>
                <w:szCs w:val="24"/>
                <w:lang w:val="es-ES"/>
              </w:rPr>
              <w:t>, el Simposio examina el potencial transformador de la inteligencia artificial en los sectores de la automoción y la movilidad, y analiza cómo la IA está revolucionando el transporte, así como las tecnologías de vanguardia que impulsan estos avances.</w:t>
            </w:r>
          </w:p>
        </w:tc>
      </w:tr>
      <w:tr w:rsidR="0050642F" w:rsidRPr="0050642F" w14:paraId="4B4F097A" w14:textId="77777777" w:rsidTr="0039249B">
        <w:trPr>
          <w:cantSplit/>
          <w:trHeight w:val="3164"/>
          <w:jc w:val="center"/>
        </w:trPr>
        <w:tc>
          <w:tcPr>
            <w:tcW w:w="8931" w:type="dxa"/>
          </w:tcPr>
          <w:p w14:paraId="03615C06" w14:textId="77777777" w:rsidR="0050642F" w:rsidRPr="00F94782" w:rsidRDefault="0050642F" w:rsidP="00F94782">
            <w:pPr>
              <w:tabs>
                <w:tab w:val="left" w:pos="720"/>
              </w:tabs>
              <w:overflowPunct/>
              <w:autoSpaceDE/>
              <w:adjustRightInd/>
              <w:spacing w:after="120"/>
              <w:rPr>
                <w:b/>
                <w:i/>
                <w:szCs w:val="24"/>
                <w:lang w:val="fr-FR" w:eastAsia="zh-CN"/>
              </w:rPr>
            </w:pPr>
            <w:r w:rsidRPr="00F94782">
              <w:rPr>
                <w:b/>
                <w:i/>
                <w:szCs w:val="24"/>
                <w:lang w:val="fr-FR" w:eastAsia="zh-CN"/>
              </w:rPr>
              <w:t>Miércoles, 8 de julio de 2026 (por la tarde)</w:t>
            </w:r>
          </w:p>
          <w:p w14:paraId="49141398" w14:textId="77777777" w:rsidR="0050642F" w:rsidRPr="0050642F" w:rsidRDefault="0050642F" w:rsidP="00AE7947">
            <w:pPr>
              <w:tabs>
                <w:tab w:val="clear" w:pos="794"/>
                <w:tab w:val="clear" w:pos="1191"/>
                <w:tab w:val="clear" w:pos="1588"/>
                <w:tab w:val="clear" w:pos="1985"/>
              </w:tabs>
              <w:overflowPunct/>
              <w:autoSpaceDE/>
              <w:autoSpaceDN/>
              <w:adjustRightInd/>
              <w:spacing w:before="0"/>
              <w:textAlignment w:val="auto"/>
              <w:rPr>
                <w:rFonts w:cstheme="minorHAnsi"/>
                <w:b/>
                <w:bCs/>
                <w:color w:val="000000"/>
                <w:szCs w:val="24"/>
                <w:shd w:val="clear" w:color="auto" w:fill="FFFFFF"/>
                <w:lang w:val="es-ES"/>
              </w:rPr>
            </w:pPr>
            <w:r w:rsidRPr="0050642F">
              <w:rPr>
                <w:b/>
                <w:bCs/>
                <w:color w:val="000000"/>
                <w:szCs w:val="24"/>
                <w:lang w:val="es-ES"/>
              </w:rPr>
              <w:t>APERTURA</w:t>
            </w:r>
          </w:p>
          <w:p w14:paraId="224077A7" w14:textId="77777777" w:rsidR="0050642F" w:rsidRPr="0050642F" w:rsidRDefault="0050642F" w:rsidP="00F94782">
            <w:pPr>
              <w:tabs>
                <w:tab w:val="clear" w:pos="794"/>
                <w:tab w:val="clear" w:pos="1191"/>
                <w:tab w:val="clear" w:pos="1588"/>
                <w:tab w:val="clear" w:pos="1985"/>
              </w:tabs>
              <w:overflowPunct/>
              <w:autoSpaceDE/>
              <w:autoSpaceDN/>
              <w:adjustRightInd/>
              <w:spacing w:before="0" w:after="120"/>
              <w:textAlignment w:val="auto"/>
              <w:rPr>
                <w:rFonts w:cstheme="minorHAnsi"/>
                <w:color w:val="000000"/>
                <w:szCs w:val="24"/>
                <w:shd w:val="clear" w:color="auto" w:fill="FFFFFF"/>
                <w:lang w:val="es-ES"/>
              </w:rPr>
            </w:pPr>
            <w:r w:rsidRPr="0050642F">
              <w:rPr>
                <w:color w:val="000000"/>
                <w:szCs w:val="24"/>
                <w:lang w:val="es-ES"/>
              </w:rPr>
              <w:t>Discursos de alto nivel de la ceremonia de apertura de la UIT y la CEPE (En el escenario principal de AI4Good).</w:t>
            </w:r>
          </w:p>
          <w:p w14:paraId="1E3AF572" w14:textId="77777777" w:rsidR="0050642F" w:rsidRPr="0050642F" w:rsidRDefault="0050642F" w:rsidP="00AE7947">
            <w:pPr>
              <w:tabs>
                <w:tab w:val="clear" w:pos="794"/>
                <w:tab w:val="clear" w:pos="1191"/>
                <w:tab w:val="clear" w:pos="1588"/>
                <w:tab w:val="clear" w:pos="1985"/>
              </w:tabs>
              <w:overflowPunct/>
              <w:autoSpaceDE/>
              <w:autoSpaceDN/>
              <w:adjustRightInd/>
              <w:spacing w:before="0" w:after="160"/>
              <w:textAlignment w:val="auto"/>
              <w:rPr>
                <w:rFonts w:cstheme="minorHAnsi"/>
                <w:b/>
                <w:bCs/>
                <w:color w:val="000000"/>
                <w:szCs w:val="24"/>
                <w:shd w:val="clear" w:color="auto" w:fill="FFFFFF"/>
              </w:rPr>
            </w:pPr>
            <w:r w:rsidRPr="0050642F">
              <w:rPr>
                <w:b/>
                <w:bCs/>
                <w:color w:val="000000"/>
                <w:szCs w:val="24"/>
                <w:lang w:val="es-ES"/>
              </w:rPr>
              <w:t>Dignatarios</w:t>
            </w:r>
          </w:p>
          <w:p w14:paraId="56E6DD98" w14:textId="1407527C" w:rsidR="0050642F" w:rsidRPr="0050642F" w:rsidRDefault="00F94782" w:rsidP="00F94782">
            <w:pPr>
              <w:pStyle w:val="enumlev1"/>
              <w:tabs>
                <w:tab w:val="clear" w:pos="794"/>
                <w:tab w:val="left" w:pos="812"/>
              </w:tabs>
              <w:rPr>
                <w:rFonts w:cstheme="minorHAnsi"/>
                <w:shd w:val="clear" w:color="auto" w:fill="FFFFFF"/>
                <w:lang w:val="es-ES"/>
              </w:rPr>
            </w:pPr>
            <w:r w:rsidRPr="00F94782">
              <w:rPr>
                <w:lang w:val="es-ES"/>
              </w:rPr>
              <w:t>–</w:t>
            </w:r>
            <w:r>
              <w:rPr>
                <w:lang w:val="es-ES"/>
              </w:rPr>
              <w:tab/>
            </w:r>
            <w:r w:rsidR="0050642F" w:rsidRPr="0050642F">
              <w:rPr>
                <w:lang w:val="es-ES"/>
              </w:rPr>
              <w:t>Sra.</w:t>
            </w:r>
            <w:r>
              <w:rPr>
                <w:lang w:val="es-ES"/>
              </w:rPr>
              <w:t> </w:t>
            </w:r>
            <w:r w:rsidR="0050642F" w:rsidRPr="0050642F">
              <w:rPr>
                <w:lang w:val="es-ES"/>
              </w:rPr>
              <w:t>Doreen Bogdan-Martin (</w:t>
            </w:r>
            <w:proofErr w:type="gramStart"/>
            <w:r w:rsidR="0050642F" w:rsidRPr="0050642F">
              <w:rPr>
                <w:lang w:val="es-ES"/>
              </w:rPr>
              <w:t>Secretaria General</w:t>
            </w:r>
            <w:proofErr w:type="gramEnd"/>
            <w:r w:rsidR="0050642F" w:rsidRPr="0050642F">
              <w:rPr>
                <w:lang w:val="es-ES"/>
              </w:rPr>
              <w:t xml:space="preserve"> de la UIT)</w:t>
            </w:r>
          </w:p>
          <w:p w14:paraId="71CFFF7C" w14:textId="5749EE63" w:rsidR="0050642F" w:rsidRPr="0050642F" w:rsidRDefault="00F94782" w:rsidP="00F94782">
            <w:pPr>
              <w:pStyle w:val="enumlev1"/>
              <w:rPr>
                <w:rFonts w:cstheme="minorHAnsi"/>
                <w:color w:val="000000"/>
                <w:szCs w:val="24"/>
                <w:shd w:val="clear" w:color="auto" w:fill="FFFFFF"/>
                <w:lang w:val="es-ES"/>
              </w:rPr>
            </w:pPr>
            <w:r w:rsidRPr="00F94782">
              <w:rPr>
                <w:lang w:val="es-ES"/>
              </w:rPr>
              <w:t>–</w:t>
            </w:r>
            <w:r>
              <w:rPr>
                <w:lang w:val="es-ES"/>
              </w:rPr>
              <w:tab/>
            </w:r>
            <w:r w:rsidR="0050642F" w:rsidRPr="0050642F">
              <w:rPr>
                <w:color w:val="000000"/>
                <w:szCs w:val="24"/>
                <w:lang w:val="es-ES"/>
              </w:rPr>
              <w:t>Sra.</w:t>
            </w:r>
            <w:r>
              <w:rPr>
                <w:color w:val="000000"/>
                <w:szCs w:val="24"/>
                <w:lang w:val="es-ES"/>
              </w:rPr>
              <w:t> </w:t>
            </w:r>
            <w:r w:rsidR="0050642F" w:rsidRPr="0050642F">
              <w:rPr>
                <w:color w:val="000000"/>
                <w:szCs w:val="24"/>
                <w:lang w:val="es-ES"/>
              </w:rPr>
              <w:t>Tatiana Molcean (</w:t>
            </w:r>
            <w:proofErr w:type="gramStart"/>
            <w:r w:rsidR="0050642F" w:rsidRPr="0050642F">
              <w:rPr>
                <w:color w:val="000000"/>
                <w:szCs w:val="24"/>
                <w:lang w:val="es-ES"/>
              </w:rPr>
              <w:t>Secretaria Ejecutiva</w:t>
            </w:r>
            <w:proofErr w:type="gramEnd"/>
            <w:r w:rsidR="0050642F" w:rsidRPr="0050642F">
              <w:rPr>
                <w:color w:val="000000"/>
                <w:szCs w:val="24"/>
                <w:lang w:val="es-ES"/>
              </w:rPr>
              <w:t xml:space="preserve"> de la CEPE)</w:t>
            </w:r>
          </w:p>
          <w:p w14:paraId="4BB71FE2" w14:textId="1A093FD3" w:rsidR="0050642F" w:rsidRPr="0039249B" w:rsidRDefault="00F94782" w:rsidP="0039249B">
            <w:pPr>
              <w:pStyle w:val="enumlev1"/>
              <w:rPr>
                <w:rFonts w:cstheme="minorHAnsi"/>
                <w:color w:val="000000"/>
                <w:szCs w:val="24"/>
                <w:shd w:val="clear" w:color="auto" w:fill="FFFFFF"/>
                <w:lang w:val="es-ES"/>
              </w:rPr>
            </w:pPr>
            <w:r w:rsidRPr="00F94782">
              <w:rPr>
                <w:lang w:val="es-ES"/>
              </w:rPr>
              <w:t>–</w:t>
            </w:r>
            <w:r>
              <w:rPr>
                <w:lang w:val="es-ES"/>
              </w:rPr>
              <w:tab/>
            </w:r>
            <w:r w:rsidR="0050642F" w:rsidRPr="0050642F">
              <w:rPr>
                <w:color w:val="000000"/>
                <w:szCs w:val="24"/>
                <w:lang w:val="es-ES"/>
              </w:rPr>
              <w:t>Jean Todt</w:t>
            </w:r>
            <w:r>
              <w:rPr>
                <w:color w:val="000000"/>
                <w:szCs w:val="24"/>
                <w:lang w:val="es-ES"/>
              </w:rPr>
              <w:t> </w:t>
            </w:r>
            <w:r w:rsidR="0050642F" w:rsidRPr="0050642F">
              <w:rPr>
                <w:color w:val="000000"/>
                <w:szCs w:val="24"/>
                <w:lang w:val="es-ES"/>
              </w:rPr>
              <w:t>(Enviado Especial de las Naciones Unidas para la Seguridad Vial)</w:t>
            </w:r>
          </w:p>
        </w:tc>
      </w:tr>
      <w:tr w:rsidR="0050642F" w:rsidRPr="0050642F" w14:paraId="57495A09" w14:textId="77777777" w:rsidTr="00AE7947">
        <w:trPr>
          <w:cantSplit/>
          <w:trHeight w:val="629"/>
          <w:jc w:val="center"/>
        </w:trPr>
        <w:tc>
          <w:tcPr>
            <w:tcW w:w="8931" w:type="dxa"/>
          </w:tcPr>
          <w:p w14:paraId="322B6822" w14:textId="77777777" w:rsidR="0050642F" w:rsidRPr="00F94782" w:rsidRDefault="0050642F" w:rsidP="00F94782">
            <w:pPr>
              <w:tabs>
                <w:tab w:val="left" w:pos="720"/>
              </w:tabs>
              <w:overflowPunct/>
              <w:autoSpaceDE/>
              <w:adjustRightInd/>
              <w:spacing w:after="120"/>
              <w:rPr>
                <w:b/>
                <w:i/>
                <w:szCs w:val="24"/>
                <w:lang w:val="fr-FR" w:eastAsia="zh-CN"/>
              </w:rPr>
            </w:pPr>
            <w:r w:rsidRPr="00F94782">
              <w:rPr>
                <w:b/>
                <w:i/>
                <w:szCs w:val="24"/>
                <w:lang w:val="fr-FR" w:eastAsia="zh-CN"/>
              </w:rPr>
              <w:t>Jueves 9 de julio de 2026 (09.00-10.30 horas (CET))</w:t>
            </w:r>
          </w:p>
          <w:p w14:paraId="4646BFE3" w14:textId="77777777" w:rsidR="0050642F" w:rsidRPr="0050642F" w:rsidRDefault="0050642F" w:rsidP="00AE7947">
            <w:pPr>
              <w:tabs>
                <w:tab w:val="clear" w:pos="794"/>
                <w:tab w:val="clear" w:pos="1191"/>
                <w:tab w:val="clear" w:pos="1588"/>
                <w:tab w:val="clear" w:pos="1985"/>
              </w:tabs>
              <w:overflowPunct/>
              <w:autoSpaceDE/>
              <w:autoSpaceDN/>
              <w:adjustRightInd/>
              <w:spacing w:before="0" w:after="160"/>
              <w:textAlignment w:val="auto"/>
              <w:rPr>
                <w:rFonts w:cstheme="minorHAnsi"/>
                <w:b/>
                <w:bCs/>
                <w:szCs w:val="24"/>
                <w:shd w:val="clear" w:color="auto" w:fill="FFFFFF"/>
                <w:lang w:val="es-ES"/>
              </w:rPr>
            </w:pPr>
            <w:r w:rsidRPr="0050642F">
              <w:rPr>
                <w:b/>
                <w:bCs/>
                <w:color w:val="000000"/>
                <w:szCs w:val="24"/>
                <w:lang w:val="es-ES"/>
              </w:rPr>
              <w:t>SESIÓN 1: MARCO NORMATIVO PARA LA CONDUCCIÓN AUTÓNOMA</w:t>
            </w:r>
          </w:p>
          <w:p w14:paraId="233C31A5" w14:textId="25A70DA2" w:rsidR="0039249B" w:rsidRPr="0039249B" w:rsidRDefault="0050642F" w:rsidP="00AE7947">
            <w:pPr>
              <w:tabs>
                <w:tab w:val="clear" w:pos="794"/>
                <w:tab w:val="clear" w:pos="1191"/>
                <w:tab w:val="clear" w:pos="1588"/>
                <w:tab w:val="clear" w:pos="1985"/>
              </w:tabs>
              <w:overflowPunct/>
              <w:autoSpaceDE/>
              <w:autoSpaceDN/>
              <w:adjustRightInd/>
              <w:spacing w:before="0"/>
              <w:contextualSpacing/>
              <w:textAlignment w:val="auto"/>
              <w:rPr>
                <w:color w:val="000000"/>
                <w:szCs w:val="24"/>
                <w:lang w:val="es-ES"/>
              </w:rPr>
            </w:pPr>
            <w:r w:rsidRPr="0050642F">
              <w:rPr>
                <w:b/>
                <w:bCs/>
                <w:color w:val="000000"/>
                <w:szCs w:val="24"/>
                <w:lang w:val="es-ES"/>
              </w:rPr>
              <w:t>OBJETIVOS</w:t>
            </w:r>
            <w:r w:rsidRPr="0050642F">
              <w:rPr>
                <w:color w:val="000000"/>
                <w:szCs w:val="24"/>
                <w:lang w:val="es-ES"/>
              </w:rPr>
              <w:t>: Manténgase a la vanguardia en seguridad automotriz en el Simposio sobre el Automóvil Conectado del Futuro. La Sesión 1 explorará los últimos desarrollos reglamentarios de la CEPE en automatización y seguridad en el GT.29/GRVA y la comunidad reguladora automotriz en general. Los aspectos más destacados incluirán la reglamentación recientemente adoptada sobre la conducción automatizada. Únase a líderes de la industria, responsables políticos y expertos técnicos mientras discuten cómo estas regulaciones dan forma a vehículos más seguros, inteligentes y receptivos para el futuro de la movilidad.</w:t>
            </w:r>
          </w:p>
        </w:tc>
      </w:tr>
      <w:tr w:rsidR="0050642F" w:rsidRPr="0050642F" w14:paraId="635BF7BE" w14:textId="77777777" w:rsidTr="00AE7947">
        <w:trPr>
          <w:cantSplit/>
          <w:trHeight w:val="350"/>
          <w:jc w:val="center"/>
        </w:trPr>
        <w:tc>
          <w:tcPr>
            <w:tcW w:w="8931" w:type="dxa"/>
          </w:tcPr>
          <w:p w14:paraId="340FF5F8" w14:textId="4BAE007D" w:rsidR="0039249B" w:rsidRPr="0039249B" w:rsidRDefault="0050642F" w:rsidP="00F94782">
            <w:pPr>
              <w:tabs>
                <w:tab w:val="left" w:pos="720"/>
              </w:tabs>
              <w:overflowPunct/>
              <w:autoSpaceDE/>
              <w:adjustRightInd/>
              <w:spacing w:after="120"/>
              <w:rPr>
                <w:b/>
                <w:i/>
                <w:szCs w:val="24"/>
                <w:lang w:val="fr-FR" w:eastAsia="zh-CN"/>
              </w:rPr>
            </w:pPr>
            <w:r w:rsidRPr="00F94782">
              <w:rPr>
                <w:b/>
                <w:i/>
                <w:szCs w:val="24"/>
                <w:lang w:val="fr-FR" w:eastAsia="zh-CN"/>
              </w:rPr>
              <w:t>Descanso (10.30-10.45 horas)</w:t>
            </w:r>
          </w:p>
        </w:tc>
      </w:tr>
      <w:tr w:rsidR="0050642F" w:rsidRPr="0050642F" w14:paraId="333C6DE0" w14:textId="77777777" w:rsidTr="00AE7947">
        <w:trPr>
          <w:cantSplit/>
          <w:trHeight w:val="386"/>
          <w:jc w:val="center"/>
        </w:trPr>
        <w:tc>
          <w:tcPr>
            <w:tcW w:w="8931" w:type="dxa"/>
          </w:tcPr>
          <w:p w14:paraId="5A3C2D42" w14:textId="77777777" w:rsidR="0050642F" w:rsidRPr="00541A42" w:rsidRDefault="0050642F" w:rsidP="00F94782">
            <w:pPr>
              <w:tabs>
                <w:tab w:val="left" w:pos="720"/>
              </w:tabs>
              <w:overflowPunct/>
              <w:autoSpaceDE/>
              <w:adjustRightInd/>
              <w:spacing w:after="120"/>
              <w:rPr>
                <w:b/>
                <w:i/>
                <w:szCs w:val="24"/>
                <w:lang w:val="fr-FR" w:eastAsia="zh-CN"/>
              </w:rPr>
            </w:pPr>
            <w:r w:rsidRPr="00F94782">
              <w:rPr>
                <w:b/>
                <w:i/>
                <w:szCs w:val="24"/>
                <w:lang w:val="fr-FR" w:eastAsia="zh-CN"/>
              </w:rPr>
              <w:lastRenderedPageBreak/>
              <w:t>Jueves 9 de julio de 2026 (10.45-12.15 horas (CET))</w:t>
            </w:r>
          </w:p>
          <w:p w14:paraId="51A112C5" w14:textId="77777777" w:rsidR="0050642F" w:rsidRPr="0050642F" w:rsidRDefault="0050642F" w:rsidP="00AE7947">
            <w:pPr>
              <w:tabs>
                <w:tab w:val="clear" w:pos="794"/>
                <w:tab w:val="clear" w:pos="1191"/>
                <w:tab w:val="clear" w:pos="1588"/>
                <w:tab w:val="clear" w:pos="1985"/>
              </w:tabs>
              <w:overflowPunct/>
              <w:autoSpaceDE/>
              <w:autoSpaceDN/>
              <w:adjustRightInd/>
              <w:spacing w:after="160"/>
              <w:textAlignment w:val="auto"/>
              <w:rPr>
                <w:rFonts w:cstheme="minorHAnsi"/>
                <w:b/>
                <w:bCs/>
                <w:color w:val="000000"/>
                <w:szCs w:val="24"/>
                <w:shd w:val="clear" w:color="auto" w:fill="FFFFFF"/>
                <w:lang w:val="es-ES"/>
              </w:rPr>
            </w:pPr>
            <w:r w:rsidRPr="0050642F">
              <w:rPr>
                <w:b/>
                <w:bCs/>
                <w:color w:val="000000"/>
                <w:szCs w:val="24"/>
                <w:lang w:val="es-ES"/>
              </w:rPr>
              <w:t>SESIÓN 2: EL AUGE DE LA INFRAESTRUCTURA DE DATOS DE IA PARA AUTOMÓVILES</w:t>
            </w:r>
          </w:p>
          <w:p w14:paraId="2B59E895" w14:textId="795322F8" w:rsidR="0039249B" w:rsidRPr="0039249B" w:rsidRDefault="0050642F" w:rsidP="00AE7947">
            <w:pPr>
              <w:tabs>
                <w:tab w:val="clear" w:pos="794"/>
                <w:tab w:val="clear" w:pos="1191"/>
                <w:tab w:val="clear" w:pos="1588"/>
                <w:tab w:val="clear" w:pos="1985"/>
              </w:tabs>
              <w:overflowPunct/>
              <w:autoSpaceDE/>
              <w:autoSpaceDN/>
              <w:adjustRightInd/>
              <w:spacing w:before="0"/>
              <w:contextualSpacing/>
              <w:textAlignment w:val="auto"/>
              <w:rPr>
                <w:color w:val="000000"/>
                <w:szCs w:val="24"/>
                <w:lang w:val="es-ES"/>
              </w:rPr>
            </w:pPr>
            <w:r w:rsidRPr="0050642F">
              <w:rPr>
                <w:b/>
                <w:bCs/>
                <w:color w:val="000000"/>
                <w:szCs w:val="24"/>
                <w:lang w:val="es-ES"/>
              </w:rPr>
              <w:t>OBJETIVOS</w:t>
            </w:r>
            <w:r w:rsidRPr="0050642F">
              <w:rPr>
                <w:color w:val="000000"/>
                <w:szCs w:val="24"/>
                <w:lang w:val="es-ES"/>
              </w:rPr>
              <w:t>: Los vehículos se definen cada vez más por la conectividad y los datos. Estos dos elementos van de la mano. Es la conectividad la que permite recopilar y compartir datos. Son los datos, procesados e interpretados, los que definen cada vez más la experiencia de conducción. El proceso de recopilación e interpretación de los datos de conducción está redefiniendo la relación entre el conductor y el automóvil, así como entre los reguladores y los fabricantes. Esta sesión se centrará en cómo la conectividad y los datos están contribuyendo a la conducción automatizada y a una revolución del transporte.</w:t>
            </w:r>
          </w:p>
        </w:tc>
      </w:tr>
      <w:tr w:rsidR="0050642F" w:rsidRPr="0050642F" w14:paraId="774C8A50" w14:textId="77777777" w:rsidTr="00AE7947">
        <w:trPr>
          <w:cantSplit/>
          <w:trHeight w:val="386"/>
          <w:jc w:val="center"/>
        </w:trPr>
        <w:tc>
          <w:tcPr>
            <w:tcW w:w="8931" w:type="dxa"/>
          </w:tcPr>
          <w:p w14:paraId="30500ABC" w14:textId="6F72C7B6" w:rsidR="0050642F" w:rsidRPr="00541A42" w:rsidRDefault="0050642F" w:rsidP="00F94782">
            <w:pPr>
              <w:tabs>
                <w:tab w:val="left" w:pos="720"/>
              </w:tabs>
              <w:overflowPunct/>
              <w:autoSpaceDE/>
              <w:adjustRightInd/>
              <w:spacing w:after="120"/>
              <w:rPr>
                <w:b/>
                <w:i/>
                <w:szCs w:val="24"/>
                <w:lang w:val="fr-FR" w:eastAsia="zh-CN"/>
              </w:rPr>
            </w:pPr>
            <w:r w:rsidRPr="00F94782">
              <w:rPr>
                <w:b/>
                <w:i/>
                <w:szCs w:val="24"/>
                <w:lang w:val="fr-FR" w:eastAsia="zh-CN"/>
              </w:rPr>
              <w:t xml:space="preserve">Jueves 9 de julio de 2026 (14.00-15.30 horas </w:t>
            </w:r>
            <w:r w:rsidR="00541A42" w:rsidRPr="00541A42">
              <w:rPr>
                <w:b/>
                <w:i/>
                <w:szCs w:val="24"/>
                <w:lang w:val="fr-FR" w:eastAsia="zh-CN"/>
              </w:rPr>
              <w:t>(CET))</w:t>
            </w:r>
          </w:p>
          <w:p w14:paraId="09B89868" w14:textId="77777777" w:rsidR="0050642F" w:rsidRPr="0050642F" w:rsidRDefault="0050642F" w:rsidP="00AE7947">
            <w:pPr>
              <w:tabs>
                <w:tab w:val="clear" w:pos="794"/>
                <w:tab w:val="clear" w:pos="1191"/>
                <w:tab w:val="clear" w:pos="1588"/>
                <w:tab w:val="clear" w:pos="1985"/>
              </w:tabs>
              <w:overflowPunct/>
              <w:autoSpaceDE/>
              <w:autoSpaceDN/>
              <w:adjustRightInd/>
              <w:spacing w:before="0" w:after="160"/>
              <w:textAlignment w:val="auto"/>
              <w:rPr>
                <w:rFonts w:cstheme="minorHAnsi"/>
                <w:b/>
                <w:bCs/>
                <w:szCs w:val="24"/>
                <w:shd w:val="clear" w:color="auto" w:fill="FFFFFF"/>
                <w:lang w:val="es-ES"/>
              </w:rPr>
            </w:pPr>
            <w:r w:rsidRPr="0050642F">
              <w:rPr>
                <w:b/>
                <w:bCs/>
                <w:color w:val="000000"/>
                <w:szCs w:val="24"/>
                <w:lang w:val="es-ES"/>
              </w:rPr>
              <w:t>SESIÓN 3: VALIDACIÓN DE SISTEMAS DE CONDUCCIÓN AUTOMATIZADA</w:t>
            </w:r>
          </w:p>
          <w:p w14:paraId="09BB738C" w14:textId="368B05F6" w:rsidR="0039249B" w:rsidRPr="0039249B" w:rsidRDefault="0050642F" w:rsidP="00AE7947">
            <w:pPr>
              <w:tabs>
                <w:tab w:val="clear" w:pos="794"/>
                <w:tab w:val="clear" w:pos="1191"/>
                <w:tab w:val="clear" w:pos="1588"/>
                <w:tab w:val="clear" w:pos="1985"/>
              </w:tabs>
              <w:overflowPunct/>
              <w:autoSpaceDE/>
              <w:autoSpaceDN/>
              <w:adjustRightInd/>
              <w:spacing w:before="0"/>
              <w:contextualSpacing/>
              <w:textAlignment w:val="auto"/>
              <w:rPr>
                <w:color w:val="000000"/>
                <w:szCs w:val="24"/>
                <w:lang w:val="es-ES"/>
              </w:rPr>
            </w:pPr>
            <w:r w:rsidRPr="0050642F">
              <w:rPr>
                <w:b/>
                <w:bCs/>
                <w:color w:val="000000"/>
                <w:szCs w:val="24"/>
                <w:lang w:val="es-ES"/>
              </w:rPr>
              <w:t>OBJETIVOS</w:t>
            </w:r>
            <w:r w:rsidRPr="0050642F">
              <w:rPr>
                <w:color w:val="000000"/>
                <w:szCs w:val="24"/>
                <w:lang w:val="es-ES"/>
              </w:rPr>
              <w:t>: Se está trabajando muchísimo en la validación de los sistemas de conducción automatizada (ADS). Esta sesión reunirá a expertos en la materia de tres organizaciones diferentes para presentar sus enfoques y contribuciones a la resolución de los desafíos (técnicos, sociales e institucionales) de determinar la preparación y realizar pruebas y demostraciones en carretera, junto con la validación de los ADS para la producción y el despliegue en serie.</w:t>
            </w:r>
          </w:p>
        </w:tc>
      </w:tr>
      <w:tr w:rsidR="0050642F" w:rsidRPr="0050642F" w14:paraId="49AAFCEF" w14:textId="77777777" w:rsidTr="00AE7947">
        <w:trPr>
          <w:cantSplit/>
          <w:trHeight w:val="386"/>
          <w:jc w:val="center"/>
        </w:trPr>
        <w:tc>
          <w:tcPr>
            <w:tcW w:w="8931" w:type="dxa"/>
          </w:tcPr>
          <w:p w14:paraId="4E6311B4" w14:textId="5974DAA1" w:rsidR="0039249B" w:rsidRPr="0039249B" w:rsidRDefault="0050642F" w:rsidP="00541A42">
            <w:pPr>
              <w:tabs>
                <w:tab w:val="left" w:pos="720"/>
              </w:tabs>
              <w:overflowPunct/>
              <w:autoSpaceDE/>
              <w:adjustRightInd/>
              <w:spacing w:after="120"/>
              <w:rPr>
                <w:b/>
                <w:i/>
                <w:szCs w:val="24"/>
                <w:lang w:val="fr-FR" w:eastAsia="zh-CN"/>
              </w:rPr>
            </w:pPr>
            <w:r w:rsidRPr="00541A42">
              <w:rPr>
                <w:b/>
                <w:i/>
                <w:szCs w:val="24"/>
                <w:lang w:val="fr-FR" w:eastAsia="zh-CN"/>
              </w:rPr>
              <w:t>Descanso (15.30-15.45 horas)</w:t>
            </w:r>
          </w:p>
        </w:tc>
      </w:tr>
      <w:tr w:rsidR="0050642F" w:rsidRPr="0050642F" w14:paraId="1B4237A2" w14:textId="77777777" w:rsidTr="00AE7947">
        <w:trPr>
          <w:cantSplit/>
          <w:jc w:val="center"/>
        </w:trPr>
        <w:tc>
          <w:tcPr>
            <w:tcW w:w="8931" w:type="dxa"/>
          </w:tcPr>
          <w:p w14:paraId="3FB62ECC" w14:textId="77777777" w:rsidR="0050642F" w:rsidRPr="00541A42" w:rsidRDefault="0050642F" w:rsidP="00541A42">
            <w:pPr>
              <w:tabs>
                <w:tab w:val="left" w:pos="720"/>
              </w:tabs>
              <w:overflowPunct/>
              <w:autoSpaceDE/>
              <w:adjustRightInd/>
              <w:spacing w:after="120"/>
              <w:rPr>
                <w:b/>
                <w:i/>
                <w:szCs w:val="24"/>
                <w:lang w:val="fr-FR" w:eastAsia="zh-CN"/>
              </w:rPr>
            </w:pPr>
            <w:r w:rsidRPr="00541A42">
              <w:rPr>
                <w:b/>
                <w:i/>
                <w:szCs w:val="24"/>
                <w:lang w:val="fr-FR" w:eastAsia="zh-CN"/>
              </w:rPr>
              <w:t>Jueves 9 de julio de 2026 (15.45-17.15 horas (CET))</w:t>
            </w:r>
          </w:p>
          <w:p w14:paraId="4B2E1702" w14:textId="77777777" w:rsidR="0050642F" w:rsidRPr="0050642F" w:rsidRDefault="0050642F" w:rsidP="00AE7947">
            <w:pPr>
              <w:tabs>
                <w:tab w:val="clear" w:pos="794"/>
                <w:tab w:val="clear" w:pos="1191"/>
                <w:tab w:val="clear" w:pos="1588"/>
                <w:tab w:val="clear" w:pos="1985"/>
              </w:tabs>
              <w:overflowPunct/>
              <w:autoSpaceDE/>
              <w:autoSpaceDN/>
              <w:adjustRightInd/>
              <w:spacing w:before="0" w:after="160"/>
              <w:textAlignment w:val="auto"/>
              <w:rPr>
                <w:rFonts w:cstheme="minorHAnsi"/>
                <w:b/>
                <w:bCs/>
                <w:color w:val="000000"/>
                <w:szCs w:val="24"/>
                <w:shd w:val="clear" w:color="auto" w:fill="FFFFFF"/>
                <w:lang w:val="es-ES"/>
              </w:rPr>
            </w:pPr>
            <w:r w:rsidRPr="0050642F">
              <w:rPr>
                <w:b/>
                <w:bCs/>
                <w:color w:val="000000"/>
                <w:szCs w:val="24"/>
                <w:lang w:val="es-ES"/>
              </w:rPr>
              <w:t>SESIÓN 4: COMUNICACIÓN VEHICULAR PARA LA CONDUCCIÓN AUTOMATIZADA</w:t>
            </w:r>
          </w:p>
          <w:p w14:paraId="42358BD5" w14:textId="77777777" w:rsidR="0050642F" w:rsidRPr="0050642F" w:rsidRDefault="0050642F" w:rsidP="00AE7947">
            <w:pPr>
              <w:tabs>
                <w:tab w:val="clear" w:pos="794"/>
                <w:tab w:val="clear" w:pos="1191"/>
                <w:tab w:val="clear" w:pos="1588"/>
                <w:tab w:val="clear" w:pos="1985"/>
              </w:tabs>
              <w:overflowPunct/>
              <w:autoSpaceDE/>
              <w:autoSpaceDN/>
              <w:adjustRightInd/>
              <w:spacing w:before="0"/>
              <w:contextualSpacing/>
              <w:textAlignment w:val="auto"/>
              <w:rPr>
                <w:rFonts w:cstheme="minorHAnsi"/>
                <w:color w:val="000000"/>
                <w:szCs w:val="24"/>
                <w:shd w:val="clear" w:color="auto" w:fill="FFFFFF"/>
                <w:lang w:val="es-ES"/>
              </w:rPr>
            </w:pPr>
            <w:r w:rsidRPr="0050642F">
              <w:rPr>
                <w:b/>
                <w:bCs/>
                <w:color w:val="000000"/>
                <w:szCs w:val="24"/>
                <w:lang w:val="es-ES"/>
              </w:rPr>
              <w:t>OBJETIVOS:</w:t>
            </w:r>
            <w:r w:rsidRPr="0050642F">
              <w:rPr>
                <w:color w:val="000000"/>
                <w:szCs w:val="24"/>
                <w:lang w:val="es-ES"/>
              </w:rPr>
              <w:t xml:space="preserve"> Los vehículos con sistemas de conducción automatizada (ADS) han estado en desarrollo durante muchos años. Se han realizado pruebas generalizadas de vehículos con estos sistemas y se han iniciado los despliegues iniciales. Los conductores se están familiarizando con la automatización de los vehículos. La creencia general es que el nivel de automatización de los vehículos está destinado a crecer. En esta sesión se explorará cómo podrían utilizarse las comunicaciones vehiculares en los vehículos con ADS y qué medidas se necesitarán en el futuro. El Grupo de Expertos sobre Comunicación Vehicular para la Conducción Automatizada de la CITS está estudiando este tema, que proporcionará información actualizada sobre sus actividades.</w:t>
            </w:r>
          </w:p>
        </w:tc>
      </w:tr>
    </w:tbl>
    <w:bookmarkEnd w:id="6"/>
    <w:p w14:paraId="48CBF736" w14:textId="59CACEB2" w:rsidR="0050642F" w:rsidRPr="0050642F" w:rsidRDefault="0050642F" w:rsidP="00541A42">
      <w:pPr>
        <w:spacing w:before="360" w:after="120"/>
        <w:rPr>
          <w:rFonts w:eastAsiaTheme="minorEastAsia"/>
          <w:color w:val="444444"/>
          <w:shd w:val="clear" w:color="auto" w:fill="FFFFFF"/>
          <w:lang w:val="es-ES"/>
        </w:rPr>
      </w:pPr>
      <w:r w:rsidRPr="0050642F">
        <w:rPr>
          <w:lang w:val="es-ES"/>
        </w:rPr>
        <w:t>NOTA</w:t>
      </w:r>
      <w:r>
        <w:rPr>
          <w:lang w:val="es-ES"/>
        </w:rPr>
        <w:t xml:space="preserve"> </w:t>
      </w:r>
      <w:r w:rsidRPr="0050642F">
        <w:rPr>
          <w:lang w:val="es-ES"/>
        </w:rPr>
        <w:t>–</w:t>
      </w:r>
      <w:r>
        <w:rPr>
          <w:lang w:val="es-ES"/>
        </w:rPr>
        <w:t xml:space="preserve"> </w:t>
      </w:r>
      <w:r w:rsidRPr="0050642F">
        <w:rPr>
          <w:lang w:val="es-ES"/>
        </w:rPr>
        <w:t xml:space="preserve">Las actualizaciones del programa estarán disponibles en el sitio web del FNC </w:t>
      </w:r>
      <w:hyperlink r:id="rId21" w:history="1">
        <w:r w:rsidRPr="0050642F">
          <w:rPr>
            <w:rStyle w:val="Hyperlink"/>
            <w:rFonts w:ascii="Arial" w:hAnsi="Arial" w:cs="Arial"/>
            <w:szCs w:val="24"/>
            <w:lang w:val="es-ES"/>
          </w:rPr>
          <w:t>https://fnc.itu.int</w:t>
        </w:r>
      </w:hyperlink>
      <w:r w:rsidRPr="0050642F">
        <w:rPr>
          <w:lang w:val="es-ES"/>
        </w:rPr>
        <w:t xml:space="preserve"> </w:t>
      </w:r>
      <w:hyperlink r:id="rId22" w:history="1"/>
    </w:p>
    <w:p w14:paraId="7CC52363" w14:textId="77777777" w:rsidR="0050642F" w:rsidRPr="0050642F" w:rsidRDefault="0050642F" w:rsidP="00411C49">
      <w:pPr>
        <w:pStyle w:val="Reasons"/>
        <w:rPr>
          <w:lang w:val="es-ES"/>
        </w:rPr>
      </w:pPr>
    </w:p>
    <w:p w14:paraId="31EB9A22" w14:textId="77777777" w:rsidR="0050642F" w:rsidRDefault="0050642F">
      <w:pPr>
        <w:jc w:val="center"/>
      </w:pPr>
      <w:r>
        <w:t>______________</w:t>
      </w:r>
    </w:p>
    <w:sectPr w:rsidR="0050642F" w:rsidSect="009F7107">
      <w:headerReference w:type="default" r:id="rId23"/>
      <w:footerReference w:type="first" r:id="rId24"/>
      <w:pgSz w:w="11907" w:h="16840" w:code="9"/>
      <w:pgMar w:top="1134" w:right="850"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A9E4" w14:textId="77777777" w:rsidR="00DD44CD" w:rsidRDefault="00DD44CD">
      <w:r>
        <w:separator/>
      </w:r>
    </w:p>
  </w:endnote>
  <w:endnote w:type="continuationSeparator" w:id="0">
    <w:p w14:paraId="4222D1D2" w14:textId="77777777" w:rsidR="00DD44CD" w:rsidRDefault="00DD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00" w:usb1="00000000" w:usb2="00000000" w:usb3="00000000" w:csb0="000001FB"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0706"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8BCE" w14:textId="77777777" w:rsidR="00DD44CD" w:rsidRDefault="00DD44CD">
      <w:r>
        <w:t>____________________</w:t>
      </w:r>
    </w:p>
  </w:footnote>
  <w:footnote w:type="continuationSeparator" w:id="0">
    <w:p w14:paraId="77DCAE14" w14:textId="77777777" w:rsidR="00DD44CD" w:rsidRDefault="00DD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15BB" w14:textId="4E65E6D6"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r w:rsidR="0050642F">
      <w:rPr>
        <w:sz w:val="18"/>
        <w:szCs w:val="18"/>
      </w:rPr>
      <w:br/>
    </w:r>
    <w:r w:rsidR="0050642F" w:rsidRPr="0050642F">
      <w:rPr>
        <w:noProof/>
        <w:sz w:val="18"/>
        <w:szCs w:val="18"/>
      </w:rPr>
      <w:t>Circular</w:t>
    </w:r>
    <w:r w:rsidR="0050642F" w:rsidRPr="0050642F">
      <w:rPr>
        <w:sz w:val="18"/>
        <w:szCs w:val="18"/>
      </w:rPr>
      <w:t xml:space="preserve"> </w:t>
    </w:r>
    <w:r w:rsidR="0050642F" w:rsidRPr="0050642F">
      <w:rPr>
        <w:noProof/>
        <w:sz w:val="18"/>
        <w:szCs w:val="18"/>
      </w:rPr>
      <w:t>TSB 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4221B7"/>
    <w:multiLevelType w:val="hybridMultilevel"/>
    <w:tmpl w:val="6D2457DC"/>
    <w:lvl w:ilvl="0" w:tplc="F34EB58C">
      <w:start w:val="150"/>
      <w:numFmt w:val="bullet"/>
      <w:lvlText w:val=""/>
      <w:lvlJc w:val="left"/>
      <w:pPr>
        <w:ind w:left="720" w:hanging="360"/>
      </w:pPr>
      <w:rPr>
        <w:rFonts w:ascii="Symbol" w:eastAsia="Times New Roman"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4"/>
  </w:num>
  <w:num w:numId="3" w16cid:durableId="1069613404">
    <w:abstractNumId w:val="2"/>
  </w:num>
  <w:num w:numId="4" w16cid:durableId="374936234">
    <w:abstractNumId w:val="1"/>
  </w:num>
  <w:num w:numId="5" w16cid:durableId="1737240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7E"/>
    <w:rsid w:val="00002529"/>
    <w:rsid w:val="00010E7E"/>
    <w:rsid w:val="00085662"/>
    <w:rsid w:val="000C382F"/>
    <w:rsid w:val="001173CC"/>
    <w:rsid w:val="001350B9"/>
    <w:rsid w:val="0014464D"/>
    <w:rsid w:val="001A54CC"/>
    <w:rsid w:val="00201E83"/>
    <w:rsid w:val="00222F8D"/>
    <w:rsid w:val="0022308E"/>
    <w:rsid w:val="00257FB4"/>
    <w:rsid w:val="002C7BAC"/>
    <w:rsid w:val="002E496E"/>
    <w:rsid w:val="00303D62"/>
    <w:rsid w:val="00335367"/>
    <w:rsid w:val="00370C2D"/>
    <w:rsid w:val="0039249B"/>
    <w:rsid w:val="00395FC7"/>
    <w:rsid w:val="003D1E8D"/>
    <w:rsid w:val="003D673B"/>
    <w:rsid w:val="003E1F80"/>
    <w:rsid w:val="003F2855"/>
    <w:rsid w:val="00401C20"/>
    <w:rsid w:val="0041522F"/>
    <w:rsid w:val="004A7957"/>
    <w:rsid w:val="004C4144"/>
    <w:rsid w:val="0050642F"/>
    <w:rsid w:val="00541A42"/>
    <w:rsid w:val="0055719E"/>
    <w:rsid w:val="006969B4"/>
    <w:rsid w:val="006A02AC"/>
    <w:rsid w:val="006B460C"/>
    <w:rsid w:val="006E4F7B"/>
    <w:rsid w:val="00717177"/>
    <w:rsid w:val="00781E2A"/>
    <w:rsid w:val="007933A2"/>
    <w:rsid w:val="007B6316"/>
    <w:rsid w:val="00814503"/>
    <w:rsid w:val="008258C2"/>
    <w:rsid w:val="008505BD"/>
    <w:rsid w:val="00850C78"/>
    <w:rsid w:val="00876165"/>
    <w:rsid w:val="00884D12"/>
    <w:rsid w:val="008A0517"/>
    <w:rsid w:val="008A38E5"/>
    <w:rsid w:val="008C17AD"/>
    <w:rsid w:val="008D02CD"/>
    <w:rsid w:val="0091370C"/>
    <w:rsid w:val="0095172A"/>
    <w:rsid w:val="009A0BA0"/>
    <w:rsid w:val="009E52DC"/>
    <w:rsid w:val="009F7107"/>
    <w:rsid w:val="00A54E47"/>
    <w:rsid w:val="00AB6E3A"/>
    <w:rsid w:val="00AE7093"/>
    <w:rsid w:val="00B352E8"/>
    <w:rsid w:val="00B422BC"/>
    <w:rsid w:val="00B43F77"/>
    <w:rsid w:val="00B55A3E"/>
    <w:rsid w:val="00B608A1"/>
    <w:rsid w:val="00B87E9E"/>
    <w:rsid w:val="00B95F0A"/>
    <w:rsid w:val="00B96180"/>
    <w:rsid w:val="00C116FE"/>
    <w:rsid w:val="00C17AC0"/>
    <w:rsid w:val="00C34772"/>
    <w:rsid w:val="00C5465A"/>
    <w:rsid w:val="00D54642"/>
    <w:rsid w:val="00D834E7"/>
    <w:rsid w:val="00DD44CD"/>
    <w:rsid w:val="00DD77C9"/>
    <w:rsid w:val="00DF3538"/>
    <w:rsid w:val="00E145C8"/>
    <w:rsid w:val="00E839B0"/>
    <w:rsid w:val="00E92C09"/>
    <w:rsid w:val="00ED31CD"/>
    <w:rsid w:val="00F14380"/>
    <w:rsid w:val="00F6461F"/>
    <w:rsid w:val="00F84D90"/>
    <w:rsid w:val="00F938AE"/>
    <w:rsid w:val="00F94782"/>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37AE2"/>
  <w15:docId w15:val="{1E18C1BA-8969-426F-BCE7-36009C32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6A02AC"/>
    <w:rPr>
      <w:color w:val="605E5C"/>
      <w:shd w:val="clear" w:color="auto" w:fill="E1DFDD"/>
    </w:rPr>
  </w:style>
  <w:style w:type="table" w:styleId="TableGrid">
    <w:name w:val="Table Grid"/>
    <w:basedOn w:val="TableNormal"/>
    <w:uiPriority w:val="39"/>
    <w:rsid w:val="0050642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50642F"/>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nc.itu.int/" TargetMode="External"/><Relationship Id="rId18" Type="http://schemas.openxmlformats.org/officeDocument/2006/relationships/hyperlink" Target="mailto:tsbevents@itu.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nc.itu.int" TargetMode="External"/><Relationship Id="rId7" Type="http://schemas.openxmlformats.org/officeDocument/2006/relationships/endnotes" Target="endnotes.xml"/><Relationship Id="rId12" Type="http://schemas.openxmlformats.org/officeDocument/2006/relationships/hyperlink" Target="https://aiforgood.itu.int/summit26/" TargetMode="External"/><Relationship Id="rId17" Type="http://schemas.openxmlformats.org/officeDocument/2006/relationships/hyperlink" Target="mailto:tsbcits@itu.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nc.itu.in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c.itu.i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iforgood.itu.int/summit26/" TargetMode="External"/><Relationship Id="rId23" Type="http://schemas.openxmlformats.org/officeDocument/2006/relationships/header" Target="header1.xml"/><Relationship Id="rId10" Type="http://schemas.openxmlformats.org/officeDocument/2006/relationships/hyperlink" Target="https://fnc.itu.int/" TargetMode="External"/><Relationship Id="rId19" Type="http://schemas.openxmlformats.org/officeDocument/2006/relationships/hyperlink" Target="https://fnc.itu.int/engage/"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mailto:tsbcits@itu.int" TargetMode="External"/><Relationship Id="rId22" Type="http://schemas.openxmlformats.org/officeDocument/2006/relationships/hyperlink" Target="https://fnc.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0</TotalTime>
  <Pages>4</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8963</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Chaudhary, Manvi</cp:lastModifiedBy>
  <cp:revision>2</cp:revision>
  <cp:lastPrinted>2026-02-24T08:53:00Z</cp:lastPrinted>
  <dcterms:created xsi:type="dcterms:W3CDTF">2026-02-24T09:41:00Z</dcterms:created>
  <dcterms:modified xsi:type="dcterms:W3CDTF">2026-02-24T09:41:00Z</dcterms:modified>
</cp:coreProperties>
</file>