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0E14CE" w14:paraId="2E6762E0" w14:textId="77777777" w:rsidTr="008570CE">
        <w:trPr>
          <w:cantSplit/>
          <w:trHeight w:val="1620"/>
        </w:trPr>
        <w:tc>
          <w:tcPr>
            <w:tcW w:w="798" w:type="pct"/>
          </w:tcPr>
          <w:p w14:paraId="42BBA64F" w14:textId="77777777" w:rsidR="00D517B2" w:rsidRPr="000E14CE" w:rsidRDefault="00D517B2" w:rsidP="00D517B2">
            <w:pPr>
              <w:spacing w:before="0" w:line="240" w:lineRule="auto"/>
              <w:rPr>
                <w:b/>
                <w:bCs/>
                <w:rtl/>
                <w:lang w:bidi="ar-EG"/>
              </w:rPr>
            </w:pPr>
            <w:r w:rsidRPr="000E14CE">
              <w:rPr>
                <w:noProof/>
              </w:rPr>
              <w:drawing>
                <wp:inline distT="0" distB="0" distL="0" distR="0" wp14:anchorId="72C9E207" wp14:editId="45F10866">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3E7EFB4" w14:textId="77777777" w:rsidR="00D517B2" w:rsidRPr="000E14CE" w:rsidRDefault="00D517B2" w:rsidP="00D517B2">
            <w:pPr>
              <w:spacing w:before="200"/>
              <w:rPr>
                <w:b/>
                <w:bCs/>
                <w:sz w:val="36"/>
                <w:szCs w:val="36"/>
                <w:rtl/>
              </w:rPr>
            </w:pPr>
            <w:r w:rsidRPr="000E14CE">
              <w:rPr>
                <w:rFonts w:hint="cs"/>
                <w:b/>
                <w:bCs/>
                <w:sz w:val="36"/>
                <w:szCs w:val="36"/>
                <w:rtl/>
              </w:rPr>
              <w:t>الاتحـاد الدولـي للاتصـالات</w:t>
            </w:r>
          </w:p>
          <w:p w14:paraId="63E39F69" w14:textId="77777777" w:rsidR="00D517B2" w:rsidRPr="000E14CE" w:rsidRDefault="00D517B2" w:rsidP="00D517B2">
            <w:pPr>
              <w:spacing w:before="60"/>
              <w:rPr>
                <w:b/>
                <w:bCs/>
                <w:sz w:val="28"/>
                <w:szCs w:val="28"/>
                <w:rtl/>
                <w:lang w:bidi="ar-EG"/>
              </w:rPr>
            </w:pPr>
            <w:r w:rsidRPr="000E14CE">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0E14CE" w14:paraId="53A0D839" w14:textId="77777777" w:rsidTr="001E2788">
        <w:trPr>
          <w:cantSplit/>
          <w:jc w:val="center"/>
        </w:trPr>
        <w:tc>
          <w:tcPr>
            <w:tcW w:w="810" w:type="pct"/>
          </w:tcPr>
          <w:p w14:paraId="0464E5F5" w14:textId="77777777" w:rsidR="00D517B2" w:rsidRPr="000E14CE" w:rsidRDefault="00D517B2" w:rsidP="006019C6">
            <w:pPr>
              <w:spacing w:before="80" w:line="300" w:lineRule="exact"/>
              <w:jc w:val="left"/>
              <w:rPr>
                <w:position w:val="2"/>
              </w:rPr>
            </w:pPr>
          </w:p>
        </w:tc>
        <w:tc>
          <w:tcPr>
            <w:tcW w:w="1984" w:type="pct"/>
          </w:tcPr>
          <w:p w14:paraId="2DD68D3F" w14:textId="77777777" w:rsidR="00D517B2" w:rsidRPr="000E14CE" w:rsidRDefault="00D517B2" w:rsidP="006019C6">
            <w:pPr>
              <w:spacing w:before="80" w:line="300" w:lineRule="exact"/>
              <w:jc w:val="left"/>
              <w:rPr>
                <w:position w:val="2"/>
                <w:lang w:bidi="ar-EG"/>
              </w:rPr>
            </w:pPr>
          </w:p>
        </w:tc>
        <w:tc>
          <w:tcPr>
            <w:tcW w:w="2206" w:type="pct"/>
          </w:tcPr>
          <w:p w14:paraId="1AF567EE" w14:textId="6EF87D3C" w:rsidR="00D517B2" w:rsidRPr="000E14CE" w:rsidRDefault="000E14CE" w:rsidP="000E14CE">
            <w:pPr>
              <w:spacing w:before="80" w:line="300" w:lineRule="exact"/>
              <w:jc w:val="left"/>
              <w:rPr>
                <w:position w:val="2"/>
                <w:rtl/>
                <w:lang w:bidi="ar-EG"/>
              </w:rPr>
            </w:pPr>
            <w:r w:rsidRPr="000E14CE">
              <w:rPr>
                <w:position w:val="2"/>
                <w:rtl/>
              </w:rPr>
              <w:t xml:space="preserve">جنيف، </w:t>
            </w:r>
            <w:r w:rsidRPr="000E14CE">
              <w:rPr>
                <w:position w:val="2"/>
              </w:rPr>
              <w:t>21</w:t>
            </w:r>
            <w:r w:rsidRPr="000E14CE">
              <w:rPr>
                <w:position w:val="2"/>
                <w:rtl/>
              </w:rPr>
              <w:t xml:space="preserve"> يناير </w:t>
            </w:r>
            <w:r w:rsidRPr="000E14CE">
              <w:rPr>
                <w:position w:val="2"/>
              </w:rPr>
              <w:t>2026</w:t>
            </w:r>
          </w:p>
        </w:tc>
      </w:tr>
      <w:tr w:rsidR="00372F67" w:rsidRPr="000E14CE" w14:paraId="51D5DD58" w14:textId="77777777" w:rsidTr="001E2788">
        <w:trPr>
          <w:cantSplit/>
          <w:jc w:val="center"/>
        </w:trPr>
        <w:tc>
          <w:tcPr>
            <w:tcW w:w="810" w:type="pct"/>
          </w:tcPr>
          <w:p w14:paraId="5C93D67A" w14:textId="77777777" w:rsidR="00372F67" w:rsidRPr="000E14CE" w:rsidRDefault="00372F67" w:rsidP="00D517B2">
            <w:pPr>
              <w:spacing w:before="80" w:after="60" w:line="300" w:lineRule="exact"/>
              <w:jc w:val="left"/>
              <w:rPr>
                <w:b/>
                <w:bCs/>
                <w:position w:val="2"/>
              </w:rPr>
            </w:pPr>
            <w:r w:rsidRPr="000E14CE">
              <w:rPr>
                <w:rFonts w:hint="cs"/>
                <w:b/>
                <w:bCs/>
                <w:position w:val="2"/>
                <w:rtl/>
              </w:rPr>
              <w:t>المرجع:</w:t>
            </w:r>
          </w:p>
        </w:tc>
        <w:tc>
          <w:tcPr>
            <w:tcW w:w="1984" w:type="pct"/>
          </w:tcPr>
          <w:p w14:paraId="2E97E302" w14:textId="53AF5AD0" w:rsidR="00372F67" w:rsidRPr="000E14CE" w:rsidRDefault="00372F67" w:rsidP="000E14CE">
            <w:pPr>
              <w:spacing w:before="80" w:after="60" w:line="300" w:lineRule="exact"/>
              <w:jc w:val="left"/>
              <w:rPr>
                <w:b/>
                <w:position w:val="2"/>
              </w:rPr>
            </w:pPr>
            <w:r w:rsidRPr="000E14CE">
              <w:rPr>
                <w:b/>
                <w:position w:val="2"/>
              </w:rPr>
              <w:t xml:space="preserve">TSB Circular </w:t>
            </w:r>
            <w:r w:rsidR="000E14CE" w:rsidRPr="000E14CE">
              <w:rPr>
                <w:b/>
                <w:position w:val="2"/>
              </w:rPr>
              <w:t>109</w:t>
            </w:r>
            <w:r w:rsidRPr="000E14CE">
              <w:rPr>
                <w:b/>
                <w:position w:val="2"/>
              </w:rPr>
              <w:br/>
            </w:r>
            <w:r w:rsidR="000E14CE" w:rsidRPr="000E14CE">
              <w:rPr>
                <w:bCs/>
                <w:position w:val="2"/>
                <w:lang w:val="fr-CH"/>
              </w:rPr>
              <w:t>TSB Events/MA/TK</w:t>
            </w:r>
          </w:p>
        </w:tc>
        <w:tc>
          <w:tcPr>
            <w:tcW w:w="2206" w:type="pct"/>
            <w:vMerge w:val="restart"/>
          </w:tcPr>
          <w:p w14:paraId="13EC91A8" w14:textId="77777777" w:rsidR="00372F67" w:rsidRPr="000E14CE" w:rsidRDefault="00372F67" w:rsidP="001F4353">
            <w:pPr>
              <w:tabs>
                <w:tab w:val="clear" w:pos="794"/>
                <w:tab w:val="left" w:pos="284"/>
              </w:tabs>
              <w:spacing w:before="80" w:after="60" w:line="300" w:lineRule="exact"/>
              <w:jc w:val="left"/>
              <w:rPr>
                <w:b/>
                <w:bCs/>
                <w:position w:val="2"/>
                <w:rtl/>
                <w:lang w:bidi="ar-EG"/>
              </w:rPr>
            </w:pPr>
            <w:r w:rsidRPr="000E14CE">
              <w:rPr>
                <w:rFonts w:hint="cs"/>
                <w:b/>
                <w:bCs/>
                <w:position w:val="2"/>
                <w:rtl/>
              </w:rPr>
              <w:t>إلى:</w:t>
            </w:r>
          </w:p>
          <w:p w14:paraId="759C89E8" w14:textId="77777777" w:rsidR="00372F67" w:rsidRPr="000E14CE" w:rsidRDefault="00372F67" w:rsidP="001F4353">
            <w:pPr>
              <w:tabs>
                <w:tab w:val="clear" w:pos="794"/>
                <w:tab w:val="left" w:pos="284"/>
              </w:tabs>
              <w:spacing w:before="80" w:after="60" w:line="300" w:lineRule="exact"/>
              <w:ind w:left="284" w:hanging="284"/>
              <w:jc w:val="left"/>
              <w:rPr>
                <w:position w:val="2"/>
                <w:rtl/>
              </w:rPr>
            </w:pPr>
            <w:r w:rsidRPr="000E14CE">
              <w:rPr>
                <w:rFonts w:hint="cs"/>
                <w:position w:val="2"/>
                <w:rtl/>
              </w:rPr>
              <w:t>-</w:t>
            </w:r>
            <w:r w:rsidRPr="000E14CE">
              <w:rPr>
                <w:position w:val="2"/>
                <w:rtl/>
              </w:rPr>
              <w:tab/>
            </w:r>
            <w:r w:rsidRPr="000E14CE">
              <w:rPr>
                <w:rFonts w:hint="cs"/>
                <w:position w:val="2"/>
                <w:rtl/>
              </w:rPr>
              <w:t>إدارات الدول الأعضاء في الاتحاد؛</w:t>
            </w:r>
          </w:p>
          <w:p w14:paraId="41C88FA1" w14:textId="34D2338C" w:rsidR="000E14CE" w:rsidRPr="000E14CE" w:rsidRDefault="000E14CE" w:rsidP="000E14CE">
            <w:pPr>
              <w:tabs>
                <w:tab w:val="clear" w:pos="794"/>
                <w:tab w:val="left" w:pos="284"/>
              </w:tabs>
              <w:spacing w:before="80" w:after="60" w:line="300" w:lineRule="exact"/>
              <w:ind w:left="284" w:hanging="284"/>
              <w:jc w:val="left"/>
              <w:rPr>
                <w:position w:val="2"/>
                <w:rtl/>
              </w:rPr>
            </w:pPr>
            <w:r w:rsidRPr="000E14CE">
              <w:rPr>
                <w:position w:val="2"/>
                <w:rtl/>
              </w:rPr>
              <w:t>-</w:t>
            </w:r>
            <w:r w:rsidRPr="000E14CE">
              <w:rPr>
                <w:position w:val="2"/>
                <w:rtl/>
              </w:rPr>
              <w:tab/>
              <w:t>دولة فلسطين (القرار 99 (المراجَع في دبي، 2018))؛</w:t>
            </w:r>
          </w:p>
          <w:p w14:paraId="11638C1C" w14:textId="77777777" w:rsidR="00372F67" w:rsidRPr="000E14CE" w:rsidRDefault="00372F67" w:rsidP="001F4353">
            <w:pPr>
              <w:tabs>
                <w:tab w:val="left" w:pos="284"/>
                <w:tab w:val="left" w:pos="4111"/>
              </w:tabs>
              <w:spacing w:before="80" w:after="60" w:line="300" w:lineRule="exact"/>
              <w:ind w:left="284" w:hanging="284"/>
              <w:rPr>
                <w:position w:val="2"/>
                <w:rtl/>
                <w:lang w:bidi="ar-EG"/>
              </w:rPr>
            </w:pPr>
            <w:r w:rsidRPr="000E14CE">
              <w:rPr>
                <w:rFonts w:hint="cs"/>
                <w:position w:val="2"/>
                <w:rtl/>
              </w:rPr>
              <w:t>-</w:t>
            </w:r>
            <w:r w:rsidRPr="000E14CE">
              <w:rPr>
                <w:position w:val="2"/>
                <w:rtl/>
              </w:rPr>
              <w:tab/>
            </w:r>
            <w:r w:rsidRPr="000E14CE">
              <w:rPr>
                <w:rFonts w:hint="cs"/>
                <w:position w:val="2"/>
                <w:rtl/>
                <w:lang w:bidi="ar-EG"/>
              </w:rPr>
              <w:t>أعضاء قطاع تقييس الاتصالات بالاتحاد؛</w:t>
            </w:r>
          </w:p>
          <w:p w14:paraId="3302C758" w14:textId="77777777" w:rsidR="00372F67" w:rsidRPr="000E14CE" w:rsidRDefault="00372F67" w:rsidP="001F4353">
            <w:pPr>
              <w:tabs>
                <w:tab w:val="left" w:pos="284"/>
                <w:tab w:val="left" w:pos="4111"/>
              </w:tabs>
              <w:spacing w:before="80" w:after="60" w:line="300" w:lineRule="exact"/>
              <w:ind w:left="284" w:hanging="284"/>
              <w:rPr>
                <w:position w:val="2"/>
                <w:rtl/>
                <w:lang w:bidi="ar-EG"/>
              </w:rPr>
            </w:pPr>
            <w:r w:rsidRPr="000E14CE">
              <w:rPr>
                <w:rFonts w:hint="cs"/>
                <w:position w:val="2"/>
                <w:rtl/>
              </w:rPr>
              <w:t>-</w:t>
            </w:r>
            <w:r w:rsidRPr="000E14CE">
              <w:rPr>
                <w:position w:val="2"/>
                <w:rtl/>
              </w:rPr>
              <w:tab/>
            </w:r>
            <w:r w:rsidRPr="000E14CE">
              <w:rPr>
                <w:rFonts w:hint="cs"/>
                <w:position w:val="2"/>
                <w:rtl/>
              </w:rPr>
              <w:t>المنتسبين إلى قطاع تقييس الاتصالات؛</w:t>
            </w:r>
          </w:p>
          <w:p w14:paraId="0CA64527" w14:textId="77777777" w:rsidR="00372F67" w:rsidRPr="000E14CE" w:rsidRDefault="00372F67" w:rsidP="001F4353">
            <w:pPr>
              <w:tabs>
                <w:tab w:val="clear" w:pos="794"/>
                <w:tab w:val="left" w:pos="284"/>
              </w:tabs>
              <w:spacing w:before="80" w:after="60" w:line="300" w:lineRule="exact"/>
              <w:ind w:left="284" w:hanging="284"/>
              <w:jc w:val="left"/>
              <w:rPr>
                <w:position w:val="2"/>
                <w:rtl/>
              </w:rPr>
            </w:pPr>
            <w:r w:rsidRPr="000E14CE">
              <w:rPr>
                <w:rFonts w:hint="cs"/>
                <w:position w:val="2"/>
                <w:rtl/>
              </w:rPr>
              <w:t>-</w:t>
            </w:r>
            <w:r w:rsidRPr="000E14CE">
              <w:rPr>
                <w:position w:val="2"/>
                <w:rtl/>
              </w:rPr>
              <w:tab/>
            </w:r>
            <w:r w:rsidRPr="000E14CE">
              <w:rPr>
                <w:rFonts w:hint="cs"/>
                <w:position w:val="2"/>
                <w:rtl/>
              </w:rPr>
              <w:t>الهيئات الأكاديمية المنضمة إلى</w:t>
            </w:r>
            <w:r w:rsidRPr="000E14CE">
              <w:rPr>
                <w:rFonts w:hint="cs"/>
                <w:position w:val="2"/>
                <w:rtl/>
                <w:lang w:bidi="ar-EG"/>
              </w:rPr>
              <w:t xml:space="preserve"> الاتحاد</w:t>
            </w:r>
          </w:p>
          <w:p w14:paraId="61B795E6" w14:textId="77777777" w:rsidR="00372F67" w:rsidRPr="000E14CE" w:rsidRDefault="00372F67" w:rsidP="001F4353">
            <w:pPr>
              <w:tabs>
                <w:tab w:val="clear" w:pos="794"/>
                <w:tab w:val="left" w:pos="284"/>
              </w:tabs>
              <w:spacing w:before="80" w:after="60" w:line="300" w:lineRule="exact"/>
              <w:ind w:left="284" w:hanging="284"/>
              <w:jc w:val="left"/>
              <w:rPr>
                <w:b/>
                <w:bCs/>
                <w:position w:val="2"/>
                <w:rtl/>
              </w:rPr>
            </w:pPr>
            <w:r w:rsidRPr="000E14CE">
              <w:rPr>
                <w:rFonts w:hint="cs"/>
                <w:b/>
                <w:bCs/>
                <w:position w:val="2"/>
                <w:rtl/>
              </w:rPr>
              <w:t>نسخة إلى:</w:t>
            </w:r>
          </w:p>
          <w:p w14:paraId="5AFE8340" w14:textId="77777777" w:rsidR="00372F67" w:rsidRPr="000E14CE"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0E14CE">
              <w:rPr>
                <w:rFonts w:hint="cs"/>
                <w:position w:val="2"/>
                <w:rtl/>
              </w:rPr>
              <w:t>-</w:t>
            </w:r>
            <w:r w:rsidRPr="000E14CE">
              <w:rPr>
                <w:position w:val="2"/>
                <w:rtl/>
              </w:rPr>
              <w:tab/>
            </w:r>
            <w:r w:rsidRPr="000E14CE">
              <w:rPr>
                <w:rFonts w:eastAsia="Times New Roman" w:hint="cs"/>
                <w:position w:val="2"/>
                <w:rtl/>
                <w:lang w:eastAsia="en-US"/>
              </w:rPr>
              <w:t>رؤساء لجان الدراسات</w:t>
            </w:r>
            <w:r w:rsidRPr="000E14CE">
              <w:rPr>
                <w:rFonts w:eastAsia="Times New Roman" w:hint="cs"/>
                <w:position w:val="2"/>
                <w:rtl/>
                <w:lang w:eastAsia="en-US" w:bidi="ar-EG"/>
              </w:rPr>
              <w:t xml:space="preserve"> ونوابهم</w:t>
            </w:r>
            <w:r w:rsidRPr="000E14CE">
              <w:rPr>
                <w:rFonts w:eastAsia="Times New Roman" w:hint="cs"/>
                <w:position w:val="2"/>
                <w:rtl/>
                <w:lang w:eastAsia="en-US"/>
              </w:rPr>
              <w:t>؛</w:t>
            </w:r>
          </w:p>
          <w:p w14:paraId="70FE2143" w14:textId="77777777" w:rsidR="00372F67" w:rsidRPr="000E14CE"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0E14CE">
              <w:rPr>
                <w:rFonts w:eastAsia="Times New Roman" w:hint="cs"/>
                <w:position w:val="2"/>
                <w:rtl/>
                <w:lang w:eastAsia="en-US"/>
              </w:rPr>
              <w:t>-</w:t>
            </w:r>
            <w:r w:rsidRPr="000E14CE">
              <w:rPr>
                <w:rFonts w:eastAsia="Times New Roman"/>
                <w:position w:val="2"/>
                <w:rtl/>
                <w:lang w:eastAsia="en-US"/>
              </w:rPr>
              <w:tab/>
              <w:t>مدير مكتب تنمية الاتصالات</w:t>
            </w:r>
            <w:r w:rsidRPr="000E14CE">
              <w:rPr>
                <w:rFonts w:eastAsia="Times New Roman" w:hint="cs"/>
                <w:position w:val="2"/>
                <w:rtl/>
                <w:lang w:eastAsia="en-US"/>
              </w:rPr>
              <w:t>؛</w:t>
            </w:r>
          </w:p>
          <w:p w14:paraId="7890648D" w14:textId="6551A4C3" w:rsidR="00372F67" w:rsidRPr="000E14CE" w:rsidRDefault="00372F67" w:rsidP="000E14CE">
            <w:pPr>
              <w:tabs>
                <w:tab w:val="left" w:pos="284"/>
                <w:tab w:val="left" w:pos="4111"/>
              </w:tabs>
              <w:spacing w:before="80" w:after="60" w:line="300" w:lineRule="exact"/>
              <w:ind w:left="284" w:hanging="284"/>
              <w:rPr>
                <w:rFonts w:eastAsia="Times New Roman"/>
                <w:position w:val="2"/>
                <w:rtl/>
                <w:lang w:eastAsia="en-US"/>
              </w:rPr>
            </w:pPr>
            <w:r w:rsidRPr="000E14CE">
              <w:rPr>
                <w:rFonts w:eastAsia="Times New Roman" w:hint="cs"/>
                <w:position w:val="2"/>
                <w:rtl/>
                <w:lang w:eastAsia="en-US"/>
              </w:rPr>
              <w:t>-</w:t>
            </w:r>
            <w:r w:rsidRPr="000E14CE">
              <w:rPr>
                <w:rFonts w:eastAsia="Times New Roman"/>
                <w:position w:val="2"/>
                <w:rtl/>
                <w:lang w:eastAsia="en-US"/>
              </w:rPr>
              <w:tab/>
              <w:t>مدير مكتب الاتصالات الراديوية</w:t>
            </w:r>
            <w:r w:rsidR="000E14CE" w:rsidRPr="000E14CE">
              <w:rPr>
                <w:rFonts w:eastAsia="Times New Roman"/>
                <w:position w:val="2"/>
                <w:rtl/>
                <w:lang w:eastAsia="en-US"/>
              </w:rPr>
              <w:t>؛</w:t>
            </w:r>
          </w:p>
          <w:p w14:paraId="4192E1B0" w14:textId="61562073" w:rsidR="000E14CE" w:rsidRPr="000E14CE" w:rsidRDefault="000E14CE" w:rsidP="000E14CE">
            <w:pPr>
              <w:tabs>
                <w:tab w:val="left" w:pos="284"/>
                <w:tab w:val="left" w:pos="4111"/>
              </w:tabs>
              <w:spacing w:before="80" w:after="60" w:line="300" w:lineRule="exact"/>
              <w:ind w:left="284" w:hanging="284"/>
              <w:rPr>
                <w:position w:val="2"/>
              </w:rPr>
            </w:pPr>
            <w:r w:rsidRPr="000E14CE">
              <w:rPr>
                <w:position w:val="2"/>
                <w:rtl/>
              </w:rPr>
              <w:t>-</w:t>
            </w:r>
            <w:r w:rsidRPr="000E14CE">
              <w:rPr>
                <w:position w:val="2"/>
                <w:rtl/>
              </w:rPr>
              <w:tab/>
              <w:t>المكتب الإقليمي لإفريقيا التابع للاتحاد، أديس أبابا، إثيوبيا؛</w:t>
            </w:r>
          </w:p>
          <w:p w14:paraId="604F0092" w14:textId="74B7B69E" w:rsidR="000E14CE" w:rsidRPr="000E14CE" w:rsidRDefault="000E14CE" w:rsidP="000E14CE">
            <w:pPr>
              <w:tabs>
                <w:tab w:val="left" w:pos="284"/>
                <w:tab w:val="left" w:pos="4111"/>
              </w:tabs>
              <w:spacing w:before="80" w:after="60" w:line="300" w:lineRule="exact"/>
              <w:ind w:left="284" w:hanging="284"/>
              <w:rPr>
                <w:position w:val="2"/>
                <w:rtl/>
              </w:rPr>
            </w:pPr>
            <w:r w:rsidRPr="000E14CE">
              <w:rPr>
                <w:position w:val="2"/>
                <w:rtl/>
              </w:rPr>
              <w:t>-</w:t>
            </w:r>
            <w:r w:rsidRPr="000E14CE">
              <w:rPr>
                <w:position w:val="2"/>
                <w:rtl/>
              </w:rPr>
              <w:tab/>
              <w:t>مكتب المنطقة التابع للاتحاد في الجنوب الإفريقي في هراري، زمبابوي</w:t>
            </w:r>
          </w:p>
        </w:tc>
      </w:tr>
      <w:tr w:rsidR="00037216" w:rsidRPr="000E14CE" w14:paraId="3BA56521" w14:textId="77777777" w:rsidTr="00037216">
        <w:trPr>
          <w:cantSplit/>
          <w:trHeight w:val="341"/>
          <w:jc w:val="center"/>
        </w:trPr>
        <w:tc>
          <w:tcPr>
            <w:tcW w:w="810" w:type="pct"/>
          </w:tcPr>
          <w:p w14:paraId="14995FEC" w14:textId="31603AE9" w:rsidR="00037216" w:rsidRPr="000E14CE" w:rsidRDefault="00037216" w:rsidP="00207859">
            <w:pPr>
              <w:spacing w:before="80" w:after="60" w:line="300" w:lineRule="exact"/>
              <w:jc w:val="left"/>
              <w:rPr>
                <w:b/>
                <w:bCs/>
                <w:position w:val="2"/>
                <w:lang w:bidi="ar-EG"/>
              </w:rPr>
            </w:pPr>
            <w:r w:rsidRPr="000E14CE">
              <w:rPr>
                <w:rFonts w:hint="cs"/>
                <w:b/>
                <w:bCs/>
                <w:position w:val="2"/>
                <w:rtl/>
                <w:lang w:bidi="ar-EG"/>
              </w:rPr>
              <w:t>ال</w:t>
            </w:r>
            <w:r w:rsidRPr="000E14CE">
              <w:rPr>
                <w:rFonts w:hint="cs"/>
                <w:b/>
                <w:bCs/>
                <w:position w:val="2"/>
                <w:rtl/>
                <w:lang w:bidi="ar-SY"/>
              </w:rPr>
              <w:t>هاتف</w:t>
            </w:r>
            <w:r w:rsidRPr="000E14CE">
              <w:rPr>
                <w:rFonts w:hint="cs"/>
                <w:b/>
                <w:bCs/>
                <w:position w:val="2"/>
                <w:rtl/>
              </w:rPr>
              <w:t>:</w:t>
            </w:r>
          </w:p>
        </w:tc>
        <w:tc>
          <w:tcPr>
            <w:tcW w:w="1984" w:type="pct"/>
          </w:tcPr>
          <w:p w14:paraId="5B01AA3D" w14:textId="2DA29819" w:rsidR="00037216" w:rsidRPr="000E14CE" w:rsidRDefault="00037216" w:rsidP="006E32FD">
            <w:pPr>
              <w:spacing w:before="80" w:after="60" w:line="300" w:lineRule="exact"/>
              <w:jc w:val="left"/>
              <w:rPr>
                <w:b/>
                <w:position w:val="2"/>
              </w:rPr>
            </w:pPr>
            <w:r w:rsidRPr="000E14CE">
              <w:rPr>
                <w:position w:val="2"/>
                <w:lang w:val="en-GB"/>
              </w:rPr>
              <w:t>+41 22 730 5828</w:t>
            </w:r>
          </w:p>
        </w:tc>
        <w:tc>
          <w:tcPr>
            <w:tcW w:w="2206" w:type="pct"/>
            <w:vMerge/>
          </w:tcPr>
          <w:p w14:paraId="69ECC744" w14:textId="77777777" w:rsidR="00037216" w:rsidRPr="000E14CE" w:rsidRDefault="00037216" w:rsidP="00E02440">
            <w:pPr>
              <w:tabs>
                <w:tab w:val="left" w:pos="284"/>
                <w:tab w:val="left" w:pos="4111"/>
              </w:tabs>
              <w:spacing w:before="80" w:after="60" w:line="300" w:lineRule="exact"/>
              <w:ind w:left="284" w:hanging="284"/>
              <w:rPr>
                <w:position w:val="2"/>
                <w:rtl/>
              </w:rPr>
            </w:pPr>
          </w:p>
        </w:tc>
      </w:tr>
      <w:tr w:rsidR="00372F67" w:rsidRPr="000E14CE" w14:paraId="4F008ECA" w14:textId="77777777" w:rsidTr="001E2788">
        <w:trPr>
          <w:cantSplit/>
          <w:jc w:val="center"/>
        </w:trPr>
        <w:tc>
          <w:tcPr>
            <w:tcW w:w="810" w:type="pct"/>
          </w:tcPr>
          <w:p w14:paraId="42CE973A" w14:textId="77777777" w:rsidR="00372F67" w:rsidRPr="000E14CE" w:rsidRDefault="00372F67" w:rsidP="001E2788">
            <w:pPr>
              <w:spacing w:before="80" w:after="60" w:line="300" w:lineRule="exact"/>
              <w:jc w:val="left"/>
              <w:rPr>
                <w:b/>
                <w:bCs/>
                <w:position w:val="2"/>
                <w:rtl/>
              </w:rPr>
            </w:pPr>
            <w:r w:rsidRPr="000E14CE">
              <w:rPr>
                <w:rFonts w:hint="cs"/>
                <w:b/>
                <w:bCs/>
                <w:position w:val="2"/>
                <w:rtl/>
              </w:rPr>
              <w:t>الفاكس:</w:t>
            </w:r>
          </w:p>
        </w:tc>
        <w:tc>
          <w:tcPr>
            <w:tcW w:w="1984" w:type="pct"/>
          </w:tcPr>
          <w:p w14:paraId="0A8C72F3" w14:textId="5F871800" w:rsidR="00372F67" w:rsidRPr="000E14CE" w:rsidRDefault="000E14CE" w:rsidP="000E14CE">
            <w:pPr>
              <w:spacing w:before="80" w:after="60" w:line="300" w:lineRule="exact"/>
              <w:jc w:val="left"/>
              <w:rPr>
                <w:position w:val="2"/>
              </w:rPr>
            </w:pPr>
            <w:r w:rsidRPr="000E14CE">
              <w:rPr>
                <w:position w:val="2"/>
                <w:lang w:val="en-GB"/>
              </w:rPr>
              <w:t>+41 22 730 5853</w:t>
            </w:r>
          </w:p>
        </w:tc>
        <w:tc>
          <w:tcPr>
            <w:tcW w:w="2206" w:type="pct"/>
            <w:vMerge/>
          </w:tcPr>
          <w:p w14:paraId="492296D0" w14:textId="77777777" w:rsidR="00372F67" w:rsidRPr="000E14CE" w:rsidRDefault="00372F67" w:rsidP="00E02440">
            <w:pPr>
              <w:tabs>
                <w:tab w:val="left" w:pos="284"/>
                <w:tab w:val="left" w:pos="4111"/>
              </w:tabs>
              <w:spacing w:before="80" w:after="60" w:line="300" w:lineRule="exact"/>
              <w:ind w:left="284" w:hanging="284"/>
              <w:rPr>
                <w:position w:val="2"/>
                <w:rtl/>
              </w:rPr>
            </w:pPr>
          </w:p>
        </w:tc>
      </w:tr>
      <w:tr w:rsidR="00372F67" w:rsidRPr="000E14CE" w14:paraId="0C7DE6E1" w14:textId="77777777" w:rsidTr="008570CE">
        <w:trPr>
          <w:cantSplit/>
          <w:trHeight w:val="3735"/>
          <w:jc w:val="center"/>
        </w:trPr>
        <w:tc>
          <w:tcPr>
            <w:tcW w:w="810" w:type="pct"/>
          </w:tcPr>
          <w:p w14:paraId="6372C46E" w14:textId="77777777" w:rsidR="00372F67" w:rsidRPr="000E14CE" w:rsidRDefault="00372F67" w:rsidP="00CE1C08">
            <w:pPr>
              <w:spacing w:before="80" w:after="60" w:line="300" w:lineRule="exact"/>
              <w:jc w:val="left"/>
              <w:rPr>
                <w:b/>
                <w:bCs/>
                <w:position w:val="2"/>
                <w:rtl/>
              </w:rPr>
            </w:pPr>
            <w:r w:rsidRPr="000E14CE">
              <w:rPr>
                <w:rFonts w:hint="cs"/>
                <w:b/>
                <w:bCs/>
                <w:position w:val="2"/>
                <w:rtl/>
              </w:rPr>
              <w:t>البريد الإلكتروني:</w:t>
            </w:r>
          </w:p>
        </w:tc>
        <w:tc>
          <w:tcPr>
            <w:tcW w:w="1984" w:type="pct"/>
          </w:tcPr>
          <w:p w14:paraId="44E6A320" w14:textId="1AE36AEB" w:rsidR="00372F67" w:rsidRPr="000E14CE" w:rsidRDefault="000E14CE" w:rsidP="000E14CE">
            <w:pPr>
              <w:spacing w:before="80" w:after="60" w:line="300" w:lineRule="exact"/>
              <w:jc w:val="left"/>
              <w:rPr>
                <w:position w:val="2"/>
                <w:rtl/>
                <w:lang w:bidi="ar-EG"/>
              </w:rPr>
            </w:pPr>
            <w:hyperlink r:id="rId9" w:history="1">
              <w:r w:rsidRPr="000E14CE">
                <w:rPr>
                  <w:rStyle w:val="Hyperlink"/>
                  <w:position w:val="2"/>
                  <w:lang w:val="en-GB" w:bidi="ar-EG"/>
                </w:rPr>
                <w:t>tsbevents@itu.int</w:t>
              </w:r>
            </w:hyperlink>
          </w:p>
        </w:tc>
        <w:tc>
          <w:tcPr>
            <w:tcW w:w="2206" w:type="pct"/>
            <w:vMerge/>
          </w:tcPr>
          <w:p w14:paraId="5F0CE36E" w14:textId="77777777" w:rsidR="00372F67" w:rsidRPr="000E14CE" w:rsidRDefault="00372F67" w:rsidP="001F4353">
            <w:pPr>
              <w:tabs>
                <w:tab w:val="left" w:pos="284"/>
                <w:tab w:val="left" w:pos="4111"/>
              </w:tabs>
              <w:spacing w:before="80" w:after="60" w:line="300" w:lineRule="exact"/>
              <w:ind w:left="284" w:hanging="284"/>
              <w:rPr>
                <w:position w:val="2"/>
                <w:rtl/>
              </w:rPr>
            </w:pPr>
          </w:p>
        </w:tc>
      </w:tr>
      <w:tr w:rsidR="00CE1C08" w:rsidRPr="000E14CE" w14:paraId="77444E89" w14:textId="77777777" w:rsidTr="008570CE">
        <w:trPr>
          <w:cantSplit/>
          <w:trHeight w:val="810"/>
          <w:jc w:val="center"/>
        </w:trPr>
        <w:tc>
          <w:tcPr>
            <w:tcW w:w="810" w:type="pct"/>
          </w:tcPr>
          <w:p w14:paraId="7B920E3A" w14:textId="77777777" w:rsidR="00CE1C08" w:rsidRPr="000E14CE" w:rsidRDefault="00CE1C08" w:rsidP="00CE1C08">
            <w:pPr>
              <w:spacing w:before="80" w:after="60" w:line="300" w:lineRule="exact"/>
              <w:jc w:val="left"/>
              <w:rPr>
                <w:b/>
                <w:bCs/>
                <w:position w:val="2"/>
                <w:rtl/>
                <w:lang w:bidi="ar-SY"/>
              </w:rPr>
            </w:pPr>
            <w:r w:rsidRPr="000E14CE">
              <w:rPr>
                <w:rFonts w:hint="cs"/>
                <w:b/>
                <w:bCs/>
                <w:position w:val="2"/>
                <w:rtl/>
              </w:rPr>
              <w:t>الموضوع:</w:t>
            </w:r>
          </w:p>
        </w:tc>
        <w:tc>
          <w:tcPr>
            <w:tcW w:w="4190" w:type="pct"/>
            <w:gridSpan w:val="2"/>
          </w:tcPr>
          <w:p w14:paraId="2D38CE05" w14:textId="79B2CF59" w:rsidR="00CE1C08" w:rsidRPr="000E14CE" w:rsidRDefault="000E14CE" w:rsidP="000E14CE">
            <w:pPr>
              <w:spacing w:before="80" w:after="60" w:line="300" w:lineRule="exact"/>
              <w:jc w:val="left"/>
              <w:rPr>
                <w:position w:val="2"/>
                <w:rtl/>
              </w:rPr>
            </w:pPr>
            <w:r w:rsidRPr="000E14CE">
              <w:rPr>
                <w:b/>
                <w:bCs/>
                <w:position w:val="2"/>
                <w:rtl/>
              </w:rPr>
              <w:t>ورشة عمل الاتحاد بشأن "جودة خدمة الاتصالات وجودة التجربة وشبكات المستقبل"</w:t>
            </w:r>
            <w:r w:rsidR="00037216">
              <w:rPr>
                <w:b/>
                <w:bCs/>
                <w:position w:val="2"/>
                <w:rtl/>
              </w:rPr>
              <w:br/>
            </w:r>
            <w:r w:rsidRPr="000E14CE">
              <w:rPr>
                <w:b/>
                <w:bCs/>
                <w:position w:val="2"/>
                <w:rtl/>
              </w:rPr>
              <w:t xml:space="preserve">(ليفينغستون، زامبيا، </w:t>
            </w:r>
            <w:r>
              <w:rPr>
                <w:b/>
                <w:bCs/>
                <w:position w:val="2"/>
              </w:rPr>
              <w:t>13-12</w:t>
            </w:r>
            <w:r w:rsidRPr="000E14CE">
              <w:rPr>
                <w:b/>
                <w:bCs/>
                <w:position w:val="2"/>
                <w:rtl/>
              </w:rPr>
              <w:t xml:space="preserve"> مايو </w:t>
            </w:r>
            <w:bookmarkStart w:id="0" w:name="_Hlk219811851"/>
            <w:bookmarkEnd w:id="0"/>
            <w:r>
              <w:rPr>
                <w:b/>
                <w:bCs/>
                <w:position w:val="2"/>
              </w:rPr>
              <w:t>2026</w:t>
            </w:r>
            <w:r>
              <w:rPr>
                <w:rFonts w:hint="cs"/>
                <w:b/>
                <w:bCs/>
                <w:position w:val="2"/>
                <w:rtl/>
              </w:rPr>
              <w:t>)</w:t>
            </w:r>
          </w:p>
        </w:tc>
      </w:tr>
    </w:tbl>
    <w:p w14:paraId="1285CADE" w14:textId="77777777" w:rsidR="00D517B2" w:rsidRPr="000E14CE" w:rsidRDefault="00D517B2" w:rsidP="008570CE">
      <w:pPr>
        <w:rPr>
          <w:lang w:bidi="ar-SY"/>
        </w:rPr>
      </w:pPr>
      <w:r w:rsidRPr="000E14CE">
        <w:rPr>
          <w:rFonts w:hint="cs"/>
          <w:rtl/>
          <w:lang w:bidi="ar-SY"/>
        </w:rPr>
        <w:t>حضرات السادة والسيدات،</w:t>
      </w:r>
    </w:p>
    <w:p w14:paraId="31C46C1C" w14:textId="77777777" w:rsidR="00D517B2" w:rsidRPr="000E14CE" w:rsidRDefault="00D517B2" w:rsidP="00D517B2">
      <w:pPr>
        <w:rPr>
          <w:rtl/>
          <w:lang w:bidi="ar-EG"/>
        </w:rPr>
      </w:pPr>
      <w:r w:rsidRPr="000E14CE">
        <w:rPr>
          <w:rFonts w:hint="cs"/>
          <w:rtl/>
        </w:rPr>
        <w:t>تحية طيبة وبعد،</w:t>
      </w:r>
    </w:p>
    <w:p w14:paraId="384242B7" w14:textId="556BE7E8" w:rsidR="000E14CE" w:rsidRPr="000E14CE" w:rsidRDefault="000E14CE" w:rsidP="008570CE">
      <w:pPr>
        <w:spacing w:before="0"/>
        <w:rPr>
          <w:lang w:val="ar-SA" w:bidi="ar-SY"/>
        </w:rPr>
      </w:pPr>
      <w:r>
        <w:t>1</w:t>
      </w:r>
      <w:r w:rsidRPr="000E14CE">
        <w:rPr>
          <w:rtl/>
        </w:rPr>
        <w:tab/>
        <w:t xml:space="preserve">يسرني أن أحيطكم علماً بأن الاتحاد الدولي للاتصالات </w:t>
      </w:r>
      <w:r w:rsidRPr="000E14CE">
        <w:t>(</w:t>
      </w:r>
      <w:r w:rsidRPr="000E14CE">
        <w:rPr>
          <w:lang w:bidi="ar-SY"/>
        </w:rPr>
        <w:t>ITU</w:t>
      </w:r>
      <w:r w:rsidRPr="000E14CE">
        <w:t>)</w:t>
      </w:r>
      <w:r w:rsidRPr="000E14CE">
        <w:rPr>
          <w:rtl/>
        </w:rPr>
        <w:t xml:space="preserve"> بصدد تنظيم ورشة عمل بشأن "</w:t>
      </w:r>
      <w:r w:rsidRPr="000E14CE">
        <w:rPr>
          <w:b/>
          <w:bCs/>
          <w:rtl/>
        </w:rPr>
        <w:t>جودة خدمة الاتصالات وجودة التجربة وشبكات المستقبل</w:t>
      </w:r>
      <w:r w:rsidRPr="000E14CE">
        <w:rPr>
          <w:rtl/>
        </w:rPr>
        <w:t xml:space="preserve">" في منتجع أفاني فيكتوريا فولز، بمدينة ليفينغستون، زامبيا، يومَي 12 و13 مايو 2026. وتتكرم هيئة تكنولوجيا المعلومات والاتصالات في زامبيا </w:t>
      </w:r>
      <w:r w:rsidRPr="000E14CE">
        <w:t>(</w:t>
      </w:r>
      <w:r w:rsidRPr="000E14CE">
        <w:rPr>
          <w:lang w:bidi="ar-SY"/>
        </w:rPr>
        <w:t>ZICTA</w:t>
      </w:r>
      <w:r w:rsidRPr="000E14CE">
        <w:t>)</w:t>
      </w:r>
      <w:r w:rsidRPr="000E14CE">
        <w:rPr>
          <w:rtl/>
        </w:rPr>
        <w:t xml:space="preserve"> باستضافة ورشة العمل.</w:t>
      </w:r>
    </w:p>
    <w:p w14:paraId="61062E2F" w14:textId="5BC989D5" w:rsidR="000E14CE" w:rsidRPr="000E14CE" w:rsidRDefault="000E14CE" w:rsidP="008570CE">
      <w:pPr>
        <w:spacing w:before="0"/>
        <w:rPr>
          <w:lang w:val="ar-SA" w:bidi="ar-SY"/>
        </w:rPr>
      </w:pPr>
      <w:r>
        <w:t>2</w:t>
      </w:r>
      <w:r w:rsidRPr="000E14CE">
        <w:rPr>
          <w:rtl/>
        </w:rPr>
        <w:tab/>
        <w:t xml:space="preserve">وستعقب ورشة العمل جلسة عملية بشأن "سد الفجوة التقييسية" </w:t>
      </w:r>
      <w:r w:rsidRPr="000E14CE">
        <w:t>(</w:t>
      </w:r>
      <w:r w:rsidRPr="000E14CE">
        <w:rPr>
          <w:lang w:bidi="ar-SY"/>
        </w:rPr>
        <w:t>BSG</w:t>
      </w:r>
      <w:r w:rsidRPr="000E14CE">
        <w:t>)</w:t>
      </w:r>
      <w:r w:rsidRPr="000E14CE">
        <w:rPr>
          <w:rtl/>
        </w:rPr>
        <w:t xml:space="preserve"> (</w:t>
      </w:r>
      <w:r w:rsidRPr="000E14CE">
        <w:t>13</w:t>
      </w:r>
      <w:r w:rsidRPr="000E14CE">
        <w:rPr>
          <w:rtl/>
        </w:rPr>
        <w:t xml:space="preserve"> مايو </w:t>
      </w:r>
      <w:proofErr w:type="gramStart"/>
      <w:r w:rsidRPr="000E14CE">
        <w:t>2026</w:t>
      </w:r>
      <w:r w:rsidRPr="000E14CE">
        <w:rPr>
          <w:rtl/>
        </w:rPr>
        <w:t>)،</w:t>
      </w:r>
      <w:proofErr w:type="gramEnd"/>
      <w:r w:rsidRPr="000E14CE">
        <w:rPr>
          <w:rtl/>
        </w:rPr>
        <w:t xml:space="preserve"> يليها اجتماع </w:t>
      </w:r>
      <w:r w:rsidRPr="000E14CE">
        <w:rPr>
          <w:b/>
          <w:bCs/>
          <w:rtl/>
        </w:rPr>
        <w:t>الفريق الإقليمي لمنطقة إفريقيا التابع للجنة الدراسات 12 لقطاع تقييس الاتصالات بالاتحاد</w:t>
      </w:r>
      <w:r w:rsidRPr="000E14CE">
        <w:rPr>
          <w:rtl/>
        </w:rPr>
        <w:t xml:space="preserve"> </w:t>
      </w:r>
      <w:r w:rsidRPr="000E14CE">
        <w:t>(SG12RG-AFR)</w:t>
      </w:r>
      <w:r w:rsidRPr="000E14CE">
        <w:rPr>
          <w:rtl/>
        </w:rPr>
        <w:t xml:space="preserve"> واجتماع </w:t>
      </w:r>
      <w:r w:rsidRPr="000E14CE">
        <w:rPr>
          <w:b/>
          <w:bCs/>
          <w:rtl/>
        </w:rPr>
        <w:t>الفريق الإقليمي لإفريقيا التابع للجنة الدراسات 13 لقطاع تقييس الاتصالات بالاتحاد</w:t>
      </w:r>
      <w:r w:rsidRPr="000E14CE">
        <w:rPr>
          <w:rtl/>
        </w:rPr>
        <w:t xml:space="preserve"> </w:t>
      </w:r>
      <w:r w:rsidRPr="000E14CE">
        <w:t>(SG13RG-AFR)</w:t>
      </w:r>
      <w:r w:rsidRPr="000E14CE">
        <w:rPr>
          <w:rtl/>
        </w:rPr>
        <w:t xml:space="preserve"> يوم</w:t>
      </w:r>
      <w:r w:rsidR="00037216">
        <w:rPr>
          <w:rFonts w:hint="cs"/>
          <w:rtl/>
        </w:rPr>
        <w:t>َ</w:t>
      </w:r>
      <w:r w:rsidRPr="000E14CE">
        <w:rPr>
          <w:rtl/>
        </w:rPr>
        <w:t>ي 14 و15 مايو 2026، في المكان نفسه.</w:t>
      </w:r>
    </w:p>
    <w:p w14:paraId="4526BAC2" w14:textId="073588B6" w:rsidR="000E14CE" w:rsidRPr="000E14CE" w:rsidRDefault="00037216" w:rsidP="008570CE">
      <w:pPr>
        <w:spacing w:before="0"/>
        <w:rPr>
          <w:rtl/>
          <w:lang w:val="ar-SA" w:bidi="ar-SY"/>
        </w:rPr>
      </w:pPr>
      <w:r>
        <w:rPr>
          <w:rFonts w:hint="cs"/>
          <w:rtl/>
        </w:rPr>
        <w:t>3</w:t>
      </w:r>
      <w:r>
        <w:rPr>
          <w:rtl/>
        </w:rPr>
        <w:tab/>
      </w:r>
      <w:r w:rsidR="000E14CE" w:rsidRPr="000E14CE">
        <w:rPr>
          <w:rtl/>
        </w:rPr>
        <w:t>وتشمل أهداف ورشة العمل ما يلي</w:t>
      </w:r>
      <w:r w:rsidR="000E14CE" w:rsidRPr="000E14CE">
        <w:rPr>
          <w:rtl/>
          <w:lang w:bidi="ar-SY"/>
        </w:rPr>
        <w:t>:</w:t>
      </w:r>
    </w:p>
    <w:p w14:paraId="79D77DB7" w14:textId="0E6ECE26" w:rsidR="000E14CE" w:rsidRPr="000E14CE" w:rsidRDefault="000E14CE" w:rsidP="008570CE">
      <w:pPr>
        <w:pStyle w:val="enumlev1"/>
        <w:spacing w:before="0"/>
        <w:rPr>
          <w:lang w:val="ar-SA"/>
        </w:rPr>
      </w:pPr>
      <w:r>
        <w:rPr>
          <w:rFonts w:hint="cs"/>
          <w:rtl/>
          <w:lang w:bidi="ar-EG"/>
        </w:rPr>
        <w:t>-</w:t>
      </w:r>
      <w:r>
        <w:rPr>
          <w:rtl/>
          <w:lang w:bidi="ar-EG"/>
        </w:rPr>
        <w:tab/>
      </w:r>
      <w:r w:rsidRPr="000E14CE">
        <w:rPr>
          <w:rtl/>
        </w:rPr>
        <w:t xml:space="preserve">عرض أعمال لجنة الدراسات 12 لقطاع تقييس الاتصالات (الأداء وجودة الخدمة </w:t>
      </w:r>
      <w:r w:rsidRPr="000E14CE">
        <w:t>(QoS)</w:t>
      </w:r>
      <w:r w:rsidRPr="000E14CE">
        <w:rPr>
          <w:rtl/>
        </w:rPr>
        <w:t xml:space="preserve"> وجودة التجربة </w:t>
      </w:r>
      <w:r w:rsidRPr="000E14CE">
        <w:t>(</w:t>
      </w:r>
      <w:proofErr w:type="spellStart"/>
      <w:r w:rsidRPr="000E14CE">
        <w:t>QoE</w:t>
      </w:r>
      <w:proofErr w:type="spellEnd"/>
      <w:r w:rsidRPr="000E14CE">
        <w:t>)</w:t>
      </w:r>
      <w:r w:rsidRPr="000E14CE">
        <w:rPr>
          <w:rtl/>
        </w:rPr>
        <w:t>) ولجنة الدراسات 13 لقطاع تقييس الاتصالات (شبكات المستقبل وتكنولوجيات الشبكات الناشئة)، وتسليط الضوء على أثر ذلك على إفريقيا.</w:t>
      </w:r>
    </w:p>
    <w:p w14:paraId="5AFEBC22" w14:textId="6F6D549E" w:rsidR="000E14CE" w:rsidRPr="000E14CE" w:rsidRDefault="000E14CE" w:rsidP="000E14CE">
      <w:pPr>
        <w:pStyle w:val="enumlev1"/>
        <w:rPr>
          <w:lang w:val="ar-SA"/>
        </w:rPr>
      </w:pPr>
      <w:r w:rsidRPr="000E14CE">
        <w:rPr>
          <w:rtl/>
          <w:lang w:bidi="ar-EG"/>
        </w:rPr>
        <w:t>-</w:t>
      </w:r>
      <w:r w:rsidRPr="000E14CE">
        <w:rPr>
          <w:rtl/>
          <w:lang w:bidi="ar-EG"/>
        </w:rPr>
        <w:tab/>
      </w:r>
      <w:r w:rsidRPr="000E14CE">
        <w:rPr>
          <w:rtl/>
        </w:rPr>
        <w:t>عرض تطبيق معايير قطاع تقييس الاتصالات ذات الصلة وتقديم توجيهات لواضعي السياسات والمنظمين ودوائر الصناعة والهيئات الأكاديمية في إفريقيا.</w:t>
      </w:r>
    </w:p>
    <w:p w14:paraId="7984387E" w14:textId="5372A438" w:rsidR="000E14CE" w:rsidRPr="000E14CE" w:rsidRDefault="000E14CE" w:rsidP="000E14CE">
      <w:pPr>
        <w:pStyle w:val="enumlev1"/>
        <w:rPr>
          <w:lang w:val="ar-SA"/>
        </w:rPr>
      </w:pPr>
      <w:r w:rsidRPr="000E14CE">
        <w:rPr>
          <w:rtl/>
          <w:lang w:bidi="ar-EG"/>
        </w:rPr>
        <w:t>-</w:t>
      </w:r>
      <w:r w:rsidRPr="000E14CE">
        <w:rPr>
          <w:rtl/>
          <w:lang w:bidi="ar-EG"/>
        </w:rPr>
        <w:tab/>
      </w:r>
      <w:r w:rsidRPr="000E14CE">
        <w:rPr>
          <w:rtl/>
        </w:rPr>
        <w:t>تيسير تبادل أفضل الممارسات والخبرات التي يكتسبها أصحاب المصلحة في إفريقيا في مجالات تقييم الجودة والمقارنة المرجعية والارتقاء بالأداء إلى المستوى الأمثل.</w:t>
      </w:r>
    </w:p>
    <w:p w14:paraId="6078394D" w14:textId="1DD39ACE" w:rsidR="000E14CE" w:rsidRPr="000E14CE" w:rsidRDefault="000E14CE" w:rsidP="000E14CE">
      <w:pPr>
        <w:pStyle w:val="enumlev1"/>
        <w:rPr>
          <w:lang w:val="ar-SA"/>
        </w:rPr>
      </w:pPr>
      <w:r w:rsidRPr="000E14CE">
        <w:rPr>
          <w:rtl/>
          <w:lang w:bidi="ar-EG"/>
        </w:rPr>
        <w:lastRenderedPageBreak/>
        <w:t>-</w:t>
      </w:r>
      <w:r w:rsidRPr="000E14CE">
        <w:rPr>
          <w:rtl/>
          <w:lang w:bidi="ar-EG"/>
        </w:rPr>
        <w:tab/>
      </w:r>
      <w:r w:rsidRPr="000E14CE">
        <w:rPr>
          <w:rtl/>
        </w:rPr>
        <w:t>استكشاف الاتجاهات المتصلة بتقارب الشبكات الثابتة والمتنقلة والساتلية في إفريقيا، وشبكات الاتصالات المتنقلة الدولية</w:t>
      </w:r>
      <w:r w:rsidR="00037216">
        <w:rPr>
          <w:rFonts w:hint="cs"/>
          <w:rtl/>
        </w:rPr>
        <w:t>-</w:t>
      </w:r>
      <w:r w:rsidRPr="000E14CE">
        <w:rPr>
          <w:rtl/>
        </w:rPr>
        <w:t>2020 وشبكات الاتصالات المتنقلة الدولية-2030 القائمة على الحوسبة السحابية، والشبكات المتكاملة القائمة على الذكاء الاصطناعي، فضلاً عن الاتجاهات الأخرى لشبكات المستقبل وتكنولوجيات الشبكات الناشئة.</w:t>
      </w:r>
    </w:p>
    <w:p w14:paraId="7F3B1ECD" w14:textId="10D0B21A" w:rsidR="000E14CE" w:rsidRPr="000E14CE" w:rsidRDefault="000E14CE" w:rsidP="000E14CE">
      <w:pPr>
        <w:rPr>
          <w:lang w:val="ar-SA" w:bidi="ar-SY"/>
        </w:rPr>
      </w:pPr>
      <w:r>
        <w:t>4</w:t>
      </w:r>
      <w:r w:rsidRPr="000E14CE">
        <w:rPr>
          <w:rtl/>
        </w:rPr>
        <w:tab/>
        <w:t>تستهدف ورشة العمل ممثلي الهيئات التنظيمية الوطنية والوزارات، ومقدمي الخدمات والحلول والمورّدين، والهيئات الأكاديمية، ومؤسسات البحث والتطوير، ومجموعات الدفاع عن حقوق المستهلك، وغيرها من المنظمات التي تعمل على المسائل المتعلقة بالاتصالات.</w:t>
      </w:r>
    </w:p>
    <w:p w14:paraId="1A19AAE4" w14:textId="7A4714D7" w:rsidR="000E14CE" w:rsidRPr="000E14CE" w:rsidRDefault="000E14CE" w:rsidP="000E14CE">
      <w:pPr>
        <w:rPr>
          <w:lang w:val="ar-SA" w:bidi="ar-SY"/>
        </w:rPr>
      </w:pPr>
      <w:r>
        <w:t>5</w:t>
      </w:r>
      <w:r w:rsidRPr="000E14CE">
        <w:rPr>
          <w:rtl/>
        </w:rPr>
        <w:tab/>
        <w:t>والمشاركة في ورشة العمل مفتوحة أمام الدول الأعضاء في الاتحاد، وأعضاء القطاع، والمنتسبين، والهيئات الأكاديمية، وكذلك أي شخص من أي بلد عضو في الاتحاد يرغب في الإسهام في هذا العمل، بمن فيهم الأفراد المنتمون إلى منظمات دولية وإقليمية ووطنية. والمشاركة مجانية.</w:t>
      </w:r>
    </w:p>
    <w:p w14:paraId="65BDAF96" w14:textId="16D366C2" w:rsidR="000E14CE" w:rsidRPr="000E14CE" w:rsidRDefault="000E14CE" w:rsidP="000E14CE">
      <w:pPr>
        <w:rPr>
          <w:lang w:val="ar-SA" w:bidi="ar-SY"/>
        </w:rPr>
      </w:pPr>
      <w:r>
        <w:t>6</w:t>
      </w:r>
      <w:r w:rsidRPr="000E14CE">
        <w:rPr>
          <w:rtl/>
        </w:rPr>
        <w:tab/>
        <w:t>وستُفتتح ورشة العمل في الساعة 09:30 من يوم 12 مايو 2026، على أن يبدأ التسجيل في الساعة 08:30 من اليوم نفسه وفي المكان ذاته. وستُعقد ورشة العمل باللغة الإنكليزية مع توفير الترجمة الشفوية إلى اللغة الفرنسية. كما ستُتاح إمكانية المشاركة عن بُعد، غير أن الترجمة الشفوية لن تكون متاحة للمشاركين عن بُعد.</w:t>
      </w:r>
    </w:p>
    <w:p w14:paraId="390607A0" w14:textId="65E21C02" w:rsidR="000E14CE" w:rsidRPr="000E14CE" w:rsidRDefault="000E14CE" w:rsidP="000E14CE">
      <w:pPr>
        <w:rPr>
          <w:lang w:val="ar-SA" w:bidi="ar-SY"/>
        </w:rPr>
      </w:pPr>
      <w:r>
        <w:t>7</w:t>
      </w:r>
      <w:r w:rsidRPr="000E14CE">
        <w:rPr>
          <w:rtl/>
        </w:rPr>
        <w:tab/>
        <w:t>ستتاح جميع المعلومات ذات الصلة، بما في ذلك المعلومات العملية ومشروع البرنامج، على الموقع الإلكتروني للحدث هنا</w:t>
      </w:r>
      <w:r w:rsidRPr="000E14CE">
        <w:rPr>
          <w:lang w:bidi="ar-SY"/>
        </w:rPr>
        <w:t>:</w:t>
      </w:r>
      <w:r w:rsidRPr="000E14CE">
        <w:rPr>
          <w:rtl/>
        </w:rPr>
        <w:t xml:space="preserve"> </w:t>
      </w:r>
      <w:hyperlink r:id="rId10" w:anchor="/ar" w:history="1">
        <w:r w:rsidRPr="000E14CE">
          <w:rPr>
            <w:rStyle w:val="Hyperlink"/>
            <w:lang w:val="en-GB"/>
          </w:rPr>
          <w:t>https://www.itu.int/en/ITU-T/Workshops-and-S</w:t>
        </w:r>
        <w:r w:rsidRPr="000E14CE">
          <w:rPr>
            <w:rStyle w:val="Hyperlink"/>
            <w:lang w:val="en-GB"/>
          </w:rPr>
          <w:t>e</w:t>
        </w:r>
        <w:r w:rsidRPr="000E14CE">
          <w:rPr>
            <w:rStyle w:val="Hyperlink"/>
            <w:lang w:val="en-GB"/>
          </w:rPr>
          <w:t>minars/qos/20260512/</w:t>
        </w:r>
      </w:hyperlink>
      <w:r w:rsidRPr="000E14CE">
        <w:rPr>
          <w:rtl/>
        </w:rPr>
        <w:t>. وسيُحدَّث الموقع الإلكتروني بانتظام كلما أتيح مزيد من المعلومات، ويُرجى من المشاركين المواظبة على زيارته للاطلاع على المستجدات.</w:t>
      </w:r>
      <w:hyperlink r:id="rId11" w:history="1"/>
    </w:p>
    <w:p w14:paraId="375F61D0" w14:textId="7A975E57" w:rsidR="000E14CE" w:rsidRPr="000E14CE" w:rsidRDefault="000E14CE" w:rsidP="000E14CE">
      <w:pPr>
        <w:rPr>
          <w:lang w:val="ar-SA" w:bidi="ar-SY"/>
        </w:rPr>
      </w:pPr>
      <w:r>
        <w:t>8</w:t>
      </w:r>
      <w:r w:rsidRPr="000E14CE">
        <w:rPr>
          <w:rtl/>
        </w:rPr>
        <w:tab/>
        <w:t xml:space="preserve">ولتمكين مكتب تقييس الاتصالات من اتخاذ الترتيبات اللازمة لتنظيم ورشة العمل، سأكون ممتناً لو تكرمتم بالتسجيل في أقرب وقت ممكن من خلال </w:t>
      </w:r>
      <w:hyperlink r:id="rId12" w:history="1">
        <w:r w:rsidRPr="000E14CE">
          <w:rPr>
            <w:rStyle w:val="Hyperlink"/>
            <w:rtl/>
          </w:rPr>
          <w:t>الاستمارة ا</w:t>
        </w:r>
        <w:r w:rsidRPr="000E14CE">
          <w:rPr>
            <w:rStyle w:val="Hyperlink"/>
            <w:rtl/>
          </w:rPr>
          <w:t>ل</w:t>
        </w:r>
        <w:r w:rsidRPr="000E14CE">
          <w:rPr>
            <w:rStyle w:val="Hyperlink"/>
            <w:rtl/>
          </w:rPr>
          <w:t>إلكترونية</w:t>
        </w:r>
      </w:hyperlink>
      <w:r w:rsidRPr="000E14CE">
        <w:rPr>
          <w:rtl/>
        </w:rPr>
        <w:t xml:space="preserve">. </w:t>
      </w:r>
      <w:r w:rsidRPr="000E14CE">
        <w:rPr>
          <w:b/>
          <w:bCs/>
          <w:rtl/>
        </w:rPr>
        <w:t>ويُرجى العلم بأن التسجيل المسبق للمشاركة في ورشة العمل إلزامي ويجري عبر الإنترنت حصراً.</w:t>
      </w:r>
      <w:hyperlink r:id="rId13" w:history="1"/>
    </w:p>
    <w:p w14:paraId="6138367C" w14:textId="067F302A" w:rsidR="000E14CE" w:rsidRPr="000E14CE" w:rsidRDefault="000E14CE" w:rsidP="000E14CE">
      <w:pPr>
        <w:rPr>
          <w:lang w:val="ar-SA" w:bidi="ar-SY"/>
        </w:rPr>
      </w:pPr>
      <w:r>
        <w:t>9</w:t>
      </w:r>
      <w:r w:rsidRPr="000E14CE">
        <w:rPr>
          <w:rtl/>
        </w:rPr>
        <w:tab/>
        <w:t xml:space="preserve">وأود أن أذكّركم بأن على مواطني بعض البلدان الحصول على تأشيرة للدخول إلى زامبيا وقضاء بعض الوقت فيها. </w:t>
      </w:r>
      <w:r w:rsidRPr="000E14CE">
        <w:rPr>
          <w:b/>
          <w:bCs/>
          <w:rtl/>
        </w:rPr>
        <w:t>ويجب طلب التأشيرة في أقرب وقت ممكن</w:t>
      </w:r>
      <w:r w:rsidRPr="000E14CE">
        <w:rPr>
          <w:rtl/>
        </w:rPr>
        <w:t xml:space="preserve"> والحصول عليها من المكتب (السفارة أو القنصلية) الذي يمثل زامبيا في بلدكم، أو من أقرب مكتب من بلد المغادرة في حالة عدم وجود مثل هذا المكتب في بلدكم. وستُتاح معلومات إضافية بشأن متطلبات التأشيرة على الصفحة الإلكترونية للحدث ضمن قسم </w:t>
      </w:r>
      <w:r>
        <w:rPr>
          <w:rFonts w:hint="cs"/>
          <w:rtl/>
        </w:rPr>
        <w:t>"</w:t>
      </w:r>
      <w:r w:rsidRPr="000E14CE">
        <w:rPr>
          <w:b/>
          <w:bCs/>
          <w:rtl/>
        </w:rPr>
        <w:t>معلومات عملية</w:t>
      </w:r>
      <w:r>
        <w:rPr>
          <w:rFonts w:hint="cs"/>
          <w:rtl/>
        </w:rPr>
        <w:t>"</w:t>
      </w:r>
      <w:r w:rsidRPr="000E14CE">
        <w:rPr>
          <w:rtl/>
        </w:rPr>
        <w:t>.</w:t>
      </w:r>
    </w:p>
    <w:p w14:paraId="1F6C35C3" w14:textId="0AFA28C2" w:rsidR="00E84438" w:rsidRPr="000E14CE" w:rsidRDefault="00FD547D"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6075754B" wp14:editId="0619170C">
            <wp:simplePos x="0" y="0"/>
            <wp:positionH relativeFrom="column">
              <wp:posOffset>5328285</wp:posOffset>
            </wp:positionH>
            <wp:positionV relativeFrom="paragraph">
              <wp:posOffset>333375</wp:posOffset>
            </wp:positionV>
            <wp:extent cx="768389" cy="368319"/>
            <wp:effectExtent l="0" t="0" r="0" b="0"/>
            <wp:wrapNone/>
            <wp:docPr id="25968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80151" name="Picture 259680151"/>
                    <pic:cNvPicPr/>
                  </pic:nvPicPr>
                  <pic:blipFill>
                    <a:blip r:embed="rId1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0E14CE">
        <w:rPr>
          <w:rFonts w:hint="cs"/>
          <w:rtl/>
          <w:lang w:bidi="ar-EG"/>
        </w:rPr>
        <w:t>وتفضلوا بقبول فائق التقدير والاحترام.</w:t>
      </w:r>
    </w:p>
    <w:p w14:paraId="4CAEAB62" w14:textId="6FA79488" w:rsidR="00E84438" w:rsidRPr="00D517B2" w:rsidRDefault="00807031" w:rsidP="008570CE">
      <w:pPr>
        <w:spacing w:before="720"/>
        <w:jc w:val="left"/>
        <w:rPr>
          <w:rtl/>
        </w:rPr>
      </w:pPr>
      <w:r w:rsidRPr="000E14CE">
        <w:rPr>
          <w:rFonts w:hint="cs"/>
          <w:rtl/>
          <w:lang w:bidi="ar-SY"/>
        </w:rPr>
        <w:t>سيزو أونوي</w:t>
      </w:r>
      <w:r w:rsidR="00E84438" w:rsidRPr="000E14CE">
        <w:rPr>
          <w:rtl/>
          <w:lang w:bidi="ar-SY"/>
        </w:rPr>
        <w:br/>
      </w:r>
      <w:r w:rsidR="00E84438" w:rsidRPr="000E14CE">
        <w:rPr>
          <w:rFonts w:hint="cs"/>
          <w:rtl/>
          <w:lang w:bidi="ar-SY"/>
        </w:rPr>
        <w:t>مدير</w:t>
      </w:r>
      <w:r w:rsidR="00E84438" w:rsidRPr="000E14CE">
        <w:rPr>
          <w:rtl/>
          <w:lang w:bidi="ar-SY"/>
        </w:rPr>
        <w:t xml:space="preserve"> </w:t>
      </w:r>
      <w:r w:rsidR="00E84438" w:rsidRPr="000E14CE">
        <w:rPr>
          <w:rFonts w:hint="cs"/>
          <w:rtl/>
          <w:lang w:bidi="ar-SY"/>
        </w:rPr>
        <w:t>مكتب</w:t>
      </w:r>
      <w:r w:rsidR="00E84438" w:rsidRPr="000E14CE">
        <w:rPr>
          <w:rtl/>
          <w:lang w:bidi="ar-SY"/>
        </w:rPr>
        <w:t xml:space="preserve"> </w:t>
      </w:r>
      <w:r w:rsidR="00E84438" w:rsidRPr="000E14CE">
        <w:rPr>
          <w:rFonts w:hint="cs"/>
          <w:rtl/>
          <w:lang w:bidi="ar-SY"/>
        </w:rPr>
        <w:t>تقييس</w:t>
      </w:r>
      <w:r w:rsidR="00E84438" w:rsidRPr="000E14CE">
        <w:rPr>
          <w:rtl/>
          <w:lang w:bidi="ar-SY"/>
        </w:rPr>
        <w:t xml:space="preserve"> </w:t>
      </w:r>
      <w:r w:rsidR="00E84438" w:rsidRPr="000E14CE">
        <w:rPr>
          <w:rFonts w:hint="cs"/>
          <w:rtl/>
          <w:lang w:bidi="ar-SY"/>
        </w:rPr>
        <w:t>الاتصالات</w:t>
      </w:r>
    </w:p>
    <w:sectPr w:rsidR="00E84438" w:rsidRPr="00D517B2" w:rsidSect="008570CE">
      <w:headerReference w:type="default" r:id="rId15"/>
      <w:footerReference w:type="first" r:id="rId16"/>
      <w:type w:val="oddPage"/>
      <w:pgSz w:w="11907" w:h="16840" w:code="9"/>
      <w:pgMar w:top="1418" w:right="1134" w:bottom="810" w:left="1134"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C47D" w14:textId="77777777" w:rsidR="00062F41" w:rsidRDefault="00062F41" w:rsidP="006C3242">
      <w:pPr>
        <w:spacing w:before="0" w:line="240" w:lineRule="auto"/>
      </w:pPr>
      <w:r>
        <w:separator/>
      </w:r>
    </w:p>
  </w:endnote>
  <w:endnote w:type="continuationSeparator" w:id="0">
    <w:p w14:paraId="0A069041" w14:textId="77777777" w:rsidR="00062F41" w:rsidRDefault="00062F4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B0D"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8B0D" w14:textId="77777777" w:rsidR="00062F41" w:rsidRDefault="00062F41" w:rsidP="006C3242">
      <w:pPr>
        <w:spacing w:before="0" w:line="240" w:lineRule="auto"/>
      </w:pPr>
      <w:r>
        <w:separator/>
      </w:r>
    </w:p>
  </w:footnote>
  <w:footnote w:type="continuationSeparator" w:id="0">
    <w:p w14:paraId="516AC406" w14:textId="77777777" w:rsidR="00062F41" w:rsidRDefault="00062F4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5CB" w14:textId="08C72328"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0E14CE">
      <w:rPr>
        <w:sz w:val="20"/>
        <w:szCs w:val="20"/>
        <w:lang w:bidi="ar-EG"/>
      </w:rPr>
      <w:t>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782E4C"/>
    <w:multiLevelType w:val="hybridMultilevel"/>
    <w:tmpl w:val="B7746D14"/>
    <w:lvl w:ilvl="0" w:tplc="544A1C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52489"/>
    <w:multiLevelType w:val="hybridMultilevel"/>
    <w:tmpl w:val="9BE2DE4E"/>
    <w:lvl w:ilvl="0" w:tplc="DBDAC4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 w:numId="12" w16cid:durableId="1162702521">
    <w:abstractNumId w:val="12"/>
  </w:num>
  <w:num w:numId="13" w16cid:durableId="93865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AF"/>
    <w:rsid w:val="00002A63"/>
    <w:rsid w:val="00037216"/>
    <w:rsid w:val="00062F41"/>
    <w:rsid w:val="0006468A"/>
    <w:rsid w:val="00090574"/>
    <w:rsid w:val="000C1C0E"/>
    <w:rsid w:val="000C548A"/>
    <w:rsid w:val="000E14CE"/>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A44AF"/>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F6FA9"/>
    <w:rsid w:val="006019C6"/>
    <w:rsid w:val="00606703"/>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570CE"/>
    <w:rsid w:val="00873469"/>
    <w:rsid w:val="00877F4B"/>
    <w:rsid w:val="00891703"/>
    <w:rsid w:val="008A7F84"/>
    <w:rsid w:val="0091702E"/>
    <w:rsid w:val="00923B0C"/>
    <w:rsid w:val="00926F44"/>
    <w:rsid w:val="0094021C"/>
    <w:rsid w:val="0094432F"/>
    <w:rsid w:val="00952F86"/>
    <w:rsid w:val="00982B28"/>
    <w:rsid w:val="009D313F"/>
    <w:rsid w:val="009F17C2"/>
    <w:rsid w:val="00A47A5A"/>
    <w:rsid w:val="00A6683B"/>
    <w:rsid w:val="00A77C90"/>
    <w:rsid w:val="00A9156F"/>
    <w:rsid w:val="00A97F94"/>
    <w:rsid w:val="00AA7EA2"/>
    <w:rsid w:val="00AB0BC9"/>
    <w:rsid w:val="00AD0037"/>
    <w:rsid w:val="00AF6B5C"/>
    <w:rsid w:val="00B03099"/>
    <w:rsid w:val="00B05BC8"/>
    <w:rsid w:val="00B64B47"/>
    <w:rsid w:val="00B90B39"/>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84366"/>
    <w:rsid w:val="00F85089"/>
    <w:rsid w:val="00F974C5"/>
    <w:rsid w:val="00FA6F46"/>
    <w:rsid w:val="00FD547D"/>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6FD27"/>
  <w15:chartTrackingRefBased/>
  <w15:docId w15:val="{FF87227A-6B62-4F48-8E59-442F0BFB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0E1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Login.aspx?src=Registration&amp;Event=C-000162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Login.aspx?src=Registration&amp;Event=C-000162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qos/20260512/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Workshops-and-Seminars/qos/20260512/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1%20January\30\2600173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10</TotalTime>
  <Pages>2</Pages>
  <Words>680</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عرض أعمال لجنة الدراسات 12 لقطاع تقييس الاتصالات (الأداء وجودة الخدمة (QoS) وج</vt:lpstr>
      <vt:lpstr>-	عرض تطبيق معايير قطاع تقييس الاتصالات ذات الصلة وتقديم توجيهات لواضعي السياسات</vt:lpstr>
      <vt:lpstr>-	تيسير تبادل أفضل الممارسات والخبرات التي يكتسبها أصحاب المصلحة في إفريقيا في م</vt:lpstr>
      <vt:lpstr>-	استكشاف الاتجاهات المتصلة بتقارب الشبكات الثابتة والمتنقلة والساتلية في إفريقي</vt:lpstr>
    </vt:vector>
  </TitlesOfParts>
  <Company>ITU</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5</cp:revision>
  <cp:lastPrinted>2026-02-03T14:14:00Z</cp:lastPrinted>
  <dcterms:created xsi:type="dcterms:W3CDTF">2026-01-30T15:26:00Z</dcterms:created>
  <dcterms:modified xsi:type="dcterms:W3CDTF">2026-02-03T14:14:00Z</dcterms:modified>
</cp:coreProperties>
</file>