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8" w:type="dxa"/>
        <w:tblLayout w:type="fixed"/>
        <w:tblLook w:val="0000" w:firstRow="0" w:lastRow="0" w:firstColumn="0" w:lastColumn="0" w:noHBand="0" w:noVBand="0"/>
      </w:tblPr>
      <w:tblGrid>
        <w:gridCol w:w="1409"/>
        <w:gridCol w:w="3470"/>
        <w:gridCol w:w="5327"/>
      </w:tblGrid>
      <w:tr w:rsidR="007B6316" w14:paraId="57C19FE3" w14:textId="77777777" w:rsidTr="00A2600C">
        <w:trPr>
          <w:cantSplit/>
          <w:trHeight w:val="340"/>
        </w:trPr>
        <w:tc>
          <w:tcPr>
            <w:tcW w:w="1409" w:type="dxa"/>
          </w:tcPr>
          <w:p w14:paraId="4073FDEF"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7AF7EF1A" wp14:editId="149CAE9C">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7" w:type="dxa"/>
            <w:gridSpan w:val="2"/>
            <w:vAlign w:val="center"/>
          </w:tcPr>
          <w:p w14:paraId="3CE1A100"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36EA5B69"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37791E" w14:paraId="29942F58" w14:textId="77777777" w:rsidTr="00A2600C">
        <w:trPr>
          <w:cantSplit/>
          <w:trHeight w:val="340"/>
        </w:trPr>
        <w:tc>
          <w:tcPr>
            <w:tcW w:w="1409" w:type="dxa"/>
          </w:tcPr>
          <w:p w14:paraId="3A1FB203" w14:textId="77777777" w:rsidR="007B6316" w:rsidRPr="007B6316" w:rsidRDefault="007B6316" w:rsidP="00101541">
            <w:pPr>
              <w:spacing w:after="120"/>
            </w:pPr>
          </w:p>
        </w:tc>
        <w:tc>
          <w:tcPr>
            <w:tcW w:w="3470" w:type="dxa"/>
          </w:tcPr>
          <w:p w14:paraId="6CFD022A" w14:textId="77777777" w:rsidR="007B6316" w:rsidRDefault="007B6316" w:rsidP="00101541"/>
        </w:tc>
        <w:tc>
          <w:tcPr>
            <w:tcW w:w="5327" w:type="dxa"/>
          </w:tcPr>
          <w:p w14:paraId="414906BC" w14:textId="1D54817D" w:rsidR="007B6316" w:rsidRPr="0037791E" w:rsidRDefault="007B6316" w:rsidP="00101541">
            <w:pPr>
              <w:rPr>
                <w:lang w:val="pt-BR"/>
              </w:rPr>
            </w:pPr>
            <w:r w:rsidRPr="0037791E">
              <w:rPr>
                <w:lang w:val="pt-BR"/>
              </w:rPr>
              <w:t>Ginebra,</w:t>
            </w:r>
            <w:r w:rsidR="00BA6F31" w:rsidRPr="0037791E">
              <w:rPr>
                <w:lang w:val="pt-BR"/>
              </w:rPr>
              <w:t xml:space="preserve"> </w:t>
            </w:r>
            <w:r w:rsidR="00A0419C">
              <w:rPr>
                <w:lang w:val="pt-BR"/>
              </w:rPr>
              <w:t>21</w:t>
            </w:r>
            <w:r w:rsidR="003C0BC5" w:rsidRPr="0037791E">
              <w:rPr>
                <w:lang w:val="pt-BR"/>
              </w:rPr>
              <w:t xml:space="preserve"> de </w:t>
            </w:r>
            <w:r w:rsidR="00A0419C">
              <w:rPr>
                <w:lang w:val="pt-BR"/>
              </w:rPr>
              <w:t>enero</w:t>
            </w:r>
            <w:r w:rsidR="003C0BC5" w:rsidRPr="0037791E">
              <w:rPr>
                <w:lang w:val="pt-BR"/>
              </w:rPr>
              <w:t xml:space="preserve"> de 202</w:t>
            </w:r>
            <w:r w:rsidR="00A0419C">
              <w:rPr>
                <w:lang w:val="pt-BR"/>
              </w:rPr>
              <w:t>6</w:t>
            </w:r>
          </w:p>
        </w:tc>
      </w:tr>
      <w:tr w:rsidR="001350B9" w14:paraId="2099D7D1" w14:textId="77777777" w:rsidTr="00A2600C">
        <w:trPr>
          <w:cantSplit/>
          <w:trHeight w:val="340"/>
        </w:trPr>
        <w:tc>
          <w:tcPr>
            <w:tcW w:w="1409" w:type="dxa"/>
          </w:tcPr>
          <w:p w14:paraId="6931DA5A" w14:textId="1C97CDAF" w:rsidR="001350B9" w:rsidRPr="00101541" w:rsidRDefault="001350B9" w:rsidP="00101541">
            <w:pPr>
              <w:spacing w:before="40" w:after="40"/>
            </w:pPr>
            <w:r w:rsidRPr="001350B9">
              <w:t>Ref.:</w:t>
            </w:r>
          </w:p>
        </w:tc>
        <w:tc>
          <w:tcPr>
            <w:tcW w:w="3470" w:type="dxa"/>
          </w:tcPr>
          <w:p w14:paraId="71A7171E" w14:textId="58E5567B" w:rsidR="005274C7" w:rsidRPr="005274C7" w:rsidRDefault="005274C7" w:rsidP="005274C7">
            <w:pPr>
              <w:pStyle w:val="Docnumber"/>
            </w:pPr>
            <w:r w:rsidRPr="005274C7">
              <w:t>Circular TSB 108</w:t>
            </w:r>
          </w:p>
          <w:p w14:paraId="6B133364" w14:textId="2910615A" w:rsidR="001350B9" w:rsidRPr="005274C7" w:rsidRDefault="00A0419C" w:rsidP="00101541">
            <w:pPr>
              <w:spacing w:before="0" w:after="40"/>
              <w:rPr>
                <w:lang w:val="pt-BR"/>
              </w:rPr>
            </w:pPr>
            <w:r w:rsidRPr="005274C7">
              <w:rPr>
                <w:lang w:val="pt-BR"/>
              </w:rPr>
              <w:t>SG21/SP</w:t>
            </w:r>
          </w:p>
        </w:tc>
        <w:tc>
          <w:tcPr>
            <w:tcW w:w="5327" w:type="dxa"/>
            <w:vMerge w:val="restart"/>
          </w:tcPr>
          <w:p w14:paraId="43F6A64B" w14:textId="77777777" w:rsidR="00101541" w:rsidRPr="00FB1474" w:rsidRDefault="00101541" w:rsidP="00101541">
            <w:pPr>
              <w:spacing w:before="40" w:after="40"/>
              <w:rPr>
                <w:b/>
                <w:bCs/>
              </w:rPr>
            </w:pPr>
            <w:bookmarkStart w:id="0" w:name="Addressee_S"/>
            <w:bookmarkEnd w:id="0"/>
            <w:r w:rsidRPr="00FB1474">
              <w:rPr>
                <w:b/>
                <w:bCs/>
              </w:rPr>
              <w:t>A:</w:t>
            </w:r>
          </w:p>
          <w:p w14:paraId="6E922D91" w14:textId="77777777" w:rsidR="00A2600C" w:rsidRDefault="00101541" w:rsidP="00A2600C">
            <w:pPr>
              <w:tabs>
                <w:tab w:val="clear" w:pos="794"/>
                <w:tab w:val="left" w:pos="390"/>
              </w:tabs>
              <w:spacing w:before="40" w:after="40"/>
              <w:ind w:left="390" w:hanging="390"/>
            </w:pPr>
            <w:r w:rsidRPr="00153C97">
              <w:t>–</w:t>
            </w:r>
            <w:r w:rsidR="001350B9">
              <w:tab/>
            </w:r>
            <w:r w:rsidR="00A2600C">
              <w:t>las Administraciones de los Estados Miembros de la Unión;</w:t>
            </w:r>
          </w:p>
          <w:p w14:paraId="6DAB6D61" w14:textId="5974A803" w:rsidR="00A2600C" w:rsidRDefault="00A2600C" w:rsidP="00A2600C">
            <w:pPr>
              <w:tabs>
                <w:tab w:val="clear" w:pos="794"/>
                <w:tab w:val="left" w:pos="390"/>
              </w:tabs>
              <w:spacing w:before="40" w:after="40"/>
              <w:ind w:left="390" w:hanging="390"/>
            </w:pPr>
            <w:r w:rsidRPr="00153C97">
              <w:t>–</w:t>
            </w:r>
            <w:r>
              <w:tab/>
              <w:t>el Estado de Palestina (Res. 99 (Rev. Dubái, 2018))</w:t>
            </w:r>
          </w:p>
          <w:p w14:paraId="574E6F85" w14:textId="00F09FF3" w:rsidR="00A2600C" w:rsidRPr="00A2600C" w:rsidRDefault="00A2600C" w:rsidP="00A2600C">
            <w:pPr>
              <w:spacing w:before="40" w:after="40"/>
              <w:rPr>
                <w:b/>
                <w:bCs/>
              </w:rPr>
            </w:pPr>
            <w:r w:rsidRPr="00A2600C">
              <w:rPr>
                <w:b/>
                <w:bCs/>
              </w:rPr>
              <w:t>Copia a:</w:t>
            </w:r>
          </w:p>
          <w:p w14:paraId="173DD067" w14:textId="77777777" w:rsidR="00A0419C" w:rsidRDefault="00A0419C" w:rsidP="00A0419C">
            <w:pPr>
              <w:tabs>
                <w:tab w:val="clear" w:pos="794"/>
                <w:tab w:val="left" w:pos="390"/>
              </w:tabs>
              <w:spacing w:before="40" w:after="40"/>
              <w:ind w:left="390" w:hanging="390"/>
            </w:pPr>
            <w:r w:rsidRPr="00153C97">
              <w:t>–</w:t>
            </w:r>
            <w:r>
              <w:tab/>
              <w:t>los Miembros de Sector del UIT-T;</w:t>
            </w:r>
          </w:p>
          <w:p w14:paraId="66AEC2D1" w14:textId="7E65ED2D" w:rsidR="00A0419C" w:rsidRDefault="00A0419C" w:rsidP="00A0419C">
            <w:pPr>
              <w:tabs>
                <w:tab w:val="clear" w:pos="794"/>
                <w:tab w:val="left" w:pos="390"/>
              </w:tabs>
              <w:spacing w:before="40" w:after="40"/>
              <w:ind w:left="390" w:hanging="390"/>
            </w:pPr>
            <w:r w:rsidRPr="00153C97">
              <w:t>–</w:t>
            </w:r>
            <w:r>
              <w:tab/>
              <w:t xml:space="preserve">los </w:t>
            </w:r>
            <w:r w:rsidRPr="00A0419C">
              <w:t>Asociados de la Comisión de Estudio</w:t>
            </w:r>
            <w:r w:rsidR="00A11B6A">
              <w:t> </w:t>
            </w:r>
            <w:r w:rsidRPr="00A0419C">
              <w:t>21 del</w:t>
            </w:r>
            <w:r>
              <w:t> </w:t>
            </w:r>
            <w:r w:rsidRPr="00A0419C">
              <w:t>UIT-T</w:t>
            </w:r>
            <w:r>
              <w:t>;</w:t>
            </w:r>
          </w:p>
          <w:p w14:paraId="0675BC68" w14:textId="77777777" w:rsidR="00A0419C" w:rsidRDefault="00A0419C" w:rsidP="00A0419C">
            <w:pPr>
              <w:tabs>
                <w:tab w:val="clear" w:pos="794"/>
                <w:tab w:val="left" w:pos="390"/>
              </w:tabs>
              <w:spacing w:before="40" w:after="40"/>
            </w:pPr>
            <w:r w:rsidRPr="00153C97">
              <w:t>–</w:t>
            </w:r>
            <w:r>
              <w:tab/>
              <w:t>las Instituciones Académicas de la UIT</w:t>
            </w:r>
          </w:p>
          <w:p w14:paraId="29D737AE" w14:textId="35F9C3B7" w:rsidR="00A2600C" w:rsidRDefault="00101541" w:rsidP="00A0419C">
            <w:pPr>
              <w:tabs>
                <w:tab w:val="clear" w:pos="794"/>
                <w:tab w:val="left" w:pos="390"/>
              </w:tabs>
              <w:spacing w:before="40" w:after="40"/>
              <w:ind w:left="390" w:hanging="390"/>
            </w:pPr>
            <w:r w:rsidRPr="00153C97">
              <w:t>–</w:t>
            </w:r>
            <w:r w:rsidR="001350B9">
              <w:tab/>
            </w:r>
            <w:r w:rsidR="00A0419C">
              <w:t xml:space="preserve">el </w:t>
            </w:r>
            <w:r w:rsidR="00A0419C" w:rsidRPr="00A0419C">
              <w:rPr>
                <w:lang w:val="es-ES"/>
              </w:rPr>
              <w:t>Presidente y Vicepresidentes de la Comisión de Estudio</w:t>
            </w:r>
            <w:r w:rsidR="00A0419C">
              <w:rPr>
                <w:lang w:val="es-ES"/>
              </w:rPr>
              <w:t> </w:t>
            </w:r>
            <w:r w:rsidR="00A0419C" w:rsidRPr="00A0419C">
              <w:rPr>
                <w:lang w:val="es-ES"/>
              </w:rPr>
              <w:t>21 del UIT-T</w:t>
            </w:r>
            <w:r w:rsidR="00A2600C">
              <w:t>;</w:t>
            </w:r>
          </w:p>
          <w:p w14:paraId="407FCD73" w14:textId="032C9547" w:rsidR="00A2600C" w:rsidRDefault="00A2600C" w:rsidP="00A2600C">
            <w:pPr>
              <w:tabs>
                <w:tab w:val="clear" w:pos="794"/>
                <w:tab w:val="left" w:pos="390"/>
              </w:tabs>
              <w:spacing w:before="40" w:after="40"/>
              <w:ind w:left="390" w:hanging="390"/>
            </w:pPr>
            <w:r w:rsidRPr="00153C97">
              <w:t>–</w:t>
            </w:r>
            <w:r>
              <w:tab/>
              <w:t>el Director de la Oficina de Desarrollo de las Telecomunicaciones;</w:t>
            </w:r>
          </w:p>
          <w:p w14:paraId="4E2FF369" w14:textId="18421C50" w:rsidR="001350B9" w:rsidRDefault="00A2600C" w:rsidP="00A0419C">
            <w:pPr>
              <w:tabs>
                <w:tab w:val="clear" w:pos="794"/>
                <w:tab w:val="left" w:pos="390"/>
              </w:tabs>
              <w:spacing w:before="40" w:after="40"/>
              <w:ind w:left="390" w:hanging="390"/>
            </w:pPr>
            <w:r w:rsidRPr="00153C97">
              <w:t>–</w:t>
            </w:r>
            <w:r>
              <w:tab/>
              <w:t>el Director de la Oficina de Radiocomunicaciones</w:t>
            </w:r>
          </w:p>
        </w:tc>
      </w:tr>
      <w:tr w:rsidR="001350B9" w14:paraId="1A010FF9" w14:textId="77777777" w:rsidTr="00A2600C">
        <w:trPr>
          <w:cantSplit/>
        </w:trPr>
        <w:tc>
          <w:tcPr>
            <w:tcW w:w="1409" w:type="dxa"/>
          </w:tcPr>
          <w:p w14:paraId="48F92A24" w14:textId="77777777" w:rsidR="001350B9" w:rsidRPr="00101541" w:rsidRDefault="001350B9" w:rsidP="00101541">
            <w:pPr>
              <w:spacing w:before="40" w:after="40"/>
            </w:pPr>
            <w:r w:rsidRPr="00101541">
              <w:t>Tel.:</w:t>
            </w:r>
          </w:p>
        </w:tc>
        <w:tc>
          <w:tcPr>
            <w:tcW w:w="3470" w:type="dxa"/>
          </w:tcPr>
          <w:p w14:paraId="19D29048" w14:textId="2AC5C6AF" w:rsidR="001350B9" w:rsidRPr="00101541" w:rsidRDefault="00A0419C" w:rsidP="00101541">
            <w:pPr>
              <w:spacing w:before="40" w:after="40"/>
            </w:pPr>
            <w:r w:rsidRPr="00A0419C">
              <w:t>+41 22 730 5858</w:t>
            </w:r>
          </w:p>
        </w:tc>
        <w:tc>
          <w:tcPr>
            <w:tcW w:w="5327" w:type="dxa"/>
            <w:vMerge/>
          </w:tcPr>
          <w:p w14:paraId="3DF5CE88" w14:textId="77777777" w:rsidR="001350B9" w:rsidRDefault="001350B9" w:rsidP="00303D62">
            <w:pPr>
              <w:tabs>
                <w:tab w:val="left" w:pos="226"/>
                <w:tab w:val="left" w:pos="510"/>
              </w:tabs>
              <w:spacing w:before="0"/>
              <w:ind w:left="226" w:hanging="169"/>
              <w:rPr>
                <w:b/>
              </w:rPr>
            </w:pPr>
          </w:p>
        </w:tc>
      </w:tr>
      <w:tr w:rsidR="001350B9" w14:paraId="07D56EDD" w14:textId="77777777" w:rsidTr="00A2600C">
        <w:trPr>
          <w:cantSplit/>
        </w:trPr>
        <w:tc>
          <w:tcPr>
            <w:tcW w:w="1409" w:type="dxa"/>
          </w:tcPr>
          <w:p w14:paraId="35CE91C2" w14:textId="77777777" w:rsidR="001350B9" w:rsidRPr="00101541" w:rsidRDefault="001350B9" w:rsidP="00101541">
            <w:pPr>
              <w:spacing w:before="40" w:after="40"/>
            </w:pPr>
            <w:r w:rsidRPr="00101541">
              <w:t>Fax:</w:t>
            </w:r>
          </w:p>
        </w:tc>
        <w:tc>
          <w:tcPr>
            <w:tcW w:w="3470" w:type="dxa"/>
          </w:tcPr>
          <w:p w14:paraId="50BA9232" w14:textId="77777777" w:rsidR="001350B9" w:rsidRPr="00101541" w:rsidRDefault="001350B9" w:rsidP="00101541">
            <w:pPr>
              <w:spacing w:before="40" w:after="40"/>
            </w:pPr>
            <w:r>
              <w:t>+41 22 730 5853</w:t>
            </w:r>
          </w:p>
        </w:tc>
        <w:tc>
          <w:tcPr>
            <w:tcW w:w="5327" w:type="dxa"/>
            <w:vMerge/>
          </w:tcPr>
          <w:p w14:paraId="20877663" w14:textId="77777777" w:rsidR="001350B9" w:rsidRDefault="001350B9" w:rsidP="00303D62">
            <w:pPr>
              <w:tabs>
                <w:tab w:val="left" w:pos="226"/>
                <w:tab w:val="left" w:pos="510"/>
              </w:tabs>
              <w:spacing w:before="0"/>
              <w:ind w:left="226" w:hanging="169"/>
              <w:rPr>
                <w:b/>
              </w:rPr>
            </w:pPr>
          </w:p>
        </w:tc>
      </w:tr>
      <w:tr w:rsidR="001350B9" w14:paraId="30FF827C" w14:textId="77777777" w:rsidTr="00A2600C">
        <w:trPr>
          <w:cantSplit/>
        </w:trPr>
        <w:tc>
          <w:tcPr>
            <w:tcW w:w="1409" w:type="dxa"/>
          </w:tcPr>
          <w:p w14:paraId="220ABEEC" w14:textId="77777777" w:rsidR="001350B9" w:rsidRPr="00101541" w:rsidRDefault="001350B9" w:rsidP="00101541">
            <w:pPr>
              <w:spacing w:before="40" w:after="40"/>
            </w:pPr>
            <w:r w:rsidRPr="00101541">
              <w:t>Correo-e:</w:t>
            </w:r>
          </w:p>
        </w:tc>
        <w:tc>
          <w:tcPr>
            <w:tcW w:w="3470" w:type="dxa"/>
          </w:tcPr>
          <w:p w14:paraId="114B24C6" w14:textId="343A832B" w:rsidR="001350B9" w:rsidRDefault="00A0419C" w:rsidP="00101541">
            <w:pPr>
              <w:spacing w:before="40" w:after="40"/>
            </w:pPr>
            <w:hyperlink r:id="rId9" w:history="1">
              <w:r w:rsidRPr="00B5220D">
                <w:rPr>
                  <w:rStyle w:val="Hyperlink"/>
                </w:rPr>
                <w:t>tsbsg21@itu.int</w:t>
              </w:r>
            </w:hyperlink>
          </w:p>
        </w:tc>
        <w:tc>
          <w:tcPr>
            <w:tcW w:w="5327" w:type="dxa"/>
            <w:vMerge/>
          </w:tcPr>
          <w:p w14:paraId="0ACE8CE2" w14:textId="77777777" w:rsidR="001350B9" w:rsidRDefault="001350B9" w:rsidP="00303D62">
            <w:pPr>
              <w:tabs>
                <w:tab w:val="clear" w:pos="794"/>
                <w:tab w:val="clear" w:pos="1191"/>
                <w:tab w:val="clear" w:pos="1588"/>
                <w:tab w:val="clear" w:pos="1985"/>
                <w:tab w:val="left" w:pos="226"/>
                <w:tab w:val="left" w:pos="510"/>
              </w:tabs>
              <w:spacing w:before="0"/>
              <w:ind w:left="226" w:hanging="169"/>
            </w:pPr>
          </w:p>
        </w:tc>
      </w:tr>
      <w:tr w:rsidR="007B6316" w14:paraId="7F4E66DD" w14:textId="77777777" w:rsidTr="00A2600C">
        <w:trPr>
          <w:cantSplit/>
        </w:trPr>
        <w:tc>
          <w:tcPr>
            <w:tcW w:w="1409" w:type="dxa"/>
          </w:tcPr>
          <w:p w14:paraId="7BBE0879" w14:textId="77777777" w:rsidR="007B6316" w:rsidRPr="00101541" w:rsidRDefault="007B6316" w:rsidP="00101541">
            <w:r w:rsidRPr="00101541">
              <w:t>Asunto:</w:t>
            </w:r>
          </w:p>
        </w:tc>
        <w:tc>
          <w:tcPr>
            <w:tcW w:w="8797" w:type="dxa"/>
            <w:gridSpan w:val="2"/>
          </w:tcPr>
          <w:p w14:paraId="445801EB" w14:textId="21DBA82C" w:rsidR="007B6316" w:rsidRPr="00A2600C" w:rsidRDefault="00A0419C" w:rsidP="00A0419C">
            <w:pPr>
              <w:rPr>
                <w:b/>
                <w:bCs/>
              </w:rPr>
            </w:pPr>
            <w:r w:rsidRPr="00A0419C">
              <w:rPr>
                <w:b/>
                <w:bCs/>
                <w:lang w:val="es-ES"/>
              </w:rPr>
              <w:t>Consulta a los Estados Miembros sobre los proyectos de Recomendación determinada UIT</w:t>
            </w:r>
            <w:bookmarkStart w:id="1" w:name="_Hlk141708040"/>
            <w:r w:rsidRPr="00A0419C">
              <w:rPr>
                <w:b/>
                <w:bCs/>
                <w:lang w:val="es-ES"/>
              </w:rPr>
              <w:t xml:space="preserve">-T H.862.9 (ex F.HR-AP), F.748.39 (ex F.AICP-FRRC), F.748.75 (ex F.MTTIR), F.748.76 (ex F.AI-RFSSMA) y J.1043 (ex J.DRMVA-rbst) </w:t>
            </w:r>
            <w:bookmarkEnd w:id="1"/>
            <w:r w:rsidRPr="00A0419C">
              <w:rPr>
                <w:b/>
                <w:bCs/>
                <w:lang w:val="es-ES"/>
              </w:rPr>
              <w:t>propuestos para su aprobación en la reunión de la Comisión de Estudio</w:t>
            </w:r>
            <w:r w:rsidR="00C67459">
              <w:rPr>
                <w:b/>
                <w:bCs/>
                <w:lang w:val="es-ES"/>
              </w:rPr>
              <w:t> </w:t>
            </w:r>
            <w:r w:rsidRPr="00A0419C">
              <w:rPr>
                <w:b/>
                <w:bCs/>
                <w:lang w:val="es-ES"/>
              </w:rPr>
              <w:t>21 del UIT-T (prevista en Ginebra, 6-17 de julio de</w:t>
            </w:r>
            <w:r w:rsidR="003B4902">
              <w:rPr>
                <w:b/>
                <w:bCs/>
                <w:lang w:val="es-ES"/>
              </w:rPr>
              <w:t> </w:t>
            </w:r>
            <w:r w:rsidRPr="00A0419C">
              <w:rPr>
                <w:b/>
                <w:bCs/>
                <w:lang w:val="es-ES"/>
              </w:rPr>
              <w:t>2026)</w:t>
            </w:r>
          </w:p>
        </w:tc>
      </w:tr>
    </w:tbl>
    <w:p w14:paraId="7DCD2BF6" w14:textId="77777777" w:rsidR="00C34772" w:rsidRDefault="00C34772" w:rsidP="00101541">
      <w:pPr>
        <w:pStyle w:val="Normalaftertitle"/>
      </w:pPr>
      <w:bookmarkStart w:id="2" w:name="StartTyping_S"/>
      <w:bookmarkStart w:id="3" w:name="suitetext"/>
      <w:bookmarkStart w:id="4" w:name="text"/>
      <w:bookmarkEnd w:id="2"/>
      <w:bookmarkEnd w:id="3"/>
      <w:bookmarkEnd w:id="4"/>
      <w:r>
        <w:t>Muy Señora mía/Muy Señor mío:</w:t>
      </w:r>
    </w:p>
    <w:p w14:paraId="1FC0E09C" w14:textId="27AEB0BB" w:rsidR="00A0419C" w:rsidRPr="00A0419C" w:rsidRDefault="00A0419C" w:rsidP="00A0419C">
      <w:pPr>
        <w:rPr>
          <w:lang w:val="es-ES"/>
        </w:rPr>
      </w:pPr>
      <w:r w:rsidRPr="00A0419C">
        <w:rPr>
          <w:bCs/>
          <w:lang w:val="es-ES"/>
        </w:rPr>
        <w:t>1</w:t>
      </w:r>
      <w:r w:rsidRPr="00A0419C">
        <w:rPr>
          <w:lang w:val="es-ES"/>
        </w:rPr>
        <w:tab/>
        <w:t>La Comisión de Estudio</w:t>
      </w:r>
      <w:r w:rsidR="00E72BA8">
        <w:rPr>
          <w:lang w:val="es-ES"/>
        </w:rPr>
        <w:t> </w:t>
      </w:r>
      <w:r w:rsidRPr="00A0419C">
        <w:rPr>
          <w:lang w:val="es-ES"/>
        </w:rPr>
        <w:t>21 del UIT</w:t>
      </w:r>
      <w:r w:rsidR="003B4902">
        <w:rPr>
          <w:lang w:val="es-ES"/>
        </w:rPr>
        <w:noBreakHyphen/>
      </w:r>
      <w:r w:rsidRPr="00A0419C">
        <w:rPr>
          <w:lang w:val="es-ES"/>
        </w:rPr>
        <w:t>T (Tecnologías para los multimedios, la entrega de contenidos y la televisión por cable) tiene la intención de aplicar el procedimiento de aprobación tradicional descrito en la Sección</w:t>
      </w:r>
      <w:r w:rsidR="00E72BA8">
        <w:rPr>
          <w:lang w:val="es-ES"/>
        </w:rPr>
        <w:t> </w:t>
      </w:r>
      <w:r w:rsidRPr="00A0419C">
        <w:rPr>
          <w:lang w:val="es-ES"/>
        </w:rPr>
        <w:t>9 de la Resolución</w:t>
      </w:r>
      <w:r w:rsidR="00E72BA8">
        <w:rPr>
          <w:lang w:val="es-ES"/>
        </w:rPr>
        <w:t> </w:t>
      </w:r>
      <w:r w:rsidRPr="00A0419C">
        <w:rPr>
          <w:lang w:val="es-ES"/>
        </w:rPr>
        <w:t>1 (Rev.</w:t>
      </w:r>
      <w:r w:rsidR="00E72BA8">
        <w:rPr>
          <w:lang w:val="es-ES"/>
        </w:rPr>
        <w:t> </w:t>
      </w:r>
      <w:r w:rsidRPr="00A0419C">
        <w:rPr>
          <w:lang w:val="es-ES"/>
        </w:rPr>
        <w:t>Ginebra,</w:t>
      </w:r>
      <w:r w:rsidR="00E72BA8">
        <w:rPr>
          <w:lang w:val="es-ES"/>
        </w:rPr>
        <w:t> </w:t>
      </w:r>
      <w:r w:rsidRPr="00A0419C">
        <w:rPr>
          <w:lang w:val="es-ES"/>
        </w:rPr>
        <w:t>2022) de la</w:t>
      </w:r>
      <w:r w:rsidR="00E72BA8">
        <w:rPr>
          <w:lang w:val="es-ES"/>
        </w:rPr>
        <w:t> </w:t>
      </w:r>
      <w:r w:rsidRPr="00A0419C">
        <w:rPr>
          <w:lang w:val="es-ES"/>
        </w:rPr>
        <w:t>AMNT para la aprobación de los proyectos de Recomendación citados durante su próxima reunión, prevista en Ginebra del 6 al 17 de julio de</w:t>
      </w:r>
      <w:r w:rsidR="00E72BA8">
        <w:rPr>
          <w:lang w:val="es-ES"/>
        </w:rPr>
        <w:t> </w:t>
      </w:r>
      <w:r w:rsidRPr="00A0419C">
        <w:rPr>
          <w:lang w:val="es-ES"/>
        </w:rPr>
        <w:t>2026. El orden del día y toda la información pertinente sobre la reunión de la Comisión de Estudio</w:t>
      </w:r>
      <w:r w:rsidR="00E72BA8">
        <w:rPr>
          <w:lang w:val="es-ES"/>
        </w:rPr>
        <w:t> </w:t>
      </w:r>
      <w:r w:rsidRPr="00A0419C">
        <w:rPr>
          <w:lang w:val="es-ES"/>
        </w:rPr>
        <w:t>21 del UIT-T figurarán en una Carta Colectiva que recibirá en breve.</w:t>
      </w:r>
    </w:p>
    <w:p w14:paraId="457585C1" w14:textId="1FBB25B0" w:rsidR="00A0419C" w:rsidRPr="00A0419C" w:rsidRDefault="00A0419C" w:rsidP="00A0419C">
      <w:pPr>
        <w:rPr>
          <w:rtl/>
        </w:rPr>
      </w:pPr>
      <w:r w:rsidRPr="00A0419C">
        <w:rPr>
          <w:bCs/>
          <w:lang w:val="es-ES"/>
        </w:rPr>
        <w:t>2</w:t>
      </w:r>
      <w:r w:rsidRPr="00A0419C">
        <w:rPr>
          <w:lang w:val="es-ES"/>
        </w:rPr>
        <w:tab/>
        <w:t xml:space="preserve">El </w:t>
      </w:r>
      <w:r w:rsidRPr="00A0419C">
        <w:rPr>
          <w:b/>
          <w:bCs/>
          <w:lang w:val="es-ES"/>
        </w:rPr>
        <w:t>Anexo</w:t>
      </w:r>
      <w:r w:rsidR="00E72BA8">
        <w:rPr>
          <w:b/>
          <w:bCs/>
          <w:lang w:val="es-ES"/>
        </w:rPr>
        <w:t> </w:t>
      </w:r>
      <w:r w:rsidRPr="00A0419C">
        <w:rPr>
          <w:b/>
          <w:bCs/>
          <w:lang w:val="es-ES"/>
        </w:rPr>
        <w:t>1</w:t>
      </w:r>
      <w:r w:rsidRPr="00A0419C">
        <w:rPr>
          <w:lang w:val="es-ES"/>
        </w:rPr>
        <w:t xml:space="preserve"> contiene los títulos, resúmenes y ubicaciones de los proyectos de Recomendaciones del UIT-T propuestos para su aprobación.</w:t>
      </w:r>
    </w:p>
    <w:p w14:paraId="48992916" w14:textId="13344EE7" w:rsidR="00A0419C" w:rsidRPr="00A0419C" w:rsidRDefault="00A0419C" w:rsidP="00E72BA8">
      <w:pPr>
        <w:pStyle w:val="Note"/>
        <w:rPr>
          <w:lang w:val="es-ES"/>
        </w:rPr>
      </w:pPr>
      <w:r w:rsidRPr="00A0419C">
        <w:rPr>
          <w:lang w:val="es-ES"/>
        </w:rPr>
        <w:t>NOTA</w:t>
      </w:r>
      <w:r w:rsidR="00E72BA8">
        <w:rPr>
          <w:lang w:val="es-ES"/>
        </w:rPr>
        <w:t> </w:t>
      </w:r>
      <w:r w:rsidRPr="00A0419C">
        <w:rPr>
          <w:lang w:val="es-ES"/>
        </w:rPr>
        <w:t>1 – Actualmente no se requiere justificación con arreglo a la Recomendación</w:t>
      </w:r>
      <w:r w:rsidR="003B4902">
        <w:rPr>
          <w:lang w:val="es-ES"/>
        </w:rPr>
        <w:t> </w:t>
      </w:r>
      <w:r w:rsidRPr="00A0419C">
        <w:rPr>
          <w:lang w:val="es-ES"/>
        </w:rPr>
        <w:t>UIT</w:t>
      </w:r>
      <w:r w:rsidR="003B4902">
        <w:rPr>
          <w:lang w:val="es-ES"/>
        </w:rPr>
        <w:noBreakHyphen/>
      </w:r>
      <w:r w:rsidRPr="00A0419C">
        <w:rPr>
          <w:lang w:val="es-ES"/>
        </w:rPr>
        <w:t>T A.5 para estos proyectos de Recomendaciones.</w:t>
      </w:r>
    </w:p>
    <w:p w14:paraId="36CA0104" w14:textId="1E88A08B" w:rsidR="00A0419C" w:rsidRPr="00A0419C" w:rsidRDefault="00A0419C" w:rsidP="00A0419C">
      <w:pPr>
        <w:rPr>
          <w:lang w:val="es-ES"/>
        </w:rPr>
      </w:pPr>
      <w:r w:rsidRPr="00A0419C">
        <w:rPr>
          <w:bCs/>
          <w:lang w:val="es-ES"/>
        </w:rPr>
        <w:t>3</w:t>
      </w:r>
      <w:r w:rsidRPr="00A0419C">
        <w:rPr>
          <w:lang w:val="es-ES"/>
        </w:rPr>
        <w:tab/>
        <w:t>Con esta Circular se inicia la consulta oficial con los Estados Miembros de la</w:t>
      </w:r>
      <w:r w:rsidR="00E72BA8">
        <w:rPr>
          <w:lang w:val="es-ES"/>
        </w:rPr>
        <w:t> </w:t>
      </w:r>
      <w:r w:rsidRPr="00A0419C">
        <w:rPr>
          <w:lang w:val="es-ES"/>
        </w:rPr>
        <w:t>UIT sobre si estos textos pueden considerarse para aprobación en la próxima reunión, de acuerdo con la cláusula</w:t>
      </w:r>
      <w:r w:rsidR="00E72BA8">
        <w:rPr>
          <w:lang w:val="es-ES"/>
        </w:rPr>
        <w:t> </w:t>
      </w:r>
      <w:r w:rsidRPr="00A0419C">
        <w:rPr>
          <w:lang w:val="es-ES"/>
        </w:rPr>
        <w:t>9.4 de la Resolución</w:t>
      </w:r>
      <w:r w:rsidR="00E72BA8">
        <w:rPr>
          <w:lang w:val="es-ES"/>
        </w:rPr>
        <w:t> </w:t>
      </w:r>
      <w:r w:rsidRPr="00A0419C">
        <w:rPr>
          <w:lang w:val="es-ES"/>
        </w:rPr>
        <w:t xml:space="preserve">1. Se ruega a los Estados Miembros que cumplimenten y devuelvan el formulario del </w:t>
      </w:r>
      <w:r w:rsidRPr="00A0419C">
        <w:rPr>
          <w:b/>
          <w:bCs/>
          <w:lang w:val="es-ES"/>
        </w:rPr>
        <w:t>Anexo</w:t>
      </w:r>
      <w:r w:rsidR="00E72BA8">
        <w:rPr>
          <w:b/>
          <w:bCs/>
          <w:lang w:val="es-ES"/>
        </w:rPr>
        <w:t> </w:t>
      </w:r>
      <w:r w:rsidRPr="00A0419C">
        <w:rPr>
          <w:b/>
          <w:bCs/>
          <w:lang w:val="es-ES"/>
        </w:rPr>
        <w:t xml:space="preserve">2 </w:t>
      </w:r>
      <w:r w:rsidRPr="00A0419C">
        <w:rPr>
          <w:lang w:val="es-ES"/>
        </w:rPr>
        <w:t>antes de las 23.59</w:t>
      </w:r>
      <w:r w:rsidR="00E72BA8">
        <w:rPr>
          <w:lang w:val="es-ES"/>
        </w:rPr>
        <w:t> </w:t>
      </w:r>
      <w:r w:rsidRPr="00A0419C">
        <w:rPr>
          <w:lang w:val="es-ES"/>
        </w:rPr>
        <w:t xml:space="preserve">horas UTC del </w:t>
      </w:r>
      <w:r w:rsidRPr="00A0419C">
        <w:rPr>
          <w:b/>
          <w:bCs/>
          <w:lang w:val="es-ES"/>
        </w:rPr>
        <w:t>24 de junio de 2026</w:t>
      </w:r>
      <w:r w:rsidRPr="00A0419C">
        <w:rPr>
          <w:lang w:val="es-ES"/>
        </w:rPr>
        <w:t>.</w:t>
      </w:r>
    </w:p>
    <w:p w14:paraId="697A9581" w14:textId="514402BA" w:rsidR="00A0419C" w:rsidRPr="00A0419C" w:rsidRDefault="00A0419C" w:rsidP="00A0419C">
      <w:pPr>
        <w:rPr>
          <w:lang w:val="es-ES"/>
        </w:rPr>
      </w:pPr>
      <w:r w:rsidRPr="00A0419C">
        <w:rPr>
          <w:bCs/>
          <w:lang w:val="es-ES"/>
        </w:rPr>
        <w:lastRenderedPageBreak/>
        <w:t>4</w:t>
      </w:r>
      <w:r w:rsidRPr="00A0419C">
        <w:rPr>
          <w:lang w:val="es-ES"/>
        </w:rPr>
        <w:tab/>
        <w:t>Si al menos el 70</w:t>
      </w:r>
      <w:r w:rsidR="00E72BA8">
        <w:rPr>
          <w:lang w:val="es-ES"/>
        </w:rPr>
        <w:t> </w:t>
      </w:r>
      <w:r w:rsidRPr="00A0419C">
        <w:rPr>
          <w:lang w:val="es-ES"/>
        </w:rPr>
        <w:t>% de las respuestas de los Estados Miembros es favorable a que se considere la aprobación, se dedicará una Sesión Plenaria a la aplicación del procedimiento de aprobación. Los Estados Miembros que no otorguen autoridad para proceder deben informar al Director de la</w:t>
      </w:r>
      <w:r w:rsidR="00E72BA8">
        <w:rPr>
          <w:lang w:val="es-ES"/>
        </w:rPr>
        <w:t> </w:t>
      </w:r>
      <w:r w:rsidRPr="00A0419C">
        <w:rPr>
          <w:lang w:val="es-ES"/>
        </w:rPr>
        <w:t>TSB de los motivos de su decisión e indicar los posibles cambios que harían posible el avance de los trabajos.</w:t>
      </w:r>
    </w:p>
    <w:p w14:paraId="0D1F7B10" w14:textId="77777777" w:rsidR="0037791E" w:rsidRPr="00081FE5" w:rsidRDefault="0037791E" w:rsidP="0037791E">
      <w:r w:rsidRPr="00081FE5">
        <w:t>Atentamente,</w:t>
      </w:r>
    </w:p>
    <w:p w14:paraId="0BC0BAA8" w14:textId="77777777" w:rsidR="0037791E" w:rsidRPr="00101541" w:rsidRDefault="0037791E" w:rsidP="0037791E">
      <w:pPr>
        <w:spacing w:before="480" w:after="480"/>
        <w:rPr>
          <w:i/>
          <w:iCs/>
          <w:sz w:val="28"/>
          <w:szCs w:val="22"/>
        </w:rPr>
      </w:pPr>
      <w:r w:rsidRPr="00101541">
        <w:rPr>
          <w:i/>
          <w:iCs/>
        </w:rPr>
        <w:t>(firmado)</w:t>
      </w:r>
    </w:p>
    <w:p w14:paraId="7BC56817" w14:textId="77777777" w:rsidR="0037791E" w:rsidRPr="00101541" w:rsidRDefault="0037791E" w:rsidP="0037791E">
      <w:r w:rsidRPr="00BC3052">
        <w:t>Seizo Onoe</w:t>
      </w:r>
      <w:r w:rsidRPr="00081FE5">
        <w:br/>
        <w:t xml:space="preserve">Director de la Oficina de </w:t>
      </w:r>
      <w:r w:rsidRPr="00081FE5">
        <w:br/>
        <w:t>Normalización de las Telecomunicaciones</w:t>
      </w:r>
    </w:p>
    <w:p w14:paraId="043D567F" w14:textId="0E59E82B" w:rsidR="00A2600C" w:rsidRPr="00A0419C" w:rsidRDefault="00A2600C" w:rsidP="00A2600C">
      <w:pPr>
        <w:spacing w:before="1080"/>
        <w:ind w:right="91"/>
        <w:rPr>
          <w:lang w:val="es-ES"/>
        </w:rPr>
      </w:pPr>
      <w:r w:rsidRPr="00A0419C">
        <w:rPr>
          <w:b/>
          <w:bCs/>
          <w:lang w:val="es-ES"/>
        </w:rPr>
        <w:t>Anexo</w:t>
      </w:r>
      <w:r w:rsidR="0037791E" w:rsidRPr="00A0419C">
        <w:rPr>
          <w:b/>
          <w:bCs/>
          <w:lang w:val="es-ES"/>
        </w:rPr>
        <w:t>s</w:t>
      </w:r>
      <w:r w:rsidRPr="00A0419C">
        <w:rPr>
          <w:lang w:val="es-ES"/>
        </w:rPr>
        <w:t xml:space="preserve">: </w:t>
      </w:r>
      <w:r w:rsidR="00A0419C" w:rsidRPr="00A0419C">
        <w:rPr>
          <w:lang w:val="es-ES"/>
        </w:rPr>
        <w:t>2</w:t>
      </w:r>
    </w:p>
    <w:p w14:paraId="5F163E18" w14:textId="7358FA5A" w:rsidR="00101541" w:rsidRPr="00A0419C" w:rsidRDefault="00101541" w:rsidP="00101541">
      <w:pPr>
        <w:rPr>
          <w:lang w:val="es-ES"/>
        </w:rPr>
      </w:pPr>
      <w:r w:rsidRPr="00A0419C">
        <w:rPr>
          <w:lang w:val="es-ES"/>
        </w:rPr>
        <w:br w:type="page"/>
      </w:r>
    </w:p>
    <w:p w14:paraId="284633C0" w14:textId="01A77D6D" w:rsidR="00A2600C" w:rsidRPr="00A0419C" w:rsidRDefault="00A2600C" w:rsidP="00A0419C">
      <w:pPr>
        <w:pStyle w:val="AnnexNotitle"/>
        <w:rPr>
          <w:lang w:val="es-ES"/>
        </w:rPr>
      </w:pPr>
      <w:r w:rsidRPr="00A0419C">
        <w:rPr>
          <w:lang w:val="es-ES"/>
        </w:rPr>
        <w:lastRenderedPageBreak/>
        <w:t>ANEXO</w:t>
      </w:r>
      <w:bookmarkStart w:id="5" w:name="_Toc199956517"/>
      <w:r w:rsidRPr="00A0419C">
        <w:rPr>
          <w:lang w:val="es-ES"/>
        </w:rPr>
        <w:t xml:space="preserve"> </w:t>
      </w:r>
      <w:r w:rsidR="00A0419C" w:rsidRPr="00A0419C">
        <w:rPr>
          <w:lang w:val="es-ES"/>
        </w:rPr>
        <w:t>1</w:t>
      </w:r>
      <w:r w:rsidRPr="00A0419C">
        <w:rPr>
          <w:lang w:val="es-ES"/>
        </w:rPr>
        <w:br/>
      </w:r>
      <w:bookmarkEnd w:id="5"/>
      <w:r w:rsidR="00A0419C" w:rsidRPr="00A0419C">
        <w:rPr>
          <w:lang w:val="es-ES"/>
        </w:rPr>
        <w:t xml:space="preserve">Resumen y ubicación de los proyectos de Recomendación determinada </w:t>
      </w:r>
      <w:r w:rsidR="00A0419C" w:rsidRPr="00A0419C">
        <w:rPr>
          <w:lang w:val="es-ES"/>
        </w:rPr>
        <w:br/>
        <w:t xml:space="preserve">UIT-T H.862.9 (ex F.HR-AP), F.748.39 (ex F.AICP-FRRC), F.748.75 (ex F.MTTIR), F.748.76 (ex F.AI-RFSSMA) </w:t>
      </w:r>
      <w:r w:rsidR="00A0419C" w:rsidRPr="00A0419C">
        <w:rPr>
          <w:bCs/>
          <w:lang w:val="es-ES"/>
        </w:rPr>
        <w:t>y</w:t>
      </w:r>
      <w:r w:rsidR="00A0419C" w:rsidRPr="00A0419C">
        <w:rPr>
          <w:lang w:val="es-ES"/>
        </w:rPr>
        <w:t xml:space="preserve"> J.1043 (ex J.DRMVA-rbst)</w:t>
      </w:r>
    </w:p>
    <w:p w14:paraId="49CA91C5" w14:textId="3A8624AE" w:rsidR="00A0419C" w:rsidRPr="00A0419C" w:rsidRDefault="00A0419C" w:rsidP="00A0419C">
      <w:pPr>
        <w:pStyle w:val="Heading1"/>
        <w:rPr>
          <w:lang w:val="es-ES"/>
        </w:rPr>
      </w:pPr>
      <w:bookmarkStart w:id="6" w:name="_Hlk205379990"/>
      <w:r w:rsidRPr="00A0419C">
        <w:rPr>
          <w:lang w:val="es-ES"/>
        </w:rPr>
        <w:t>1</w:t>
      </w:r>
      <w:r w:rsidRPr="00A0419C">
        <w:rPr>
          <w:lang w:val="es-ES"/>
        </w:rPr>
        <w:tab/>
        <w:t>Proyecto de nueva Recomendación UIT-T H.862.9 (ex F.HR-AP) [</w:t>
      </w:r>
      <w:hyperlink r:id="rId10" w:history="1">
        <w:r w:rsidRPr="00A0419C">
          <w:rPr>
            <w:rStyle w:val="Hyperlink"/>
            <w:lang w:val="es-ES"/>
          </w:rPr>
          <w:t>SG21</w:t>
        </w:r>
        <w:r w:rsidRPr="00A0419C">
          <w:rPr>
            <w:rStyle w:val="Hyperlink"/>
            <w:lang w:val="es-ES"/>
          </w:rPr>
          <w:t>-</w:t>
        </w:r>
        <w:r w:rsidRPr="00A0419C">
          <w:rPr>
            <w:rStyle w:val="Hyperlink"/>
            <w:lang w:val="es-ES"/>
          </w:rPr>
          <w:t>R15</w:t>
        </w:r>
      </w:hyperlink>
      <w:r w:rsidRPr="00A0419C">
        <w:rPr>
          <w:lang w:val="es-ES"/>
        </w:rPr>
        <w:t>]</w:t>
      </w:r>
    </w:p>
    <w:p w14:paraId="7B4704E9" w14:textId="77777777" w:rsidR="00A0419C" w:rsidRPr="00A0419C" w:rsidRDefault="00A0419C" w:rsidP="00E72BA8">
      <w:pPr>
        <w:pStyle w:val="Headingb0"/>
        <w:rPr>
          <w:lang w:val="es-ES"/>
        </w:rPr>
      </w:pPr>
      <w:r w:rsidRPr="00A0419C">
        <w:rPr>
          <w:lang w:val="es-ES"/>
        </w:rPr>
        <w:t>Marco de permisos de acceso a datos sanitarios en plataformas de salud digital</w:t>
      </w:r>
    </w:p>
    <w:p w14:paraId="6E945062" w14:textId="77777777" w:rsidR="00A0419C" w:rsidRPr="00A0419C" w:rsidRDefault="00A0419C" w:rsidP="00A0419C">
      <w:pPr>
        <w:pStyle w:val="Headingb0"/>
        <w:rPr>
          <w:lang w:val="es-ES"/>
        </w:rPr>
      </w:pPr>
      <w:r w:rsidRPr="00A0419C">
        <w:rPr>
          <w:lang w:val="es-ES"/>
        </w:rPr>
        <w:t>Resumen</w:t>
      </w:r>
    </w:p>
    <w:p w14:paraId="4ADCB59D" w14:textId="77777777" w:rsidR="00A0419C" w:rsidRPr="00A0419C" w:rsidRDefault="00A0419C" w:rsidP="00C67459">
      <w:pPr>
        <w:rPr>
          <w:lang w:val="es-ES"/>
        </w:rPr>
      </w:pPr>
      <w:r w:rsidRPr="00A0419C">
        <w:rPr>
          <w:lang w:val="es-ES"/>
        </w:rPr>
        <w:t>En el ámbito de la salud digital se genera un amplio abanico de datos sanitarios por diversos medios, por ejemplo, dispositivos ponibles, sensores medioambientales y aplicaciones móviles. Los datos sanitarios generados por los dispositivos ponibles y los sensores son mediciones biométricas, registros de actividad, patrones comportamentales y demás datos sanitarios personales recabados pasivamente. Las aplicaciones móviles recopilan los datos introducidos por el usuario, a saber, estado de salud, objetivos personales e ingesta de medicamentos. Estos datos sanitarios pueden almacenarse en una plataforma de salud digital y utilizarse como complemento de la atención sanitaria, la supervisión del bienestar y otras actividades de promoción de la salud personalizadas.</w:t>
      </w:r>
    </w:p>
    <w:p w14:paraId="1030252D" w14:textId="0DDFA6F2" w:rsidR="00A0419C" w:rsidRPr="00A0419C" w:rsidRDefault="00A0419C" w:rsidP="00C67459">
      <w:pPr>
        <w:rPr>
          <w:lang w:val="es-ES"/>
        </w:rPr>
      </w:pPr>
      <w:r w:rsidRPr="00A0419C">
        <w:rPr>
          <w:lang w:val="es-ES"/>
        </w:rPr>
        <w:t>En los últimos tiempos ha aumentado drásticamente el volumen de datos de observaciones realizadas por dispositivos sanitarios personales. Estos datos sirven para estimar el estado de salud de la persona y pueden servir de referencia en las visitas a profesionales de la salud.</w:t>
      </w:r>
    </w:p>
    <w:p w14:paraId="220EDA5C" w14:textId="581446E3" w:rsidR="00A0419C" w:rsidRPr="00A0419C" w:rsidRDefault="00A0419C" w:rsidP="00C67459">
      <w:pPr>
        <w:rPr>
          <w:lang w:val="es-ES"/>
        </w:rPr>
      </w:pPr>
      <w:r w:rsidRPr="00A0419C">
        <w:rPr>
          <w:lang w:val="es-ES"/>
        </w:rPr>
        <w:t>Los datos sanitarios generados en el seno de organizaciones de atención sanitaria están protegidos por políticas normativas y el acceso a los mismos está estrictamente controlado. Sin embargo, no existe un método normalizado para proteger y gestionar el acceso a los datos sanitarios obtenidos fuera del marco de la atención médica. Datos como el peso, la actividad física y los hábitos alimenticios siguen considerándose sensibles y se les aplica el debido control de acceso. Es necesario contar con un método normalizado de concesión de permisos de acceso a los datos sanitarios a fin de poder utilizarlos en distintas aplicaciones, incluidas las de gestión sanitaria personal, de mejora del estilo de vida y de investigación sanitaria.</w:t>
      </w:r>
    </w:p>
    <w:p w14:paraId="2EDBB8F0" w14:textId="1CF05C6A" w:rsidR="00A0419C" w:rsidRPr="00A0419C" w:rsidRDefault="00A0419C" w:rsidP="00C67459">
      <w:pPr>
        <w:rPr>
          <w:lang w:val="es-ES"/>
        </w:rPr>
      </w:pPr>
      <w:r w:rsidRPr="00A0419C">
        <w:rPr>
          <w:lang w:val="es-ES"/>
        </w:rPr>
        <w:t>El marco de permisos de acceso permite a la plataforma de salud digital concede acceso a los datos sanitarios en función de factores como el objetivo de utilización, la función del receptor de los datos, la relación con el propietario de los datos, el consentimiento del propietario de los datos y el contexto en que se utilizan los datos. El objetivo de este marco es garantizar que el acceso y la utilización de los datos sanitarios están protegidos, otorgando la prioridad a la privacidad y la protección de los datos.</w:t>
      </w:r>
    </w:p>
    <w:p w14:paraId="3E52ADE6" w14:textId="6A3F9F51" w:rsidR="00A0419C" w:rsidRPr="00A0419C" w:rsidRDefault="00A0419C" w:rsidP="00C67459">
      <w:pPr>
        <w:rPr>
          <w:lang w:val="es-ES"/>
        </w:rPr>
      </w:pPr>
      <w:r w:rsidRPr="00A0419C">
        <w:rPr>
          <w:lang w:val="es-ES"/>
        </w:rPr>
        <w:t xml:space="preserve">En este proyecto de Recomendación se presentan unas directrices y un marco para gestionar los permisos de acceso a datos sanitarios de plataformas de salud digital. El objetivo del marco es controlar y gestionar el acceso a los datos sanitarios. El intercambio de información relacionada con la solicitud y la concesión </w:t>
      </w:r>
      <w:r w:rsidR="00234896">
        <w:rPr>
          <w:lang w:val="es-ES"/>
        </w:rPr>
        <w:t>d</w:t>
      </w:r>
      <w:r w:rsidRPr="00A0419C">
        <w:rPr>
          <w:lang w:val="es-ES"/>
        </w:rPr>
        <w:t>e permisos de acceso puede efectuarse a través de las normas de</w:t>
      </w:r>
      <w:r w:rsidR="00C67459">
        <w:rPr>
          <w:lang w:val="es-ES"/>
        </w:rPr>
        <w:t> </w:t>
      </w:r>
      <w:r w:rsidRPr="00A0419C">
        <w:rPr>
          <w:lang w:val="es-ES"/>
        </w:rPr>
        <w:t>TI sanitarias existentes, como HL7</w:t>
      </w:r>
      <w:r w:rsidR="003B4902">
        <w:rPr>
          <w:lang w:val="es-ES"/>
        </w:rPr>
        <w:t> </w:t>
      </w:r>
      <w:r w:rsidRPr="00A0419C">
        <w:rPr>
          <w:lang w:val="es-ES"/>
        </w:rPr>
        <w:t>FHIR, para garantizar que se consideran debidamente los aspectos prácticos de la interoperabilidad.</w:t>
      </w:r>
    </w:p>
    <w:p w14:paraId="04E61AD0" w14:textId="2B8B6E8C" w:rsidR="00A0419C" w:rsidRPr="00A0419C" w:rsidRDefault="00A0419C" w:rsidP="00A0419C">
      <w:pPr>
        <w:pStyle w:val="Heading1"/>
        <w:rPr>
          <w:lang w:val="es-ES"/>
        </w:rPr>
      </w:pPr>
      <w:r w:rsidRPr="00A0419C">
        <w:rPr>
          <w:lang w:val="es-ES"/>
        </w:rPr>
        <w:lastRenderedPageBreak/>
        <w:t>2</w:t>
      </w:r>
      <w:r w:rsidRPr="00A0419C">
        <w:rPr>
          <w:lang w:val="es-ES"/>
        </w:rPr>
        <w:tab/>
        <w:t>Proyecto de nueva Recomendación UIT-T F.748.39 (ex F.AICP-FRRC) [</w:t>
      </w:r>
      <w:hyperlink r:id="rId11" w:history="1">
        <w:r w:rsidRPr="00A0419C">
          <w:rPr>
            <w:rStyle w:val="Hyperlink"/>
            <w:lang w:val="es-ES"/>
          </w:rPr>
          <w:t>SG</w:t>
        </w:r>
        <w:r w:rsidRPr="00A0419C">
          <w:rPr>
            <w:rStyle w:val="Hyperlink"/>
            <w:lang w:val="es-ES"/>
          </w:rPr>
          <w:t>2</w:t>
        </w:r>
        <w:r w:rsidRPr="00A0419C">
          <w:rPr>
            <w:rStyle w:val="Hyperlink"/>
            <w:lang w:val="es-ES"/>
          </w:rPr>
          <w:t>1-R16</w:t>
        </w:r>
      </w:hyperlink>
      <w:r w:rsidRPr="00A0419C">
        <w:rPr>
          <w:lang w:val="es-ES"/>
        </w:rPr>
        <w:t>]</w:t>
      </w:r>
    </w:p>
    <w:p w14:paraId="0A9F5144" w14:textId="77777777" w:rsidR="00A0419C" w:rsidRPr="00A0419C" w:rsidRDefault="00A0419C" w:rsidP="00E72BA8">
      <w:pPr>
        <w:pStyle w:val="Headingb0"/>
        <w:rPr>
          <w:lang w:val="es-ES"/>
        </w:rPr>
      </w:pPr>
      <w:bookmarkStart w:id="7" w:name="_Hlk161339353"/>
      <w:r w:rsidRPr="00A0419C">
        <w:rPr>
          <w:lang w:val="es-ES"/>
        </w:rPr>
        <w:t>Requisitos funcionales y arquitectura de referencia de la plataforma de inteligencia artificial en la nube para el mantenimiento de instalaciones de red eléctrica inteligente</w:t>
      </w:r>
      <w:bookmarkEnd w:id="7"/>
    </w:p>
    <w:p w14:paraId="1CFD5DEB" w14:textId="77777777" w:rsidR="00A0419C" w:rsidRPr="00A0419C" w:rsidRDefault="00A0419C" w:rsidP="00A0419C">
      <w:pPr>
        <w:pStyle w:val="Headingb0"/>
        <w:rPr>
          <w:lang w:val="es-ES"/>
        </w:rPr>
      </w:pPr>
      <w:r w:rsidRPr="00A0419C">
        <w:rPr>
          <w:lang w:val="es-ES"/>
        </w:rPr>
        <w:t>Resumen</w:t>
      </w:r>
    </w:p>
    <w:p w14:paraId="3F08CD66" w14:textId="51E22B80" w:rsidR="00A0419C" w:rsidRPr="00A0419C" w:rsidRDefault="00A0419C" w:rsidP="00A0419C">
      <w:pPr>
        <w:rPr>
          <w:bCs/>
          <w:lang w:val="es-ES"/>
        </w:rPr>
      </w:pPr>
      <w:r w:rsidRPr="00A0419C">
        <w:rPr>
          <w:lang w:val="es-ES"/>
        </w:rPr>
        <w:t>Gracias a las aplicaciones multimedios con inteligencia artificial (IA), las empresas de redes eléctricas pueden evaluar automática y precisamente el estado operativo de los equipos y detectar fallos. Esta capacidad es esencial para reducir la mano de obra necesaria para el mantenimiento de instalaciones de red eléctrica. En esta Recomendación se presenta una arquitectura de referencia y se especifican detalladamente los requisitos funcionales de la plataforma de IA en la nube para el mantenimiento de instalaciones de red eléctrica inteligente (AICP</w:t>
      </w:r>
      <w:r w:rsidR="00C67459">
        <w:rPr>
          <w:lang w:val="es-ES"/>
        </w:rPr>
        <w:noBreakHyphen/>
      </w:r>
      <w:r w:rsidRPr="00A0419C">
        <w:rPr>
          <w:lang w:val="es-ES"/>
        </w:rPr>
        <w:t>IPGFM). Esta Recomendación es aplicable al diseño arquitectónico, el despliegue y la gestión de la AICP</w:t>
      </w:r>
      <w:r w:rsidR="00C67459">
        <w:rPr>
          <w:lang w:val="es-ES"/>
        </w:rPr>
        <w:noBreakHyphen/>
      </w:r>
      <w:r w:rsidRPr="00A0419C">
        <w:rPr>
          <w:lang w:val="es-ES"/>
        </w:rPr>
        <w:t>IPGFM</w:t>
      </w:r>
      <w:r w:rsidRPr="00A0419C">
        <w:rPr>
          <w:bCs/>
          <w:lang w:val="es-ES"/>
        </w:rPr>
        <w:t>.</w:t>
      </w:r>
    </w:p>
    <w:p w14:paraId="4FBC9167" w14:textId="222FE9DB" w:rsidR="00A0419C" w:rsidRPr="00A0419C" w:rsidRDefault="00A0419C" w:rsidP="00A0419C">
      <w:pPr>
        <w:pStyle w:val="Heading1"/>
        <w:rPr>
          <w:lang w:val="es-ES"/>
        </w:rPr>
      </w:pPr>
      <w:r w:rsidRPr="00A0419C">
        <w:rPr>
          <w:lang w:val="es-ES"/>
        </w:rPr>
        <w:t>3</w:t>
      </w:r>
      <w:r w:rsidRPr="00A0419C">
        <w:rPr>
          <w:lang w:val="es-ES"/>
        </w:rPr>
        <w:tab/>
        <w:t>Proyecto de nueva Recomendación UIT-T F.748.75 (ex F.MTTIR) [</w:t>
      </w:r>
      <w:hyperlink r:id="rId12" w:history="1">
        <w:r w:rsidRPr="00A0419C">
          <w:rPr>
            <w:rStyle w:val="Hyperlink"/>
            <w:lang w:val="es-ES"/>
          </w:rPr>
          <w:t>SG21-R</w:t>
        </w:r>
        <w:r w:rsidRPr="00A0419C">
          <w:rPr>
            <w:rStyle w:val="Hyperlink"/>
            <w:lang w:val="es-ES"/>
          </w:rPr>
          <w:t>1</w:t>
        </w:r>
        <w:r w:rsidRPr="00A0419C">
          <w:rPr>
            <w:rStyle w:val="Hyperlink"/>
            <w:lang w:val="es-ES"/>
          </w:rPr>
          <w:t>7</w:t>
        </w:r>
      </w:hyperlink>
      <w:r w:rsidRPr="00A0419C">
        <w:rPr>
          <w:lang w:val="es-ES"/>
        </w:rPr>
        <w:t>]</w:t>
      </w:r>
    </w:p>
    <w:p w14:paraId="102303F9" w14:textId="4DF1FF29" w:rsidR="00A0419C" w:rsidRPr="00A0419C" w:rsidRDefault="00A0419C" w:rsidP="00E72BA8">
      <w:pPr>
        <w:pStyle w:val="Headingb0"/>
        <w:rPr>
          <w:lang w:val="es-ES"/>
        </w:rPr>
      </w:pPr>
      <w:r w:rsidRPr="00A0419C">
        <w:rPr>
          <w:lang w:val="es-ES"/>
        </w:rPr>
        <w:t xml:space="preserve">Requisitos y marco de trabajo de los sistemas robóticos de inspección de túneles de </w:t>
      </w:r>
      <w:r w:rsidR="0079153B" w:rsidRPr="00A0419C">
        <w:rPr>
          <w:lang w:val="es-ES"/>
        </w:rPr>
        <w:t>transporte</w:t>
      </w:r>
      <w:r w:rsidRPr="00A0419C">
        <w:rPr>
          <w:lang w:val="es-ES"/>
        </w:rPr>
        <w:t xml:space="preserve"> basados en visión por computadora y audición computacional</w:t>
      </w:r>
    </w:p>
    <w:p w14:paraId="2A5C1BFC" w14:textId="77777777" w:rsidR="00A0419C" w:rsidRPr="00A0419C" w:rsidRDefault="00A0419C" w:rsidP="00A0419C">
      <w:pPr>
        <w:pStyle w:val="Headingb0"/>
        <w:rPr>
          <w:lang w:val="es-ES"/>
        </w:rPr>
      </w:pPr>
      <w:r w:rsidRPr="00A0419C">
        <w:rPr>
          <w:lang w:val="es-ES"/>
        </w:rPr>
        <w:t>Resumen</w:t>
      </w:r>
    </w:p>
    <w:p w14:paraId="2AAA52B0" w14:textId="57D6A03C" w:rsidR="00A0419C" w:rsidRPr="00A0419C" w:rsidRDefault="00A0419C" w:rsidP="00E72BA8">
      <w:pPr>
        <w:rPr>
          <w:lang w:val="es-ES"/>
        </w:rPr>
      </w:pPr>
      <w:r w:rsidRPr="00A0419C">
        <w:rPr>
          <w:lang w:val="es-ES"/>
        </w:rPr>
        <w:t>Los túneles de transporte son susceptibles de sufrir diversos defectos y desastres a lo largo de su vida útil, lo que puede comprometer la seguridad estructural y la eficiencia operativa. Los métodos tradicionales de inspección manual a menudo presentan desafíos en términos de seguridad, precisión y rentabilidad. La integración de sistemas robóticos con tecnologías avanzadas de inteligencia artificial (IA), en particular la visión por computadora y la audición computacional, constituye un enfoque transformador para mejorar la inteligencia y las capacidades analíticas de la inspección de túneles.</w:t>
      </w:r>
    </w:p>
    <w:p w14:paraId="6332EFFE" w14:textId="3DC3604C" w:rsidR="00A0419C" w:rsidRPr="00A0419C" w:rsidRDefault="00A0419C" w:rsidP="00E72BA8">
      <w:pPr>
        <w:rPr>
          <w:lang w:val="es-ES"/>
        </w:rPr>
      </w:pPr>
      <w:r w:rsidRPr="00A0419C">
        <w:rPr>
          <w:lang w:val="es-ES"/>
        </w:rPr>
        <w:t>Esta Recomendación especifica los requisitos y el marco de trabajo para sistemas robóticos de inspección de túneles de transporte basados en visión por computadora y audición computacional. Proporciona un marco de referencia estratificado que comprende una capa de dispositivos, una capa de red, una capa de soporte de servicios y aplicaciones, y una capa de aplicación, respaldadas por capacidades de gestión y seguridad entre capas. Además, especifica los requisitos funcionales de cada componente, centrándose en el aprovechamiento de la</w:t>
      </w:r>
      <w:r w:rsidR="003B4902">
        <w:rPr>
          <w:lang w:val="es-ES"/>
        </w:rPr>
        <w:t> </w:t>
      </w:r>
      <w:r w:rsidRPr="00A0419C">
        <w:rPr>
          <w:lang w:val="es-ES"/>
        </w:rPr>
        <w:t>IA para lograr inspecciones de túneles inteligentes, eficientes y completas.</w:t>
      </w:r>
    </w:p>
    <w:p w14:paraId="342DDD1C" w14:textId="5B9727B3" w:rsidR="00A0419C" w:rsidRPr="00A0419C" w:rsidRDefault="00A0419C" w:rsidP="00A0419C">
      <w:pPr>
        <w:pStyle w:val="Heading1"/>
        <w:rPr>
          <w:lang w:val="es-ES"/>
        </w:rPr>
      </w:pPr>
      <w:r w:rsidRPr="00A0419C">
        <w:rPr>
          <w:lang w:val="es-ES"/>
        </w:rPr>
        <w:t>4</w:t>
      </w:r>
      <w:r w:rsidRPr="00A0419C">
        <w:rPr>
          <w:lang w:val="es-ES"/>
        </w:rPr>
        <w:tab/>
        <w:t>Proyecto de nueva Recomendación UIT-T F.748.76 (ex F.AI-RFSSMA) [</w:t>
      </w:r>
      <w:hyperlink r:id="rId13" w:history="1">
        <w:r w:rsidRPr="00A0419C">
          <w:rPr>
            <w:rStyle w:val="Hyperlink"/>
            <w:lang w:val="es-ES"/>
          </w:rPr>
          <w:t>SG</w:t>
        </w:r>
        <w:r w:rsidRPr="00A0419C">
          <w:rPr>
            <w:rStyle w:val="Hyperlink"/>
            <w:lang w:val="es-ES"/>
          </w:rPr>
          <w:t>2</w:t>
        </w:r>
        <w:r w:rsidRPr="00A0419C">
          <w:rPr>
            <w:rStyle w:val="Hyperlink"/>
            <w:lang w:val="es-ES"/>
          </w:rPr>
          <w:t>1-R18</w:t>
        </w:r>
      </w:hyperlink>
      <w:r w:rsidRPr="00A0419C">
        <w:rPr>
          <w:lang w:val="es-ES"/>
        </w:rPr>
        <w:t>]</w:t>
      </w:r>
    </w:p>
    <w:p w14:paraId="5E883BFC" w14:textId="77777777" w:rsidR="00A0419C" w:rsidRPr="00A0419C" w:rsidRDefault="00A0419C" w:rsidP="00E72BA8">
      <w:pPr>
        <w:pStyle w:val="Headingb0"/>
        <w:rPr>
          <w:lang w:val="es-ES"/>
        </w:rPr>
      </w:pPr>
      <w:r w:rsidRPr="00A0419C">
        <w:rPr>
          <w:lang w:val="es-ES"/>
        </w:rPr>
        <w:t>Requisitos y marco para la gestión y el análisis de señales sonoras basadas en tecnología de inteligencia artificial para equipos eléctricos</w:t>
      </w:r>
    </w:p>
    <w:p w14:paraId="2B7210F5" w14:textId="77777777" w:rsidR="00A0419C" w:rsidRPr="00A0419C" w:rsidRDefault="00A0419C" w:rsidP="00A0419C">
      <w:pPr>
        <w:pStyle w:val="Headingb0"/>
        <w:rPr>
          <w:lang w:val="es-ES"/>
        </w:rPr>
      </w:pPr>
      <w:r w:rsidRPr="00A0419C">
        <w:rPr>
          <w:lang w:val="es-ES"/>
        </w:rPr>
        <w:t>Resumen</w:t>
      </w:r>
    </w:p>
    <w:p w14:paraId="52015BBF" w14:textId="77777777" w:rsidR="00A0419C" w:rsidRPr="00A0419C" w:rsidRDefault="00A0419C" w:rsidP="00A0419C">
      <w:pPr>
        <w:rPr>
          <w:bCs/>
          <w:lang w:val="es-ES"/>
        </w:rPr>
      </w:pPr>
      <w:r w:rsidRPr="00A0419C">
        <w:rPr>
          <w:lang w:val="es-ES"/>
        </w:rPr>
        <w:t>La señal sonora del equipo eléctrico contiene abundante información y puede contribuir a abordar simultáneamente los desafíos de la seguridad operativa y del alto rendimiento en tiempo real del equipo eléctrico. La gestión y el análisis de señales sonoras basados en tecnología de inteligencia artificial permiten tratar estas señales de forma eficaz y garantizar la seguridad operativa de los equipos eléctricos de manera precisa y en tiempo real</w:t>
      </w:r>
      <w:r w:rsidRPr="00A0419C">
        <w:rPr>
          <w:bCs/>
          <w:lang w:val="es-ES"/>
        </w:rPr>
        <w:t>.</w:t>
      </w:r>
    </w:p>
    <w:p w14:paraId="192998F0" w14:textId="77777777" w:rsidR="00A0419C" w:rsidRPr="00A0419C" w:rsidRDefault="00A0419C" w:rsidP="003B4902">
      <w:pPr>
        <w:keepNext/>
        <w:keepLines/>
        <w:rPr>
          <w:bCs/>
          <w:lang w:val="es-ES"/>
        </w:rPr>
      </w:pPr>
      <w:r w:rsidRPr="00A0419C">
        <w:rPr>
          <w:lang w:val="es-ES"/>
        </w:rPr>
        <w:lastRenderedPageBreak/>
        <w:t>En esta Recomendación se especifican los requisitos y el marco para la gestión y el análisis de señales sonoras para equipos eléctricos, proporcionando un marco de referencia para la evaluación comparativa de la supervisión en línea a distancia basada en señales sonoras. Además, los requisitos descritos en esta Recomendación, como la adquisición de señales de sonido, la transmisión y un modelo de análisis basado en IA, proporcionan orientaciones para la aplicación de las tecnologías conexas</w:t>
      </w:r>
      <w:r w:rsidRPr="00A0419C">
        <w:rPr>
          <w:bCs/>
          <w:lang w:val="es-ES"/>
        </w:rPr>
        <w:t>.</w:t>
      </w:r>
    </w:p>
    <w:p w14:paraId="6BDCEDE6" w14:textId="7577B2C7" w:rsidR="00A0419C" w:rsidRPr="00A0419C" w:rsidRDefault="00A0419C" w:rsidP="00A0419C">
      <w:pPr>
        <w:pStyle w:val="Heading1"/>
        <w:rPr>
          <w:lang w:val="es-ES"/>
        </w:rPr>
      </w:pPr>
      <w:r w:rsidRPr="00A0419C">
        <w:rPr>
          <w:lang w:val="es-ES"/>
        </w:rPr>
        <w:t>5</w:t>
      </w:r>
      <w:r w:rsidRPr="00A0419C">
        <w:rPr>
          <w:lang w:val="es-ES"/>
        </w:rPr>
        <w:tab/>
        <w:t>Proyecto de nueva Recomendación UIT-T J.1043 (ex J.DRMVA-rbst) [</w:t>
      </w:r>
      <w:hyperlink r:id="rId14" w:history="1">
        <w:r w:rsidRPr="00A0419C">
          <w:rPr>
            <w:rStyle w:val="Hyperlink"/>
            <w:lang w:val="es-ES"/>
          </w:rPr>
          <w:t>SG2</w:t>
        </w:r>
        <w:r w:rsidRPr="00A0419C">
          <w:rPr>
            <w:rStyle w:val="Hyperlink"/>
            <w:lang w:val="es-ES"/>
          </w:rPr>
          <w:t>1</w:t>
        </w:r>
        <w:r w:rsidRPr="00A0419C">
          <w:rPr>
            <w:rStyle w:val="Hyperlink"/>
            <w:lang w:val="es-ES"/>
          </w:rPr>
          <w:t>-R19</w:t>
        </w:r>
      </w:hyperlink>
      <w:r w:rsidRPr="00A0419C">
        <w:rPr>
          <w:lang w:val="es-ES"/>
        </w:rPr>
        <w:t>]</w:t>
      </w:r>
    </w:p>
    <w:p w14:paraId="159F9209" w14:textId="77777777" w:rsidR="00A0419C" w:rsidRPr="00A0419C" w:rsidRDefault="00A0419C" w:rsidP="00E72BA8">
      <w:pPr>
        <w:pStyle w:val="Headingb0"/>
        <w:rPr>
          <w:lang w:val="es-ES"/>
        </w:rPr>
      </w:pPr>
      <w:r w:rsidRPr="00A0419C">
        <w:rPr>
          <w:lang w:val="es-ES"/>
        </w:rPr>
        <w:t>Gestión de derechos digitales para la distribución de contenidos de audio y vídeo – Reglas de cumplimiento y robustez</w:t>
      </w:r>
    </w:p>
    <w:p w14:paraId="25B211F4" w14:textId="77777777" w:rsidR="00A0419C" w:rsidRPr="00A0419C" w:rsidRDefault="00A0419C" w:rsidP="00A0419C">
      <w:pPr>
        <w:pStyle w:val="Headingb0"/>
        <w:rPr>
          <w:lang w:val="es-ES"/>
        </w:rPr>
      </w:pPr>
      <w:r w:rsidRPr="00A0419C">
        <w:rPr>
          <w:lang w:val="es-ES"/>
        </w:rPr>
        <w:t>Resumen</w:t>
      </w:r>
    </w:p>
    <w:p w14:paraId="3B677756" w14:textId="3C6219F8" w:rsidR="00A0419C" w:rsidRPr="00A0419C" w:rsidRDefault="00A0419C" w:rsidP="00E72BA8">
      <w:pPr>
        <w:rPr>
          <w:lang w:val="es-ES"/>
        </w:rPr>
      </w:pPr>
      <w:r w:rsidRPr="00A0419C">
        <w:rPr>
          <w:lang w:val="es-ES"/>
        </w:rPr>
        <w:t xml:space="preserve">Los requisitos de servicio que </w:t>
      </w:r>
      <w:r w:rsidR="0079153B" w:rsidRPr="00A0419C">
        <w:rPr>
          <w:lang w:val="es-ES"/>
        </w:rPr>
        <w:t>deben</w:t>
      </w:r>
      <w:r w:rsidRPr="00A0419C">
        <w:rPr>
          <w:lang w:val="es-ES"/>
        </w:rPr>
        <w:t xml:space="preserve"> cumplirse para la aplicación de tecnologías de v</w:t>
      </w:r>
      <w:r w:rsidR="003B4902">
        <w:rPr>
          <w:lang w:val="es-ES"/>
        </w:rPr>
        <w:t>í</w:t>
      </w:r>
      <w:r w:rsidRPr="00A0419C">
        <w:rPr>
          <w:lang w:val="es-ES"/>
        </w:rPr>
        <w:t>deo y audio de nueva generación, así como de nuevos modelos de servicio de v</w:t>
      </w:r>
      <w:r w:rsidR="003A7632">
        <w:rPr>
          <w:lang w:val="es-ES"/>
        </w:rPr>
        <w:t>í</w:t>
      </w:r>
      <w:r w:rsidRPr="00A0419C">
        <w:rPr>
          <w:lang w:val="es-ES"/>
        </w:rPr>
        <w:t>deo vinculados a una amplia gama de dispositivos de consumo utilizados para la recepción de contenidos, plantean nuevas exigencias y oportunidades al sector del v</w:t>
      </w:r>
      <w:r w:rsidR="003A7632">
        <w:rPr>
          <w:lang w:val="es-ES"/>
        </w:rPr>
        <w:t>í</w:t>
      </w:r>
      <w:r w:rsidRPr="00A0419C">
        <w:rPr>
          <w:lang w:val="es-ES"/>
        </w:rPr>
        <w:t>deo, en particular los servicios de v</w:t>
      </w:r>
      <w:r w:rsidR="003A7632">
        <w:rPr>
          <w:lang w:val="es-ES"/>
        </w:rPr>
        <w:t>í</w:t>
      </w:r>
      <w:r w:rsidRPr="00A0419C">
        <w:rPr>
          <w:lang w:val="es-ES"/>
        </w:rPr>
        <w:t>deo de radiodifusión y televisión, y conllevan mayores exigencias en lo que respecta a la gestión de derechos digitales (DRM), véase la Recomendación</w:t>
      </w:r>
      <w:r w:rsidR="003B4902">
        <w:rPr>
          <w:lang w:val="es-ES"/>
        </w:rPr>
        <w:t> </w:t>
      </w:r>
      <w:r w:rsidRPr="00A0419C">
        <w:rPr>
          <w:lang w:val="es-ES"/>
        </w:rPr>
        <w:t xml:space="preserve">UIT-T J.1040 (2024), </w:t>
      </w:r>
      <w:r w:rsidRPr="00A0419C">
        <w:rPr>
          <w:i/>
          <w:iCs/>
          <w:lang w:val="es-ES"/>
        </w:rPr>
        <w:t xml:space="preserve">Gestión de derechos digitales para la distribución de contenidos de audio y vídeo </w:t>
      </w:r>
      <w:r w:rsidR="00E72BA8" w:rsidRPr="00E72BA8">
        <w:rPr>
          <w:i/>
          <w:iCs/>
          <w:lang w:val="es-ES"/>
        </w:rPr>
        <w:t>–</w:t>
      </w:r>
      <w:r w:rsidRPr="00A0419C">
        <w:rPr>
          <w:i/>
          <w:iCs/>
          <w:lang w:val="es-ES"/>
        </w:rPr>
        <w:t xml:space="preserve"> Requisitos</w:t>
      </w:r>
      <w:r w:rsidRPr="00A0419C">
        <w:rPr>
          <w:lang w:val="es-ES"/>
        </w:rPr>
        <w:t xml:space="preserve">. El </w:t>
      </w:r>
      <w:r w:rsidR="003A7632">
        <w:rPr>
          <w:lang w:val="es-ES"/>
        </w:rPr>
        <w:t>s</w:t>
      </w:r>
      <w:r w:rsidRPr="00A0419C">
        <w:rPr>
          <w:lang w:val="es-ES"/>
        </w:rPr>
        <w:t xml:space="preserve">istema DRM debe presentar no solo unos niveles de seguridad bien definidos para cumplir los requisitos aplicables a la protección de contenidos de distinta </w:t>
      </w:r>
      <w:r w:rsidR="003A7632">
        <w:rPr>
          <w:lang w:val="es-ES"/>
        </w:rPr>
        <w:t>c</w:t>
      </w:r>
      <w:r w:rsidRPr="00A0419C">
        <w:rPr>
          <w:lang w:val="es-ES"/>
        </w:rPr>
        <w:t>alidad y distintas ventanas de distribución, sino también un grado de compatibilidad entre plataformas suficiente para abarcar diversos dispositivos terminales. Además, se requieren una mayor eficacia de encriptación/desencriptación y modos de encriptación/desencriptación independiente de la encapsulación de contenidos para poder seguir el rápido ritmo de desarrollo y transformación de las tecnologías de vídeo y audio. Por último, se necesita un mecanismo de interoperabilidad para lograr un ecosistema DRM más abierto.</w:t>
      </w:r>
    </w:p>
    <w:p w14:paraId="0B59F2D7" w14:textId="21D48E39" w:rsidR="00A0419C" w:rsidRPr="00A0419C" w:rsidRDefault="00A0419C" w:rsidP="00E72BA8">
      <w:pPr>
        <w:rPr>
          <w:lang w:val="es-ES"/>
        </w:rPr>
      </w:pPr>
      <w:r w:rsidRPr="00A0419C">
        <w:rPr>
          <w:lang w:val="es-ES"/>
        </w:rPr>
        <w:t xml:space="preserve">Esta Recomendación es la </w:t>
      </w:r>
      <w:r w:rsidR="003A7632" w:rsidRPr="00A0419C">
        <w:rPr>
          <w:lang w:val="es-ES"/>
        </w:rPr>
        <w:t>p</w:t>
      </w:r>
      <w:r w:rsidRPr="00A0419C">
        <w:rPr>
          <w:lang w:val="es-ES"/>
        </w:rPr>
        <w:t>arte</w:t>
      </w:r>
      <w:r w:rsidR="0079153B">
        <w:rPr>
          <w:lang w:val="es-ES"/>
        </w:rPr>
        <w:t> </w:t>
      </w:r>
      <w:r w:rsidRPr="00A0419C">
        <w:rPr>
          <w:lang w:val="es-ES"/>
        </w:rPr>
        <w:t xml:space="preserve">4 de un producto conjunto integrado por cuatro documentos. En la </w:t>
      </w:r>
      <w:r w:rsidR="003A7632" w:rsidRPr="00A0419C">
        <w:rPr>
          <w:lang w:val="es-ES"/>
        </w:rPr>
        <w:t>p</w:t>
      </w:r>
      <w:r w:rsidRPr="00A0419C">
        <w:rPr>
          <w:lang w:val="es-ES"/>
        </w:rPr>
        <w:t>arte</w:t>
      </w:r>
      <w:r w:rsidR="003B4902">
        <w:rPr>
          <w:lang w:val="es-ES"/>
        </w:rPr>
        <w:t> </w:t>
      </w:r>
      <w:r w:rsidRPr="00A0419C">
        <w:rPr>
          <w:lang w:val="es-ES"/>
        </w:rPr>
        <w:t>4 se describen las reglas de cumplimiento y robustez de la gestión de derechos digitales para la distribución de contenido de audio y vídeo (DRMVACD), incluidas las reglas de cumplimiento y robustez del servidor DRM, las reglas de cumplimiento y robustez del cliente DRM y las prácticas idóneas para la implementación el sistema DRM.</w:t>
      </w:r>
    </w:p>
    <w:p w14:paraId="14C5D85B" w14:textId="2AF15A6C" w:rsidR="00A0419C" w:rsidRDefault="00A0419C" w:rsidP="00E72BA8">
      <w:pPr>
        <w:rPr>
          <w:lang w:val="es-ES"/>
        </w:rPr>
      </w:pPr>
      <w:r>
        <w:rPr>
          <w:lang w:val="es-ES"/>
        </w:rPr>
        <w:br w:type="page"/>
      </w:r>
    </w:p>
    <w:p w14:paraId="6E5939A8" w14:textId="1186D681" w:rsidR="00A0419C" w:rsidRPr="00A0419C" w:rsidRDefault="00A0419C" w:rsidP="0079153B">
      <w:pPr>
        <w:pStyle w:val="AnnexNotitle"/>
        <w:spacing w:after="120"/>
        <w:rPr>
          <w:lang w:val="es-ES"/>
        </w:rPr>
      </w:pPr>
      <w:r w:rsidRPr="00A0419C">
        <w:rPr>
          <w:lang w:val="es-ES"/>
        </w:rPr>
        <w:lastRenderedPageBreak/>
        <w:t>ANEXO 2</w:t>
      </w:r>
      <w:r w:rsidRPr="00A0419C">
        <w:rPr>
          <w:lang w:val="es-ES"/>
        </w:rPr>
        <w:br/>
        <w:t xml:space="preserve">Asunto: Respuesta de Estado Miembro a la Circular </w:t>
      </w:r>
      <w:r w:rsidRPr="00A0419C">
        <w:rPr>
          <w:lang w:val="en-GB"/>
        </w:rPr>
        <w:fldChar w:fldCharType="begin"/>
      </w:r>
      <w:r w:rsidRPr="00A0419C">
        <w:rPr>
          <w:lang w:val="es-ES"/>
        </w:rPr>
        <w:instrText xml:space="preserve"> styleref DocNumber </w:instrText>
      </w:r>
      <w:r w:rsidRPr="00A0419C">
        <w:rPr>
          <w:lang w:val="en-GB"/>
        </w:rPr>
        <w:fldChar w:fldCharType="separate"/>
      </w:r>
      <w:r w:rsidRPr="00A0419C">
        <w:rPr>
          <w:lang w:val="es-ES"/>
        </w:rPr>
        <w:t>TSB 108</w:t>
      </w:r>
      <w:r w:rsidRPr="00A0419C">
        <w:rPr>
          <w:lang w:val="es-ES"/>
        </w:rPr>
        <w:fldChar w:fldCharType="end"/>
      </w:r>
      <w:r w:rsidRPr="00A0419C">
        <w:rPr>
          <w:lang w:val="es-ES"/>
        </w:rPr>
        <w:t>:</w:t>
      </w:r>
      <w:r w:rsidRPr="00A0419C">
        <w:rPr>
          <w:lang w:val="es-ES"/>
        </w:rPr>
        <w:br/>
        <w:t xml:space="preserve">consulta sobre los proyectos de Recomendación determinada </w:t>
      </w:r>
      <w:r w:rsidRPr="00A0419C">
        <w:rPr>
          <w:lang w:val="es-ES"/>
        </w:rPr>
        <w:br/>
      </w:r>
      <w:r w:rsidR="003A7632" w:rsidRPr="00A0419C">
        <w:rPr>
          <w:lang w:val="es-ES"/>
        </w:rPr>
        <w:t>U</w:t>
      </w:r>
      <w:r w:rsidRPr="00A0419C">
        <w:rPr>
          <w:lang w:val="es-ES"/>
        </w:rPr>
        <w:t xml:space="preserve">IT-T H.862.9 (ex F.HR-AP), F.748.39 (ex F.AICP-FRRC), F.748.75 (ex F.MTTIR), F.748.76 (ex F.AI-RFSSMA) </w:t>
      </w:r>
      <w:r w:rsidRPr="00A0419C">
        <w:rPr>
          <w:bCs/>
          <w:lang w:val="es-ES"/>
        </w:rPr>
        <w:t>y</w:t>
      </w:r>
      <w:r w:rsidRPr="00A0419C">
        <w:rPr>
          <w:lang w:val="es-ES"/>
        </w:rPr>
        <w:t xml:space="preserve"> J.1043 (ex J.DRMVA-rbst)</w:t>
      </w:r>
    </w:p>
    <w:tbl>
      <w:tblPr>
        <w:tblW w:w="9639" w:type="dxa"/>
        <w:jc w:val="center"/>
        <w:tblLayout w:type="fixed"/>
        <w:tblLook w:val="04A0" w:firstRow="1" w:lastRow="0" w:firstColumn="1" w:lastColumn="0" w:noHBand="0" w:noVBand="1"/>
      </w:tblPr>
      <w:tblGrid>
        <w:gridCol w:w="1157"/>
        <w:gridCol w:w="4382"/>
        <w:gridCol w:w="1141"/>
        <w:gridCol w:w="2959"/>
      </w:tblGrid>
      <w:tr w:rsidR="0079153B" w:rsidRPr="00A0419C" w14:paraId="00DD2CA2" w14:textId="77777777" w:rsidTr="005274C7">
        <w:trPr>
          <w:jc w:val="center"/>
        </w:trPr>
        <w:tc>
          <w:tcPr>
            <w:tcW w:w="1120" w:type="dxa"/>
          </w:tcPr>
          <w:p w14:paraId="7005C708" w14:textId="77777777" w:rsidR="00A0419C" w:rsidRPr="0079153B" w:rsidRDefault="00A0419C" w:rsidP="0079153B">
            <w:pPr>
              <w:pStyle w:val="Tabletext0"/>
              <w:jc w:val="right"/>
              <w:rPr>
                <w:b/>
                <w:bCs/>
                <w:lang w:val="en-GB"/>
              </w:rPr>
            </w:pPr>
            <w:r w:rsidRPr="0079153B">
              <w:rPr>
                <w:b/>
                <w:bCs/>
                <w:lang w:val="es-ES"/>
              </w:rPr>
              <w:t>A</w:t>
            </w:r>
            <w:r w:rsidRPr="0079153B">
              <w:rPr>
                <w:b/>
                <w:bCs/>
                <w:lang w:val="en-GB"/>
              </w:rPr>
              <w:t>:</w:t>
            </w:r>
          </w:p>
        </w:tc>
        <w:tc>
          <w:tcPr>
            <w:tcW w:w="4242" w:type="dxa"/>
            <w:tcBorders>
              <w:right w:val="single" w:sz="8" w:space="0" w:color="auto"/>
            </w:tcBorders>
          </w:tcPr>
          <w:p w14:paraId="28B1786A" w14:textId="77777777" w:rsidR="00A0419C" w:rsidRPr="00A0419C" w:rsidRDefault="00A0419C" w:rsidP="0079153B">
            <w:pPr>
              <w:pStyle w:val="Tabletext0"/>
              <w:rPr>
                <w:lang w:val="es-ES"/>
              </w:rPr>
            </w:pPr>
            <w:r w:rsidRPr="00A0419C">
              <w:rPr>
                <w:lang w:val="es-ES"/>
              </w:rPr>
              <w:t xml:space="preserve">Director de la </w:t>
            </w:r>
            <w:r w:rsidRPr="00A0419C">
              <w:rPr>
                <w:lang w:val="es-ES"/>
              </w:rPr>
              <w:br/>
              <w:t>Oficina de Normalización de las Telecomunicaciones,</w:t>
            </w:r>
            <w:r w:rsidRPr="00A0419C">
              <w:rPr>
                <w:lang w:val="es-ES"/>
              </w:rPr>
              <w:br/>
              <w:t>Unión Internacional de Telecomunicaciones</w:t>
            </w:r>
            <w:r w:rsidRPr="00A0419C">
              <w:rPr>
                <w:lang w:val="es-ES"/>
              </w:rPr>
              <w:br/>
              <w:t>Place des Nations</w:t>
            </w:r>
            <w:r w:rsidRPr="00A0419C">
              <w:rPr>
                <w:lang w:val="es-ES"/>
              </w:rPr>
              <w:br/>
              <w:t>CH 1211 Ginebra 20, Suiza</w:t>
            </w:r>
          </w:p>
        </w:tc>
        <w:tc>
          <w:tcPr>
            <w:tcW w:w="1105" w:type="dxa"/>
            <w:tcBorders>
              <w:left w:val="single" w:sz="8" w:space="0" w:color="auto"/>
            </w:tcBorders>
          </w:tcPr>
          <w:p w14:paraId="3B6553BF" w14:textId="77777777" w:rsidR="00A0419C" w:rsidRPr="0079153B" w:rsidRDefault="00A0419C" w:rsidP="0079153B">
            <w:pPr>
              <w:pStyle w:val="Tabletext0"/>
              <w:jc w:val="right"/>
              <w:rPr>
                <w:b/>
                <w:bCs/>
                <w:lang w:val="es-ES"/>
              </w:rPr>
            </w:pPr>
            <w:r w:rsidRPr="0079153B">
              <w:rPr>
                <w:b/>
                <w:bCs/>
                <w:lang w:val="es-ES"/>
              </w:rPr>
              <w:t>De:</w:t>
            </w:r>
          </w:p>
        </w:tc>
        <w:tc>
          <w:tcPr>
            <w:tcW w:w="2865" w:type="dxa"/>
          </w:tcPr>
          <w:p w14:paraId="394AAD0A" w14:textId="77777777" w:rsidR="00A0419C" w:rsidRPr="00A0419C" w:rsidRDefault="00A0419C" w:rsidP="0079153B">
            <w:pPr>
              <w:pStyle w:val="Tabletext0"/>
              <w:rPr>
                <w:lang w:val="es-ES"/>
              </w:rPr>
            </w:pPr>
            <w:r w:rsidRPr="0079153B">
              <w:rPr>
                <w:highlight w:val="green"/>
                <w:lang w:val="es-ES"/>
              </w:rPr>
              <w:t>[Nombre]</w:t>
            </w:r>
            <w:r w:rsidRPr="0079153B">
              <w:rPr>
                <w:highlight w:val="green"/>
                <w:lang w:val="es-ES"/>
              </w:rPr>
              <w:br/>
              <w:t>[Cargo oficial/título]</w:t>
            </w:r>
            <w:r w:rsidRPr="0079153B">
              <w:rPr>
                <w:highlight w:val="green"/>
                <w:lang w:val="es-ES"/>
              </w:rPr>
              <w:br/>
              <w:t>[Dirección]</w:t>
            </w:r>
          </w:p>
        </w:tc>
      </w:tr>
      <w:tr w:rsidR="0079153B" w:rsidRPr="00A0419C" w14:paraId="7B5F71BD" w14:textId="77777777" w:rsidTr="005274C7">
        <w:trPr>
          <w:jc w:val="center"/>
        </w:trPr>
        <w:tc>
          <w:tcPr>
            <w:tcW w:w="1120" w:type="dxa"/>
          </w:tcPr>
          <w:p w14:paraId="4005E7B7" w14:textId="77777777" w:rsidR="00A0419C" w:rsidRPr="0079153B" w:rsidRDefault="00A0419C" w:rsidP="0079153B">
            <w:pPr>
              <w:pStyle w:val="Tabletext0"/>
              <w:jc w:val="right"/>
              <w:rPr>
                <w:b/>
                <w:bCs/>
                <w:lang w:val="es-ES"/>
              </w:rPr>
            </w:pPr>
            <w:r w:rsidRPr="0079153B">
              <w:rPr>
                <w:b/>
                <w:bCs/>
                <w:lang w:val="es-ES"/>
              </w:rPr>
              <w:t>Fax:</w:t>
            </w:r>
          </w:p>
        </w:tc>
        <w:tc>
          <w:tcPr>
            <w:tcW w:w="4242" w:type="dxa"/>
            <w:tcBorders>
              <w:right w:val="single" w:sz="8" w:space="0" w:color="auto"/>
            </w:tcBorders>
          </w:tcPr>
          <w:p w14:paraId="3D973F68" w14:textId="794633A8" w:rsidR="00A0419C" w:rsidRPr="00A0419C" w:rsidRDefault="00A0419C" w:rsidP="0079153B">
            <w:pPr>
              <w:pStyle w:val="Tabletext0"/>
              <w:rPr>
                <w:lang w:val="en-GB"/>
              </w:rPr>
            </w:pPr>
            <w:r w:rsidRPr="00A0419C">
              <w:rPr>
                <w:lang w:val="en-GB"/>
              </w:rPr>
              <w:t>+41 22 730 5853</w:t>
            </w:r>
          </w:p>
        </w:tc>
        <w:tc>
          <w:tcPr>
            <w:tcW w:w="1105" w:type="dxa"/>
            <w:tcBorders>
              <w:left w:val="single" w:sz="8" w:space="0" w:color="auto"/>
            </w:tcBorders>
          </w:tcPr>
          <w:p w14:paraId="6E685B9C" w14:textId="77777777" w:rsidR="00A0419C" w:rsidRPr="0079153B" w:rsidRDefault="00A0419C" w:rsidP="0079153B">
            <w:pPr>
              <w:pStyle w:val="Tabletext0"/>
              <w:jc w:val="right"/>
              <w:rPr>
                <w:b/>
                <w:bCs/>
                <w:lang w:val="es-ES"/>
              </w:rPr>
            </w:pPr>
            <w:r w:rsidRPr="0079153B">
              <w:rPr>
                <w:b/>
                <w:bCs/>
                <w:lang w:val="es-ES"/>
              </w:rPr>
              <w:t>Fax:</w:t>
            </w:r>
          </w:p>
        </w:tc>
        <w:tc>
          <w:tcPr>
            <w:tcW w:w="2865" w:type="dxa"/>
          </w:tcPr>
          <w:p w14:paraId="348F5FEA" w14:textId="77777777" w:rsidR="00A0419C" w:rsidRPr="00A0419C" w:rsidRDefault="00A0419C" w:rsidP="0079153B">
            <w:pPr>
              <w:pStyle w:val="Tabletext0"/>
              <w:rPr>
                <w:lang w:val="en-GB"/>
              </w:rPr>
            </w:pPr>
          </w:p>
        </w:tc>
      </w:tr>
      <w:tr w:rsidR="0079153B" w:rsidRPr="00A0419C" w14:paraId="273C3A71" w14:textId="77777777" w:rsidTr="005274C7">
        <w:trPr>
          <w:jc w:val="center"/>
        </w:trPr>
        <w:tc>
          <w:tcPr>
            <w:tcW w:w="1120" w:type="dxa"/>
          </w:tcPr>
          <w:p w14:paraId="179B68C8" w14:textId="77777777" w:rsidR="00A0419C" w:rsidRPr="0079153B" w:rsidRDefault="00A0419C" w:rsidP="0079153B">
            <w:pPr>
              <w:pStyle w:val="Tabletext0"/>
              <w:jc w:val="right"/>
              <w:rPr>
                <w:b/>
                <w:bCs/>
                <w:lang w:val="es-ES"/>
              </w:rPr>
            </w:pPr>
            <w:r w:rsidRPr="0079153B">
              <w:rPr>
                <w:b/>
                <w:bCs/>
                <w:lang w:val="es-ES"/>
              </w:rPr>
              <w:t>Correo-e:</w:t>
            </w:r>
          </w:p>
        </w:tc>
        <w:tc>
          <w:tcPr>
            <w:tcW w:w="4242" w:type="dxa"/>
            <w:tcBorders>
              <w:right w:val="single" w:sz="8" w:space="0" w:color="auto"/>
            </w:tcBorders>
          </w:tcPr>
          <w:p w14:paraId="400F83B8" w14:textId="77777777" w:rsidR="00A0419C" w:rsidRPr="00A0419C" w:rsidRDefault="00A0419C" w:rsidP="0079153B">
            <w:pPr>
              <w:pStyle w:val="Tabletext0"/>
              <w:rPr>
                <w:lang w:val="en-GB"/>
              </w:rPr>
            </w:pPr>
            <w:hyperlink r:id="rId15" w:history="1">
              <w:r w:rsidRPr="00A0419C">
                <w:rPr>
                  <w:rStyle w:val="Hyperlink"/>
                  <w:lang w:val="en-GB"/>
                </w:rPr>
                <w:t>tsbdir@itu.int</w:t>
              </w:r>
            </w:hyperlink>
          </w:p>
        </w:tc>
        <w:tc>
          <w:tcPr>
            <w:tcW w:w="1105" w:type="dxa"/>
            <w:tcBorders>
              <w:left w:val="single" w:sz="8" w:space="0" w:color="auto"/>
            </w:tcBorders>
          </w:tcPr>
          <w:p w14:paraId="2E3CF320" w14:textId="77777777" w:rsidR="00A0419C" w:rsidRPr="0079153B" w:rsidRDefault="00A0419C" w:rsidP="0079153B">
            <w:pPr>
              <w:pStyle w:val="Tabletext0"/>
              <w:jc w:val="right"/>
              <w:rPr>
                <w:b/>
                <w:bCs/>
                <w:lang w:val="es-ES"/>
              </w:rPr>
            </w:pPr>
            <w:r w:rsidRPr="0079153B">
              <w:rPr>
                <w:b/>
                <w:bCs/>
                <w:lang w:val="es-ES"/>
              </w:rPr>
              <w:t>Correo-e:</w:t>
            </w:r>
          </w:p>
        </w:tc>
        <w:tc>
          <w:tcPr>
            <w:tcW w:w="2865" w:type="dxa"/>
          </w:tcPr>
          <w:p w14:paraId="7347DED3" w14:textId="77777777" w:rsidR="00A0419C" w:rsidRPr="00A0419C" w:rsidRDefault="00A0419C" w:rsidP="0079153B">
            <w:pPr>
              <w:pStyle w:val="Tabletext0"/>
              <w:rPr>
                <w:lang w:val="en-GB"/>
              </w:rPr>
            </w:pPr>
          </w:p>
        </w:tc>
      </w:tr>
      <w:tr w:rsidR="0079153B" w:rsidRPr="00A0419C" w14:paraId="0B0C33C2" w14:textId="77777777" w:rsidTr="005274C7">
        <w:trPr>
          <w:jc w:val="center"/>
        </w:trPr>
        <w:tc>
          <w:tcPr>
            <w:tcW w:w="1120" w:type="dxa"/>
          </w:tcPr>
          <w:p w14:paraId="4C9AC935" w14:textId="77777777" w:rsidR="00A0419C" w:rsidRPr="0079153B" w:rsidRDefault="00A0419C" w:rsidP="0079153B">
            <w:pPr>
              <w:pStyle w:val="Tabletext0"/>
              <w:jc w:val="right"/>
              <w:rPr>
                <w:b/>
                <w:bCs/>
                <w:lang w:val="es-ES"/>
              </w:rPr>
            </w:pPr>
          </w:p>
        </w:tc>
        <w:tc>
          <w:tcPr>
            <w:tcW w:w="4242" w:type="dxa"/>
            <w:tcBorders>
              <w:right w:val="single" w:sz="8" w:space="0" w:color="auto"/>
            </w:tcBorders>
          </w:tcPr>
          <w:p w14:paraId="6925CD05" w14:textId="77777777" w:rsidR="00A0419C" w:rsidRPr="00A0419C" w:rsidRDefault="00A0419C" w:rsidP="0079153B">
            <w:pPr>
              <w:pStyle w:val="Tabletext0"/>
              <w:rPr>
                <w:lang w:val="en-GB"/>
              </w:rPr>
            </w:pPr>
          </w:p>
        </w:tc>
        <w:tc>
          <w:tcPr>
            <w:tcW w:w="1105" w:type="dxa"/>
            <w:tcBorders>
              <w:left w:val="single" w:sz="8" w:space="0" w:color="auto"/>
            </w:tcBorders>
          </w:tcPr>
          <w:p w14:paraId="6A371FB1" w14:textId="77777777" w:rsidR="00A0419C" w:rsidRPr="0079153B" w:rsidRDefault="00A0419C" w:rsidP="0079153B">
            <w:pPr>
              <w:pStyle w:val="Tabletext0"/>
              <w:jc w:val="right"/>
              <w:rPr>
                <w:b/>
                <w:bCs/>
                <w:lang w:val="es-ES"/>
              </w:rPr>
            </w:pPr>
            <w:r w:rsidRPr="0079153B">
              <w:rPr>
                <w:b/>
                <w:bCs/>
                <w:lang w:val="es-ES"/>
              </w:rPr>
              <w:t>Fecha:</w:t>
            </w:r>
          </w:p>
        </w:tc>
        <w:tc>
          <w:tcPr>
            <w:tcW w:w="2865" w:type="dxa"/>
          </w:tcPr>
          <w:p w14:paraId="5FC7B233" w14:textId="77777777" w:rsidR="00A0419C" w:rsidRPr="00A0419C" w:rsidRDefault="00A0419C" w:rsidP="0079153B">
            <w:pPr>
              <w:pStyle w:val="Tabletext0"/>
              <w:rPr>
                <w:lang w:val="en-GB"/>
              </w:rPr>
            </w:pPr>
            <w:r w:rsidRPr="0079153B">
              <w:rPr>
                <w:highlight w:val="green"/>
                <w:lang w:val="en-GB"/>
              </w:rPr>
              <w:t>[Lugar,] [Fecha]</w:t>
            </w:r>
          </w:p>
        </w:tc>
      </w:tr>
    </w:tbl>
    <w:p w14:paraId="2DD3CE69" w14:textId="77777777" w:rsidR="00A0419C" w:rsidRPr="00A0419C" w:rsidRDefault="00A0419C" w:rsidP="00E72BA8">
      <w:pPr>
        <w:pStyle w:val="Normalaftertitle"/>
        <w:rPr>
          <w:lang w:val="es-ES"/>
        </w:rPr>
      </w:pPr>
      <w:r w:rsidRPr="00A0419C">
        <w:rPr>
          <w:lang w:val="es-ES"/>
        </w:rPr>
        <w:t>Muy Señora mía/Muy Señor mío:</w:t>
      </w:r>
    </w:p>
    <w:p w14:paraId="31A2708E" w14:textId="725C1AC2" w:rsidR="00A0419C" w:rsidRPr="00A0419C" w:rsidRDefault="00A0419C" w:rsidP="0079153B">
      <w:pPr>
        <w:spacing w:after="120"/>
        <w:rPr>
          <w:lang w:val="es-ES"/>
        </w:rPr>
      </w:pPr>
      <w:r w:rsidRPr="00A0419C">
        <w:rPr>
          <w:lang w:val="es-ES"/>
        </w:rPr>
        <w:t>En lo que respecta a la consulta a los Estados Miembros sobre los proyectos de texto determinado que se enumeran en la</w:t>
      </w:r>
      <w:r w:rsidR="005274C7">
        <w:rPr>
          <w:lang w:val="es-ES"/>
        </w:rPr>
        <w:t xml:space="preserve"> </w:t>
      </w:r>
      <w:r w:rsidR="005274C7">
        <w:rPr>
          <w:lang w:val="en-GB"/>
        </w:rPr>
        <w:fldChar w:fldCharType="begin"/>
      </w:r>
      <w:r w:rsidR="005274C7" w:rsidRPr="005274C7">
        <w:rPr>
          <w:lang w:val="es-ES"/>
        </w:rPr>
        <w:instrText xml:space="preserve"> STYLEREF  DocNumber </w:instrText>
      </w:r>
      <w:r w:rsidR="005274C7">
        <w:rPr>
          <w:lang w:val="en-GB"/>
        </w:rPr>
        <w:fldChar w:fldCharType="separate"/>
      </w:r>
      <w:r w:rsidR="005274C7">
        <w:rPr>
          <w:noProof/>
          <w:lang w:val="es-ES"/>
        </w:rPr>
        <w:t>Circular TSB 108</w:t>
      </w:r>
      <w:r w:rsidR="005274C7">
        <w:rPr>
          <w:lang w:val="en-GB"/>
        </w:rPr>
        <w:fldChar w:fldCharType="end"/>
      </w:r>
      <w:r w:rsidRPr="00A0419C">
        <w:rPr>
          <w:lang w:val="es-ES"/>
        </w:rPr>
        <w:t>, tengo a bien informarle de la opinión de esta Administración, que se refleja en el siguiente cuadro.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6900"/>
      </w:tblGrid>
      <w:tr w:rsidR="00A0419C" w:rsidRPr="00A0419C" w14:paraId="4C9953E4" w14:textId="77777777" w:rsidTr="0079153B">
        <w:trPr>
          <w:tblHeader/>
          <w:jc w:val="center"/>
        </w:trPr>
        <w:tc>
          <w:tcPr>
            <w:tcW w:w="2739" w:type="dxa"/>
            <w:vAlign w:val="center"/>
          </w:tcPr>
          <w:p w14:paraId="3FC4CC55" w14:textId="77777777" w:rsidR="00A0419C" w:rsidRPr="00A0419C" w:rsidRDefault="00A0419C" w:rsidP="00E72BA8">
            <w:pPr>
              <w:pStyle w:val="Tablehead0"/>
              <w:rPr>
                <w:lang w:val="es-ES"/>
              </w:rPr>
            </w:pPr>
          </w:p>
        </w:tc>
        <w:tc>
          <w:tcPr>
            <w:tcW w:w="6900" w:type="dxa"/>
            <w:vAlign w:val="center"/>
          </w:tcPr>
          <w:p w14:paraId="7BDF9D0F" w14:textId="77777777" w:rsidR="00A0419C" w:rsidRPr="00A0419C" w:rsidRDefault="00A0419C" w:rsidP="00E72BA8">
            <w:pPr>
              <w:pStyle w:val="Tablehead0"/>
              <w:rPr>
                <w:lang w:val="es-ES"/>
              </w:rPr>
            </w:pPr>
            <w:r w:rsidRPr="00A0419C">
              <w:rPr>
                <w:lang w:val="es-ES"/>
              </w:rPr>
              <w:t>Seleccione una de las dos casillas</w:t>
            </w:r>
          </w:p>
        </w:tc>
      </w:tr>
      <w:tr w:rsidR="00A0419C" w:rsidRPr="00A0419C" w14:paraId="13ACE6F3" w14:textId="77777777" w:rsidTr="0079153B">
        <w:trPr>
          <w:jc w:val="center"/>
        </w:trPr>
        <w:tc>
          <w:tcPr>
            <w:tcW w:w="2739" w:type="dxa"/>
            <w:vMerge w:val="restart"/>
            <w:vAlign w:val="center"/>
          </w:tcPr>
          <w:p w14:paraId="31342D04" w14:textId="77777777" w:rsidR="00A0419C" w:rsidRPr="00E72BA8" w:rsidRDefault="00A0419C" w:rsidP="0079153B">
            <w:pPr>
              <w:pStyle w:val="Tabletext0"/>
              <w:jc w:val="center"/>
              <w:rPr>
                <w:b/>
                <w:bCs/>
                <w:lang w:val="es-ES"/>
              </w:rPr>
            </w:pPr>
            <w:r w:rsidRPr="00E72BA8">
              <w:rPr>
                <w:b/>
                <w:bCs/>
                <w:lang w:val="es-ES"/>
              </w:rPr>
              <w:t>Proyecto de nueva Recomendación UIT-T H.862.9 (ex F.HR-AP)</w:t>
            </w:r>
          </w:p>
        </w:tc>
        <w:tc>
          <w:tcPr>
            <w:tcW w:w="6900" w:type="dxa"/>
            <w:vAlign w:val="center"/>
          </w:tcPr>
          <w:p w14:paraId="39AFCE77" w14:textId="4A6EDF48" w:rsidR="00A0419C" w:rsidRPr="00A0419C" w:rsidRDefault="00A0419C" w:rsidP="00E72BA8">
            <w:pPr>
              <w:pStyle w:val="Tabletext0"/>
              <w:tabs>
                <w:tab w:val="clear" w:pos="284"/>
                <w:tab w:val="left" w:pos="477"/>
              </w:tabs>
              <w:ind w:left="454" w:hanging="454"/>
              <w:rPr>
                <w:lang w:val="es-ES"/>
              </w:rPr>
            </w:pPr>
            <w:r w:rsidRPr="00A0419C">
              <w:rPr>
                <w:lang w:val="en-GB"/>
              </w:rPr>
              <w:fldChar w:fldCharType="begin">
                <w:ffData>
                  <w:name w:val="Check1"/>
                  <w:enabled/>
                  <w:calcOnExit w:val="0"/>
                  <w:checkBox>
                    <w:sizeAuto/>
                    <w:default w:val="0"/>
                  </w:checkBox>
                </w:ffData>
              </w:fldChar>
            </w:r>
            <w:r w:rsidRPr="00A0419C">
              <w:rPr>
                <w:lang w:val="es-ES"/>
              </w:rPr>
              <w:instrText xml:space="preserve"> FORMCHECKBOX </w:instrText>
            </w:r>
            <w:r w:rsidRPr="00A0419C">
              <w:rPr>
                <w:lang w:val="en-GB"/>
              </w:rPr>
            </w:r>
            <w:r w:rsidRPr="00A0419C">
              <w:rPr>
                <w:lang w:val="en-GB"/>
              </w:rPr>
              <w:fldChar w:fldCharType="separate"/>
            </w:r>
            <w:r w:rsidRPr="00A0419C">
              <w:rPr>
                <w:lang w:val="es-ES"/>
              </w:rPr>
              <w:fldChar w:fldCharType="end"/>
            </w:r>
            <w:r w:rsidRPr="00A0419C">
              <w:rPr>
                <w:lang w:val="es-ES"/>
              </w:rPr>
              <w:tab/>
            </w:r>
            <w:r w:rsidRPr="00A0419C">
              <w:rPr>
                <w:b/>
                <w:bCs/>
                <w:lang w:val="es-ES"/>
              </w:rPr>
              <w:t xml:space="preserve">Otorga autoridad </w:t>
            </w:r>
            <w:r w:rsidRPr="00A0419C">
              <w:rPr>
                <w:lang w:val="es-ES"/>
              </w:rPr>
              <w:t>a la CE 21 a fin de examinar este texto para aprobación (en cuyo caso seleccionará una de las dos opciones</w:t>
            </w:r>
            <w:r w:rsidR="000C7D3B">
              <w:rPr>
                <w:lang w:val="es-ES"/>
              </w:rPr>
              <w:t xml:space="preserve">  </w:t>
            </w:r>
            <w:r w:rsidR="000C7D3B" w:rsidRPr="00A0419C">
              <w:rPr>
                <w:lang w:val="es-ES"/>
              </w:rPr>
              <w:t>⃝</w:t>
            </w:r>
            <w:r w:rsidRPr="00A0419C">
              <w:rPr>
                <w:lang w:val="es-ES"/>
              </w:rPr>
              <w:t>):</w:t>
            </w:r>
          </w:p>
          <w:p w14:paraId="2890872B" w14:textId="77777777" w:rsidR="00A0419C" w:rsidRPr="00A0419C" w:rsidRDefault="00A0419C" w:rsidP="00E72BA8">
            <w:pPr>
              <w:pStyle w:val="Tabletext0"/>
              <w:ind w:left="454"/>
              <w:rPr>
                <w:lang w:val="es-ES"/>
              </w:rPr>
            </w:pPr>
            <w:r w:rsidRPr="00A0419C">
              <w:rPr>
                <w:lang w:val="es-ES"/>
              </w:rPr>
              <w:t>⃝</w:t>
            </w:r>
            <w:r w:rsidRPr="00A0419C">
              <w:rPr>
                <w:lang w:val="es-ES"/>
              </w:rPr>
              <w:tab/>
              <w:t>Sin comentarios o cambios sugeridos</w:t>
            </w:r>
          </w:p>
          <w:p w14:paraId="4B9E5197" w14:textId="77777777" w:rsidR="00A0419C" w:rsidRPr="00A0419C" w:rsidRDefault="00A0419C" w:rsidP="00E72BA8">
            <w:pPr>
              <w:pStyle w:val="Tabletext0"/>
              <w:ind w:left="454"/>
              <w:rPr>
                <w:lang w:val="es-ES"/>
              </w:rPr>
            </w:pPr>
            <w:r w:rsidRPr="00A0419C">
              <w:rPr>
                <w:lang w:val="es-ES"/>
              </w:rPr>
              <w:t>⃝</w:t>
            </w:r>
            <w:r w:rsidRPr="00A0419C">
              <w:rPr>
                <w:lang w:val="es-ES"/>
              </w:rPr>
              <w:tab/>
              <w:t>Se adjuntan los comentarios o cambios sugeridos</w:t>
            </w:r>
          </w:p>
        </w:tc>
      </w:tr>
      <w:tr w:rsidR="00A0419C" w:rsidRPr="00A0419C" w14:paraId="7C4BB01F" w14:textId="77777777" w:rsidTr="0079153B">
        <w:trPr>
          <w:jc w:val="center"/>
        </w:trPr>
        <w:tc>
          <w:tcPr>
            <w:tcW w:w="2739" w:type="dxa"/>
            <w:vMerge/>
            <w:vAlign w:val="center"/>
          </w:tcPr>
          <w:p w14:paraId="6B24AAA0" w14:textId="77777777" w:rsidR="00A0419C" w:rsidRPr="00A0419C" w:rsidRDefault="00A0419C" w:rsidP="00A0419C">
            <w:pPr>
              <w:rPr>
                <w:b/>
                <w:bCs/>
                <w:lang w:val="es-ES"/>
              </w:rPr>
            </w:pPr>
          </w:p>
        </w:tc>
        <w:tc>
          <w:tcPr>
            <w:tcW w:w="6900" w:type="dxa"/>
            <w:vAlign w:val="center"/>
          </w:tcPr>
          <w:p w14:paraId="78B2BEB9" w14:textId="77777777" w:rsidR="00A0419C" w:rsidRPr="00A0419C" w:rsidRDefault="00A0419C" w:rsidP="00E72BA8">
            <w:pPr>
              <w:pStyle w:val="Tabletext0"/>
              <w:tabs>
                <w:tab w:val="clear" w:pos="284"/>
                <w:tab w:val="left" w:pos="477"/>
              </w:tabs>
              <w:ind w:left="454" w:hanging="454"/>
              <w:rPr>
                <w:lang w:val="es-ES"/>
              </w:rPr>
            </w:pPr>
            <w:r w:rsidRPr="00A0419C">
              <w:rPr>
                <w:lang w:val="en-GB"/>
              </w:rPr>
              <w:fldChar w:fldCharType="begin">
                <w:ffData>
                  <w:name w:val="Check1"/>
                  <w:enabled/>
                  <w:calcOnExit w:val="0"/>
                  <w:checkBox>
                    <w:sizeAuto/>
                    <w:default w:val="0"/>
                  </w:checkBox>
                </w:ffData>
              </w:fldChar>
            </w:r>
            <w:r w:rsidRPr="00A0419C">
              <w:rPr>
                <w:lang w:val="es-ES"/>
              </w:rPr>
              <w:instrText xml:space="preserve"> FORMCHECKBOX </w:instrText>
            </w:r>
            <w:r w:rsidRPr="00A0419C">
              <w:rPr>
                <w:lang w:val="en-GB"/>
              </w:rPr>
            </w:r>
            <w:r w:rsidRPr="00A0419C">
              <w:rPr>
                <w:lang w:val="en-GB"/>
              </w:rPr>
              <w:fldChar w:fldCharType="separate"/>
            </w:r>
            <w:r w:rsidRPr="00A0419C">
              <w:rPr>
                <w:lang w:val="es-ES"/>
              </w:rPr>
              <w:fldChar w:fldCharType="end"/>
            </w:r>
            <w:r w:rsidRPr="00A0419C">
              <w:rPr>
                <w:lang w:val="es-ES"/>
              </w:rPr>
              <w:tab/>
            </w:r>
            <w:r w:rsidRPr="00A0419C">
              <w:rPr>
                <w:b/>
                <w:bCs/>
                <w:lang w:val="es-ES"/>
              </w:rPr>
              <w:t xml:space="preserve">No otorga autoridad </w:t>
            </w:r>
            <w:r w:rsidRPr="00A0419C">
              <w:rPr>
                <w:lang w:val="es-ES"/>
              </w:rPr>
              <w:t>a la CE 21 a fin de examinar este texto para aprobación (se adjuntan los motivos de esta decisión y las posibles modificaciones que permitirían que prosiguieran los trabajos)</w:t>
            </w:r>
          </w:p>
        </w:tc>
      </w:tr>
      <w:tr w:rsidR="00A0419C" w:rsidRPr="00A0419C" w14:paraId="192185EA" w14:textId="77777777" w:rsidTr="0079153B">
        <w:trPr>
          <w:jc w:val="center"/>
        </w:trPr>
        <w:tc>
          <w:tcPr>
            <w:tcW w:w="2739" w:type="dxa"/>
            <w:vMerge w:val="restart"/>
            <w:vAlign w:val="center"/>
          </w:tcPr>
          <w:p w14:paraId="7EB08B45" w14:textId="2F96F1E4" w:rsidR="00A0419C" w:rsidRPr="00A0419C" w:rsidRDefault="00A0419C" w:rsidP="0079153B">
            <w:pPr>
              <w:pStyle w:val="Tabletext0"/>
              <w:jc w:val="center"/>
              <w:rPr>
                <w:b/>
                <w:bCs/>
                <w:lang w:val="es-ES"/>
              </w:rPr>
            </w:pPr>
            <w:r w:rsidRPr="00A0419C">
              <w:rPr>
                <w:b/>
                <w:bCs/>
                <w:lang w:val="es-ES"/>
              </w:rPr>
              <w:t>Proyecto de nueva Recomendación UIT-T F.748.39 (ex F.AICP</w:t>
            </w:r>
            <w:r w:rsidR="0079153B">
              <w:rPr>
                <w:b/>
                <w:bCs/>
                <w:lang w:val="es-ES"/>
              </w:rPr>
              <w:noBreakHyphen/>
            </w:r>
            <w:r w:rsidRPr="00A0419C">
              <w:rPr>
                <w:b/>
                <w:bCs/>
                <w:lang w:val="es-ES"/>
              </w:rPr>
              <w:t>FRRC)</w:t>
            </w:r>
          </w:p>
        </w:tc>
        <w:tc>
          <w:tcPr>
            <w:tcW w:w="6900" w:type="dxa"/>
            <w:vAlign w:val="center"/>
          </w:tcPr>
          <w:p w14:paraId="55DBD991" w14:textId="5A48D8B9" w:rsidR="00A0419C" w:rsidRPr="00A0419C" w:rsidRDefault="00A0419C" w:rsidP="00E72BA8">
            <w:pPr>
              <w:pStyle w:val="Tabletext0"/>
              <w:tabs>
                <w:tab w:val="clear" w:pos="284"/>
                <w:tab w:val="left" w:pos="477"/>
              </w:tabs>
              <w:ind w:left="454" w:hanging="454"/>
              <w:rPr>
                <w:lang w:val="es-ES"/>
              </w:rPr>
            </w:pPr>
            <w:r w:rsidRPr="00A0419C">
              <w:rPr>
                <w:lang w:val="en-GB"/>
              </w:rPr>
              <w:fldChar w:fldCharType="begin">
                <w:ffData>
                  <w:name w:val="Check1"/>
                  <w:enabled/>
                  <w:calcOnExit w:val="0"/>
                  <w:checkBox>
                    <w:sizeAuto/>
                    <w:default w:val="0"/>
                  </w:checkBox>
                </w:ffData>
              </w:fldChar>
            </w:r>
            <w:r w:rsidRPr="00A0419C">
              <w:rPr>
                <w:lang w:val="es-ES"/>
              </w:rPr>
              <w:instrText xml:space="preserve"> FORMCHECKBOX </w:instrText>
            </w:r>
            <w:r w:rsidRPr="00A0419C">
              <w:rPr>
                <w:lang w:val="en-GB"/>
              </w:rPr>
            </w:r>
            <w:r w:rsidRPr="00A0419C">
              <w:rPr>
                <w:lang w:val="en-GB"/>
              </w:rPr>
              <w:fldChar w:fldCharType="separate"/>
            </w:r>
            <w:r w:rsidRPr="00A0419C">
              <w:rPr>
                <w:lang w:val="es-ES"/>
              </w:rPr>
              <w:fldChar w:fldCharType="end"/>
            </w:r>
            <w:r w:rsidRPr="00A0419C">
              <w:rPr>
                <w:lang w:val="es-ES"/>
              </w:rPr>
              <w:tab/>
            </w:r>
            <w:r w:rsidRPr="00A0419C">
              <w:rPr>
                <w:b/>
                <w:bCs/>
                <w:lang w:val="es-ES"/>
              </w:rPr>
              <w:t xml:space="preserve">Otorga autoridad </w:t>
            </w:r>
            <w:r w:rsidRPr="00A0419C">
              <w:rPr>
                <w:lang w:val="es-ES"/>
              </w:rPr>
              <w:t>a la CE 21 a fin de examinar este texto para aprobación (en cuyo caso seleccionará una de las dos opciones</w:t>
            </w:r>
            <w:r w:rsidR="00E72BA8">
              <w:rPr>
                <w:lang w:val="es-ES"/>
              </w:rPr>
              <w:t xml:space="preserve"> </w:t>
            </w:r>
            <w:r w:rsidRPr="00A0419C">
              <w:rPr>
                <w:lang w:val="es-ES"/>
              </w:rPr>
              <w:t xml:space="preserve"> ⃝):</w:t>
            </w:r>
          </w:p>
          <w:p w14:paraId="6E36611F" w14:textId="77777777" w:rsidR="00A0419C" w:rsidRPr="00A0419C" w:rsidRDefault="00A0419C" w:rsidP="00E72BA8">
            <w:pPr>
              <w:pStyle w:val="Tabletext0"/>
              <w:ind w:left="454"/>
              <w:rPr>
                <w:lang w:val="es-ES"/>
              </w:rPr>
            </w:pPr>
            <w:r w:rsidRPr="00A0419C">
              <w:rPr>
                <w:lang w:val="es-ES"/>
              </w:rPr>
              <w:t>⃝</w:t>
            </w:r>
            <w:r w:rsidRPr="00A0419C">
              <w:rPr>
                <w:lang w:val="es-ES"/>
              </w:rPr>
              <w:tab/>
              <w:t>Sin comentarios o cambios sugeridos</w:t>
            </w:r>
          </w:p>
          <w:p w14:paraId="3738CD1C" w14:textId="77777777" w:rsidR="00A0419C" w:rsidRPr="00A0419C" w:rsidRDefault="00A0419C" w:rsidP="00E72BA8">
            <w:pPr>
              <w:pStyle w:val="Tabletext0"/>
              <w:ind w:left="454"/>
              <w:rPr>
                <w:lang w:val="es-ES"/>
              </w:rPr>
            </w:pPr>
            <w:r w:rsidRPr="00A0419C">
              <w:rPr>
                <w:lang w:val="es-ES"/>
              </w:rPr>
              <w:t>⃝</w:t>
            </w:r>
            <w:r w:rsidRPr="00A0419C">
              <w:rPr>
                <w:lang w:val="es-ES"/>
              </w:rPr>
              <w:tab/>
              <w:t>Se adjuntan los comentarios o cambios sugeridos</w:t>
            </w:r>
          </w:p>
        </w:tc>
      </w:tr>
      <w:tr w:rsidR="00A0419C" w:rsidRPr="00A0419C" w14:paraId="70CBEF17" w14:textId="77777777" w:rsidTr="0079153B">
        <w:trPr>
          <w:jc w:val="center"/>
        </w:trPr>
        <w:tc>
          <w:tcPr>
            <w:tcW w:w="2739" w:type="dxa"/>
            <w:vMerge/>
            <w:vAlign w:val="center"/>
          </w:tcPr>
          <w:p w14:paraId="361B1436" w14:textId="77777777" w:rsidR="00A0419C" w:rsidRPr="00A0419C" w:rsidRDefault="00A0419C" w:rsidP="0079153B">
            <w:pPr>
              <w:jc w:val="center"/>
              <w:rPr>
                <w:b/>
                <w:bCs/>
                <w:lang w:val="es-ES"/>
              </w:rPr>
            </w:pPr>
          </w:p>
        </w:tc>
        <w:tc>
          <w:tcPr>
            <w:tcW w:w="6900" w:type="dxa"/>
            <w:vAlign w:val="center"/>
          </w:tcPr>
          <w:p w14:paraId="47E329EB" w14:textId="77777777" w:rsidR="00A0419C" w:rsidRPr="00A0419C" w:rsidRDefault="00A0419C" w:rsidP="00E72BA8">
            <w:pPr>
              <w:pStyle w:val="Tabletext0"/>
              <w:tabs>
                <w:tab w:val="clear" w:pos="284"/>
                <w:tab w:val="left" w:pos="477"/>
              </w:tabs>
              <w:ind w:left="454" w:hanging="454"/>
              <w:rPr>
                <w:lang w:val="es-ES"/>
              </w:rPr>
            </w:pPr>
            <w:r w:rsidRPr="00A0419C">
              <w:rPr>
                <w:lang w:val="en-GB"/>
              </w:rPr>
              <w:fldChar w:fldCharType="begin">
                <w:ffData>
                  <w:name w:val="Check1"/>
                  <w:enabled/>
                  <w:calcOnExit w:val="0"/>
                  <w:checkBox>
                    <w:sizeAuto/>
                    <w:default w:val="0"/>
                  </w:checkBox>
                </w:ffData>
              </w:fldChar>
            </w:r>
            <w:r w:rsidRPr="00A0419C">
              <w:rPr>
                <w:lang w:val="es-ES"/>
              </w:rPr>
              <w:instrText xml:space="preserve"> FORMCHECKBOX </w:instrText>
            </w:r>
            <w:r w:rsidRPr="00A0419C">
              <w:rPr>
                <w:lang w:val="en-GB"/>
              </w:rPr>
            </w:r>
            <w:r w:rsidRPr="00A0419C">
              <w:rPr>
                <w:lang w:val="en-GB"/>
              </w:rPr>
              <w:fldChar w:fldCharType="separate"/>
            </w:r>
            <w:r w:rsidRPr="00A0419C">
              <w:rPr>
                <w:lang w:val="es-ES"/>
              </w:rPr>
              <w:fldChar w:fldCharType="end"/>
            </w:r>
            <w:r w:rsidRPr="00A0419C">
              <w:rPr>
                <w:lang w:val="es-ES"/>
              </w:rPr>
              <w:tab/>
            </w:r>
            <w:r w:rsidRPr="00A0419C">
              <w:rPr>
                <w:b/>
                <w:bCs/>
                <w:lang w:val="es-ES"/>
              </w:rPr>
              <w:t xml:space="preserve">No otorga autoridad </w:t>
            </w:r>
            <w:r w:rsidRPr="00A0419C">
              <w:rPr>
                <w:lang w:val="es-ES"/>
              </w:rPr>
              <w:t>a la CE 21 a fin de examinar este texto para aprobación (se adjuntan los motivos de esta decisión y las posibles modificaciones que permitirían que prosiguieran los trabajos)</w:t>
            </w:r>
          </w:p>
        </w:tc>
      </w:tr>
      <w:tr w:rsidR="00A0419C" w:rsidRPr="00A0419C" w14:paraId="470C0916" w14:textId="77777777" w:rsidTr="0079153B">
        <w:trPr>
          <w:jc w:val="center"/>
        </w:trPr>
        <w:tc>
          <w:tcPr>
            <w:tcW w:w="2739" w:type="dxa"/>
            <w:vMerge w:val="restart"/>
            <w:vAlign w:val="center"/>
          </w:tcPr>
          <w:p w14:paraId="5AA03393" w14:textId="77777777" w:rsidR="00A0419C" w:rsidRPr="00A0419C" w:rsidRDefault="00A0419C" w:rsidP="0079153B">
            <w:pPr>
              <w:pStyle w:val="Tabletext0"/>
              <w:jc w:val="center"/>
              <w:rPr>
                <w:b/>
                <w:bCs/>
                <w:lang w:val="es-ES"/>
              </w:rPr>
            </w:pPr>
            <w:r w:rsidRPr="00A0419C">
              <w:rPr>
                <w:b/>
                <w:bCs/>
                <w:lang w:val="es-ES"/>
              </w:rPr>
              <w:t>Proyecto de nueva Recomendación UIT-T F.748.75 (ex F.MTTIR)</w:t>
            </w:r>
          </w:p>
        </w:tc>
        <w:tc>
          <w:tcPr>
            <w:tcW w:w="6900" w:type="dxa"/>
            <w:vAlign w:val="center"/>
          </w:tcPr>
          <w:p w14:paraId="4EE76FBC" w14:textId="37AF1191" w:rsidR="00A0419C" w:rsidRPr="00A0419C" w:rsidRDefault="00A0419C" w:rsidP="00E72BA8">
            <w:pPr>
              <w:pStyle w:val="Tabletext0"/>
              <w:tabs>
                <w:tab w:val="clear" w:pos="284"/>
                <w:tab w:val="left" w:pos="477"/>
              </w:tabs>
              <w:ind w:left="454" w:hanging="454"/>
              <w:rPr>
                <w:lang w:val="es-ES"/>
              </w:rPr>
            </w:pPr>
            <w:r w:rsidRPr="00A0419C">
              <w:rPr>
                <w:lang w:val="en-GB"/>
              </w:rPr>
              <w:fldChar w:fldCharType="begin">
                <w:ffData>
                  <w:name w:val="Check1"/>
                  <w:enabled/>
                  <w:calcOnExit w:val="0"/>
                  <w:checkBox>
                    <w:sizeAuto/>
                    <w:default w:val="0"/>
                  </w:checkBox>
                </w:ffData>
              </w:fldChar>
            </w:r>
            <w:r w:rsidRPr="00A0419C">
              <w:rPr>
                <w:lang w:val="es-ES"/>
              </w:rPr>
              <w:instrText xml:space="preserve"> FORMCHECKBOX </w:instrText>
            </w:r>
            <w:r w:rsidRPr="00A0419C">
              <w:rPr>
                <w:lang w:val="en-GB"/>
              </w:rPr>
            </w:r>
            <w:r w:rsidRPr="00A0419C">
              <w:rPr>
                <w:lang w:val="en-GB"/>
              </w:rPr>
              <w:fldChar w:fldCharType="separate"/>
            </w:r>
            <w:r w:rsidRPr="00A0419C">
              <w:rPr>
                <w:lang w:val="es-ES"/>
              </w:rPr>
              <w:fldChar w:fldCharType="end"/>
            </w:r>
            <w:r w:rsidRPr="00A0419C">
              <w:rPr>
                <w:lang w:val="es-ES"/>
              </w:rPr>
              <w:tab/>
            </w:r>
            <w:r w:rsidRPr="00A0419C">
              <w:rPr>
                <w:b/>
                <w:bCs/>
                <w:lang w:val="es-ES"/>
              </w:rPr>
              <w:t xml:space="preserve">Otorga autoridad </w:t>
            </w:r>
            <w:r w:rsidRPr="00A0419C">
              <w:rPr>
                <w:lang w:val="es-ES"/>
              </w:rPr>
              <w:t>a la CE 21 a fin de examinar este texto para aprobación (en cuyo caso seleccionará una de las dos opciones</w:t>
            </w:r>
            <w:r w:rsidR="00E72BA8">
              <w:rPr>
                <w:lang w:val="es-ES"/>
              </w:rPr>
              <w:t xml:space="preserve"> </w:t>
            </w:r>
            <w:r w:rsidRPr="00A0419C">
              <w:rPr>
                <w:lang w:val="es-ES"/>
              </w:rPr>
              <w:t xml:space="preserve"> ⃝):</w:t>
            </w:r>
          </w:p>
          <w:p w14:paraId="1FB65744" w14:textId="77777777" w:rsidR="00A0419C" w:rsidRPr="00A0419C" w:rsidRDefault="00A0419C" w:rsidP="00E72BA8">
            <w:pPr>
              <w:pStyle w:val="Tabletext0"/>
              <w:ind w:left="454"/>
              <w:rPr>
                <w:lang w:val="es-ES"/>
              </w:rPr>
            </w:pPr>
            <w:r w:rsidRPr="00A0419C">
              <w:rPr>
                <w:lang w:val="es-ES"/>
              </w:rPr>
              <w:t>⃝</w:t>
            </w:r>
            <w:r w:rsidRPr="00A0419C">
              <w:rPr>
                <w:lang w:val="es-ES"/>
              </w:rPr>
              <w:tab/>
              <w:t>Sin comentarios o cambios sugeridos</w:t>
            </w:r>
          </w:p>
          <w:p w14:paraId="313E889F" w14:textId="77777777" w:rsidR="00A0419C" w:rsidRPr="00A0419C" w:rsidRDefault="00A0419C" w:rsidP="00E72BA8">
            <w:pPr>
              <w:pStyle w:val="Tabletext0"/>
              <w:ind w:left="454"/>
              <w:rPr>
                <w:lang w:val="es-ES"/>
              </w:rPr>
            </w:pPr>
            <w:r w:rsidRPr="00A0419C">
              <w:rPr>
                <w:lang w:val="es-ES"/>
              </w:rPr>
              <w:t>⃝</w:t>
            </w:r>
            <w:r w:rsidRPr="00A0419C">
              <w:rPr>
                <w:lang w:val="es-ES"/>
              </w:rPr>
              <w:tab/>
              <w:t>Se adjuntan los comentarios o cambios sugeridos</w:t>
            </w:r>
          </w:p>
        </w:tc>
      </w:tr>
      <w:tr w:rsidR="00A0419C" w:rsidRPr="00A0419C" w14:paraId="096FA5C0" w14:textId="77777777" w:rsidTr="0079153B">
        <w:trPr>
          <w:jc w:val="center"/>
        </w:trPr>
        <w:tc>
          <w:tcPr>
            <w:tcW w:w="2739" w:type="dxa"/>
            <w:vMerge/>
            <w:vAlign w:val="center"/>
          </w:tcPr>
          <w:p w14:paraId="33C57C37" w14:textId="77777777" w:rsidR="00A0419C" w:rsidRPr="00A0419C" w:rsidRDefault="00A0419C" w:rsidP="00E72BA8">
            <w:pPr>
              <w:pStyle w:val="Tabletext0"/>
              <w:rPr>
                <w:b/>
                <w:bCs/>
                <w:lang w:val="es-ES"/>
              </w:rPr>
            </w:pPr>
          </w:p>
        </w:tc>
        <w:tc>
          <w:tcPr>
            <w:tcW w:w="6900" w:type="dxa"/>
            <w:vAlign w:val="center"/>
          </w:tcPr>
          <w:p w14:paraId="3A3B210C" w14:textId="77777777" w:rsidR="00A0419C" w:rsidRPr="00A0419C" w:rsidRDefault="00A0419C" w:rsidP="00E72BA8">
            <w:pPr>
              <w:pStyle w:val="Tabletext0"/>
              <w:tabs>
                <w:tab w:val="clear" w:pos="284"/>
                <w:tab w:val="left" w:pos="477"/>
              </w:tabs>
              <w:ind w:left="454" w:hanging="454"/>
              <w:rPr>
                <w:lang w:val="es-ES"/>
              </w:rPr>
            </w:pPr>
            <w:r w:rsidRPr="00A0419C">
              <w:rPr>
                <w:lang w:val="en-GB"/>
              </w:rPr>
              <w:fldChar w:fldCharType="begin">
                <w:ffData>
                  <w:name w:val="Check1"/>
                  <w:enabled/>
                  <w:calcOnExit w:val="0"/>
                  <w:checkBox>
                    <w:sizeAuto/>
                    <w:default w:val="0"/>
                  </w:checkBox>
                </w:ffData>
              </w:fldChar>
            </w:r>
            <w:r w:rsidRPr="00A0419C">
              <w:rPr>
                <w:lang w:val="es-ES"/>
              </w:rPr>
              <w:instrText xml:space="preserve"> FORMCHECKBOX </w:instrText>
            </w:r>
            <w:r w:rsidRPr="00A0419C">
              <w:rPr>
                <w:lang w:val="en-GB"/>
              </w:rPr>
            </w:r>
            <w:r w:rsidRPr="00A0419C">
              <w:rPr>
                <w:lang w:val="en-GB"/>
              </w:rPr>
              <w:fldChar w:fldCharType="separate"/>
            </w:r>
            <w:r w:rsidRPr="00A0419C">
              <w:rPr>
                <w:lang w:val="es-ES"/>
              </w:rPr>
              <w:fldChar w:fldCharType="end"/>
            </w:r>
            <w:r w:rsidRPr="00A0419C">
              <w:rPr>
                <w:lang w:val="es-ES"/>
              </w:rPr>
              <w:tab/>
            </w:r>
            <w:r w:rsidRPr="00A0419C">
              <w:rPr>
                <w:b/>
                <w:bCs/>
                <w:lang w:val="es-ES"/>
              </w:rPr>
              <w:t xml:space="preserve">No otorga autoridad </w:t>
            </w:r>
            <w:r w:rsidRPr="00A0419C">
              <w:rPr>
                <w:lang w:val="es-ES"/>
              </w:rPr>
              <w:t>a la CE 21 a fin de examinar este texto para aprobación (se adjuntan los motivos de esta decisión y las posibles modificaciones que permitirían que prosiguieran los trabajos)</w:t>
            </w:r>
          </w:p>
        </w:tc>
      </w:tr>
      <w:tr w:rsidR="00A0419C" w:rsidRPr="00A0419C" w14:paraId="12CE620B" w14:textId="77777777" w:rsidTr="0079153B">
        <w:trPr>
          <w:cantSplit/>
          <w:jc w:val="center"/>
        </w:trPr>
        <w:tc>
          <w:tcPr>
            <w:tcW w:w="2739" w:type="dxa"/>
            <w:vMerge w:val="restart"/>
            <w:vAlign w:val="center"/>
          </w:tcPr>
          <w:p w14:paraId="1B3668CE" w14:textId="0E43CCD6" w:rsidR="00A0419C" w:rsidRPr="00A0419C" w:rsidRDefault="00A0419C" w:rsidP="0079153B">
            <w:pPr>
              <w:pStyle w:val="Tabletext0"/>
              <w:keepNext/>
              <w:keepLines/>
              <w:jc w:val="center"/>
              <w:rPr>
                <w:b/>
                <w:bCs/>
                <w:lang w:val="es-ES"/>
              </w:rPr>
            </w:pPr>
            <w:r w:rsidRPr="00A0419C">
              <w:rPr>
                <w:b/>
                <w:bCs/>
                <w:lang w:val="es-ES"/>
              </w:rPr>
              <w:lastRenderedPageBreak/>
              <w:t>Proyecto de nueva Recomendación UIT-T F.748.76 (ex F.AI</w:t>
            </w:r>
            <w:r w:rsidR="0079153B">
              <w:rPr>
                <w:b/>
                <w:bCs/>
                <w:lang w:val="es-ES"/>
              </w:rPr>
              <w:noBreakHyphen/>
            </w:r>
            <w:r w:rsidRPr="00A0419C">
              <w:rPr>
                <w:b/>
                <w:bCs/>
                <w:lang w:val="es-ES"/>
              </w:rPr>
              <w:t>RFSSMA)</w:t>
            </w:r>
          </w:p>
        </w:tc>
        <w:tc>
          <w:tcPr>
            <w:tcW w:w="6900" w:type="dxa"/>
            <w:vAlign w:val="center"/>
          </w:tcPr>
          <w:p w14:paraId="115F6734" w14:textId="5241B1C7" w:rsidR="00A0419C" w:rsidRPr="00A0419C" w:rsidRDefault="00A0419C" w:rsidP="0079153B">
            <w:pPr>
              <w:pStyle w:val="Tabletext0"/>
              <w:keepNext/>
              <w:keepLines/>
              <w:tabs>
                <w:tab w:val="clear" w:pos="284"/>
                <w:tab w:val="left" w:pos="477"/>
              </w:tabs>
              <w:ind w:left="454" w:hanging="454"/>
              <w:rPr>
                <w:lang w:val="es-ES"/>
              </w:rPr>
            </w:pPr>
            <w:r w:rsidRPr="00A0419C">
              <w:rPr>
                <w:lang w:val="en-GB"/>
              </w:rPr>
              <w:fldChar w:fldCharType="begin">
                <w:ffData>
                  <w:name w:val="Check1"/>
                  <w:enabled/>
                  <w:calcOnExit w:val="0"/>
                  <w:checkBox>
                    <w:sizeAuto/>
                    <w:default w:val="0"/>
                  </w:checkBox>
                </w:ffData>
              </w:fldChar>
            </w:r>
            <w:r w:rsidRPr="00A0419C">
              <w:rPr>
                <w:lang w:val="es-ES"/>
              </w:rPr>
              <w:instrText xml:space="preserve"> FORMCHECKBOX </w:instrText>
            </w:r>
            <w:r w:rsidRPr="00A0419C">
              <w:rPr>
                <w:lang w:val="en-GB"/>
              </w:rPr>
            </w:r>
            <w:r w:rsidRPr="00A0419C">
              <w:rPr>
                <w:lang w:val="en-GB"/>
              </w:rPr>
              <w:fldChar w:fldCharType="separate"/>
            </w:r>
            <w:r w:rsidRPr="00A0419C">
              <w:rPr>
                <w:lang w:val="es-ES"/>
              </w:rPr>
              <w:fldChar w:fldCharType="end"/>
            </w:r>
            <w:r w:rsidRPr="00A0419C">
              <w:rPr>
                <w:lang w:val="es-ES"/>
              </w:rPr>
              <w:tab/>
            </w:r>
            <w:r w:rsidRPr="00A0419C">
              <w:rPr>
                <w:b/>
                <w:bCs/>
                <w:lang w:val="es-ES"/>
              </w:rPr>
              <w:t xml:space="preserve">Otorga autoridad </w:t>
            </w:r>
            <w:r w:rsidRPr="00A0419C">
              <w:rPr>
                <w:lang w:val="es-ES"/>
              </w:rPr>
              <w:t>a la CE 21 a fin de examinar este texto para aprobación (en cuyo caso seleccionará una de las dos opciones</w:t>
            </w:r>
            <w:r w:rsidR="00E72BA8">
              <w:rPr>
                <w:lang w:val="es-ES"/>
              </w:rPr>
              <w:t xml:space="preserve"> </w:t>
            </w:r>
            <w:r w:rsidRPr="00A0419C">
              <w:rPr>
                <w:lang w:val="es-ES"/>
              </w:rPr>
              <w:t xml:space="preserve"> ⃝):</w:t>
            </w:r>
          </w:p>
          <w:p w14:paraId="1406EA7E" w14:textId="77777777" w:rsidR="00A0419C" w:rsidRPr="00A0419C" w:rsidRDefault="00A0419C" w:rsidP="0079153B">
            <w:pPr>
              <w:pStyle w:val="Tabletext0"/>
              <w:keepNext/>
              <w:keepLines/>
              <w:ind w:left="454"/>
              <w:rPr>
                <w:lang w:val="es-ES"/>
              </w:rPr>
            </w:pPr>
            <w:r w:rsidRPr="00A0419C">
              <w:rPr>
                <w:lang w:val="es-ES"/>
              </w:rPr>
              <w:t>⃝</w:t>
            </w:r>
            <w:r w:rsidRPr="00A0419C">
              <w:rPr>
                <w:lang w:val="es-ES"/>
              </w:rPr>
              <w:tab/>
              <w:t>Sin comentarios o cambios sugeridos</w:t>
            </w:r>
          </w:p>
          <w:p w14:paraId="685EAAE1" w14:textId="77777777" w:rsidR="00A0419C" w:rsidRPr="00A0419C" w:rsidRDefault="00A0419C" w:rsidP="0079153B">
            <w:pPr>
              <w:pStyle w:val="Tabletext0"/>
              <w:keepNext/>
              <w:keepLines/>
              <w:ind w:left="454"/>
              <w:rPr>
                <w:lang w:val="es-ES"/>
              </w:rPr>
            </w:pPr>
            <w:r w:rsidRPr="00A0419C">
              <w:rPr>
                <w:lang w:val="es-ES"/>
              </w:rPr>
              <w:t>⃝</w:t>
            </w:r>
            <w:r w:rsidRPr="00A0419C">
              <w:rPr>
                <w:lang w:val="es-ES"/>
              </w:rPr>
              <w:tab/>
              <w:t>Se adjuntan los comentarios o cambios sugeridos</w:t>
            </w:r>
          </w:p>
        </w:tc>
      </w:tr>
      <w:tr w:rsidR="00A0419C" w:rsidRPr="00A0419C" w14:paraId="3504F4A0" w14:textId="77777777" w:rsidTr="0079153B">
        <w:trPr>
          <w:jc w:val="center"/>
        </w:trPr>
        <w:tc>
          <w:tcPr>
            <w:tcW w:w="2739" w:type="dxa"/>
            <w:vMerge/>
            <w:vAlign w:val="center"/>
          </w:tcPr>
          <w:p w14:paraId="1293ED7B" w14:textId="77777777" w:rsidR="00A0419C" w:rsidRPr="00A0419C" w:rsidRDefault="00A0419C" w:rsidP="00A0419C">
            <w:pPr>
              <w:rPr>
                <w:b/>
                <w:bCs/>
                <w:lang w:val="es-ES"/>
              </w:rPr>
            </w:pPr>
          </w:p>
        </w:tc>
        <w:tc>
          <w:tcPr>
            <w:tcW w:w="6900" w:type="dxa"/>
            <w:vAlign w:val="center"/>
          </w:tcPr>
          <w:p w14:paraId="500A44F9" w14:textId="77777777" w:rsidR="00A0419C" w:rsidRPr="00A0419C" w:rsidRDefault="00A0419C" w:rsidP="00E72BA8">
            <w:pPr>
              <w:pStyle w:val="Tabletext0"/>
              <w:tabs>
                <w:tab w:val="clear" w:pos="284"/>
                <w:tab w:val="left" w:pos="477"/>
              </w:tabs>
              <w:ind w:left="454" w:hanging="454"/>
              <w:rPr>
                <w:lang w:val="es-ES"/>
              </w:rPr>
            </w:pPr>
            <w:r w:rsidRPr="00A0419C">
              <w:rPr>
                <w:lang w:val="en-GB"/>
              </w:rPr>
              <w:fldChar w:fldCharType="begin">
                <w:ffData>
                  <w:name w:val="Check1"/>
                  <w:enabled/>
                  <w:calcOnExit w:val="0"/>
                  <w:checkBox>
                    <w:sizeAuto/>
                    <w:default w:val="0"/>
                  </w:checkBox>
                </w:ffData>
              </w:fldChar>
            </w:r>
            <w:r w:rsidRPr="00A0419C">
              <w:rPr>
                <w:lang w:val="es-ES"/>
              </w:rPr>
              <w:instrText xml:space="preserve"> FORMCHECKBOX </w:instrText>
            </w:r>
            <w:r w:rsidRPr="00A0419C">
              <w:rPr>
                <w:lang w:val="en-GB"/>
              </w:rPr>
            </w:r>
            <w:r w:rsidRPr="00A0419C">
              <w:rPr>
                <w:lang w:val="en-GB"/>
              </w:rPr>
              <w:fldChar w:fldCharType="separate"/>
            </w:r>
            <w:r w:rsidRPr="00A0419C">
              <w:rPr>
                <w:lang w:val="es-ES"/>
              </w:rPr>
              <w:fldChar w:fldCharType="end"/>
            </w:r>
            <w:r w:rsidRPr="00A0419C">
              <w:rPr>
                <w:lang w:val="es-ES"/>
              </w:rPr>
              <w:tab/>
            </w:r>
            <w:r w:rsidRPr="00A0419C">
              <w:rPr>
                <w:b/>
                <w:bCs/>
                <w:lang w:val="es-ES"/>
              </w:rPr>
              <w:t xml:space="preserve">No otorga autoridad </w:t>
            </w:r>
            <w:r w:rsidRPr="00A0419C">
              <w:rPr>
                <w:lang w:val="es-ES"/>
              </w:rPr>
              <w:t>a la CE 21 a fin de examinar este texto para aprobación (se adjuntan los motivos de esta decisión y las posibles modificaciones que permitirían que prosiguieran los trabajos)</w:t>
            </w:r>
          </w:p>
        </w:tc>
      </w:tr>
      <w:tr w:rsidR="00A0419C" w:rsidRPr="00A0419C" w14:paraId="30CF737C" w14:textId="77777777" w:rsidTr="0079153B">
        <w:trPr>
          <w:jc w:val="center"/>
        </w:trPr>
        <w:tc>
          <w:tcPr>
            <w:tcW w:w="2739" w:type="dxa"/>
            <w:vMerge w:val="restart"/>
            <w:vAlign w:val="center"/>
          </w:tcPr>
          <w:p w14:paraId="1A2974BF" w14:textId="15C123C2" w:rsidR="00A0419C" w:rsidRPr="00A0419C" w:rsidRDefault="00A0419C" w:rsidP="0079153B">
            <w:pPr>
              <w:pStyle w:val="Tabletext0"/>
              <w:jc w:val="center"/>
              <w:rPr>
                <w:b/>
                <w:bCs/>
                <w:lang w:val="es-ES"/>
              </w:rPr>
            </w:pPr>
            <w:r w:rsidRPr="00A0419C">
              <w:rPr>
                <w:b/>
                <w:bCs/>
                <w:lang w:val="es-ES"/>
              </w:rPr>
              <w:t>Proyecto de nueva Recomendación UIT-T J.1043 (ex J.DRMVA</w:t>
            </w:r>
            <w:r w:rsidR="0079153B">
              <w:rPr>
                <w:b/>
                <w:bCs/>
                <w:lang w:val="es-ES"/>
              </w:rPr>
              <w:noBreakHyphen/>
            </w:r>
            <w:r w:rsidRPr="00A0419C">
              <w:rPr>
                <w:b/>
                <w:bCs/>
                <w:lang w:val="es-ES"/>
              </w:rPr>
              <w:t>rbst)</w:t>
            </w:r>
          </w:p>
        </w:tc>
        <w:tc>
          <w:tcPr>
            <w:tcW w:w="6900" w:type="dxa"/>
            <w:vAlign w:val="center"/>
          </w:tcPr>
          <w:p w14:paraId="437075F7" w14:textId="3D4E11C9" w:rsidR="00A0419C" w:rsidRPr="00A0419C" w:rsidRDefault="00A0419C" w:rsidP="00E72BA8">
            <w:pPr>
              <w:pStyle w:val="Tabletext0"/>
              <w:tabs>
                <w:tab w:val="clear" w:pos="284"/>
                <w:tab w:val="left" w:pos="477"/>
              </w:tabs>
              <w:ind w:left="454" w:hanging="454"/>
              <w:rPr>
                <w:lang w:val="es-ES"/>
              </w:rPr>
            </w:pPr>
            <w:r w:rsidRPr="00A0419C">
              <w:rPr>
                <w:lang w:val="en-GB"/>
              </w:rPr>
              <w:fldChar w:fldCharType="begin">
                <w:ffData>
                  <w:name w:val="Check1"/>
                  <w:enabled/>
                  <w:calcOnExit w:val="0"/>
                  <w:checkBox>
                    <w:sizeAuto/>
                    <w:default w:val="0"/>
                  </w:checkBox>
                </w:ffData>
              </w:fldChar>
            </w:r>
            <w:r w:rsidRPr="00A0419C">
              <w:rPr>
                <w:lang w:val="es-ES"/>
              </w:rPr>
              <w:instrText xml:space="preserve"> FORMCHECKBOX </w:instrText>
            </w:r>
            <w:r w:rsidRPr="00A0419C">
              <w:rPr>
                <w:lang w:val="en-GB"/>
              </w:rPr>
            </w:r>
            <w:r w:rsidRPr="00A0419C">
              <w:rPr>
                <w:lang w:val="en-GB"/>
              </w:rPr>
              <w:fldChar w:fldCharType="separate"/>
            </w:r>
            <w:r w:rsidRPr="00A0419C">
              <w:rPr>
                <w:lang w:val="es-ES"/>
              </w:rPr>
              <w:fldChar w:fldCharType="end"/>
            </w:r>
            <w:r w:rsidRPr="00A0419C">
              <w:rPr>
                <w:lang w:val="es-ES"/>
              </w:rPr>
              <w:tab/>
            </w:r>
            <w:r w:rsidRPr="00A0419C">
              <w:rPr>
                <w:b/>
                <w:bCs/>
                <w:lang w:val="es-ES"/>
              </w:rPr>
              <w:t xml:space="preserve">Otorga autoridad </w:t>
            </w:r>
            <w:r w:rsidRPr="00A0419C">
              <w:rPr>
                <w:lang w:val="es-ES"/>
              </w:rPr>
              <w:t>a la CE 21 a fin de examinar este texto para aprobación (en cuyo caso seleccionará una de las dos opciones</w:t>
            </w:r>
            <w:r w:rsidR="00E72BA8">
              <w:rPr>
                <w:lang w:val="es-ES"/>
              </w:rPr>
              <w:t xml:space="preserve"> </w:t>
            </w:r>
            <w:r w:rsidRPr="00A0419C">
              <w:rPr>
                <w:lang w:val="es-ES"/>
              </w:rPr>
              <w:t xml:space="preserve"> ⃝):</w:t>
            </w:r>
          </w:p>
          <w:p w14:paraId="4C6A4F82" w14:textId="77777777" w:rsidR="00A0419C" w:rsidRPr="00A0419C" w:rsidRDefault="00A0419C" w:rsidP="00E72BA8">
            <w:pPr>
              <w:pStyle w:val="Tabletext0"/>
              <w:ind w:left="454"/>
              <w:rPr>
                <w:lang w:val="es-ES"/>
              </w:rPr>
            </w:pPr>
            <w:r w:rsidRPr="00A0419C">
              <w:rPr>
                <w:lang w:val="es-ES"/>
              </w:rPr>
              <w:t>⃝</w:t>
            </w:r>
            <w:r w:rsidRPr="00A0419C">
              <w:rPr>
                <w:lang w:val="es-ES"/>
              </w:rPr>
              <w:tab/>
              <w:t>Sin comentarios o cambios sugeridos</w:t>
            </w:r>
          </w:p>
          <w:p w14:paraId="257912B5" w14:textId="77777777" w:rsidR="00A0419C" w:rsidRPr="00A0419C" w:rsidRDefault="00A0419C" w:rsidP="00E72BA8">
            <w:pPr>
              <w:pStyle w:val="Tabletext0"/>
              <w:ind w:left="454"/>
              <w:rPr>
                <w:lang w:val="es-ES"/>
              </w:rPr>
            </w:pPr>
            <w:r w:rsidRPr="00A0419C">
              <w:rPr>
                <w:lang w:val="es-ES"/>
              </w:rPr>
              <w:t>⃝</w:t>
            </w:r>
            <w:r w:rsidRPr="00A0419C">
              <w:rPr>
                <w:lang w:val="es-ES"/>
              </w:rPr>
              <w:tab/>
              <w:t>Se adjuntan los comentarios o cambios sugeridos</w:t>
            </w:r>
          </w:p>
        </w:tc>
      </w:tr>
      <w:tr w:rsidR="00A0419C" w:rsidRPr="00A0419C" w14:paraId="3A3A31FA" w14:textId="77777777" w:rsidTr="0079153B">
        <w:trPr>
          <w:jc w:val="center"/>
        </w:trPr>
        <w:tc>
          <w:tcPr>
            <w:tcW w:w="2739" w:type="dxa"/>
            <w:vMerge/>
            <w:vAlign w:val="center"/>
          </w:tcPr>
          <w:p w14:paraId="218E2BB3" w14:textId="77777777" w:rsidR="00A0419C" w:rsidRPr="00A0419C" w:rsidRDefault="00A0419C" w:rsidP="00A0419C">
            <w:pPr>
              <w:rPr>
                <w:b/>
                <w:bCs/>
                <w:lang w:val="es-ES"/>
              </w:rPr>
            </w:pPr>
          </w:p>
        </w:tc>
        <w:tc>
          <w:tcPr>
            <w:tcW w:w="6900" w:type="dxa"/>
            <w:vAlign w:val="center"/>
          </w:tcPr>
          <w:p w14:paraId="662F28B9" w14:textId="77777777" w:rsidR="00A0419C" w:rsidRPr="00A0419C" w:rsidRDefault="00A0419C" w:rsidP="00E72BA8">
            <w:pPr>
              <w:pStyle w:val="Tabletext0"/>
              <w:tabs>
                <w:tab w:val="clear" w:pos="284"/>
                <w:tab w:val="left" w:pos="477"/>
              </w:tabs>
              <w:ind w:left="477" w:hanging="477"/>
              <w:rPr>
                <w:lang w:val="es-ES"/>
              </w:rPr>
            </w:pPr>
            <w:r w:rsidRPr="00A0419C">
              <w:rPr>
                <w:lang w:val="en-GB"/>
              </w:rPr>
              <w:fldChar w:fldCharType="begin">
                <w:ffData>
                  <w:name w:val="Check1"/>
                  <w:enabled/>
                  <w:calcOnExit w:val="0"/>
                  <w:checkBox>
                    <w:sizeAuto/>
                    <w:default w:val="0"/>
                  </w:checkBox>
                </w:ffData>
              </w:fldChar>
            </w:r>
            <w:r w:rsidRPr="00A0419C">
              <w:rPr>
                <w:lang w:val="es-ES"/>
              </w:rPr>
              <w:instrText xml:space="preserve"> FORMCHECKBOX </w:instrText>
            </w:r>
            <w:r w:rsidRPr="00A0419C">
              <w:rPr>
                <w:lang w:val="en-GB"/>
              </w:rPr>
            </w:r>
            <w:r w:rsidRPr="00A0419C">
              <w:rPr>
                <w:lang w:val="en-GB"/>
              </w:rPr>
              <w:fldChar w:fldCharType="separate"/>
            </w:r>
            <w:r w:rsidRPr="00A0419C">
              <w:rPr>
                <w:lang w:val="es-ES"/>
              </w:rPr>
              <w:fldChar w:fldCharType="end"/>
            </w:r>
            <w:r w:rsidRPr="00A0419C">
              <w:rPr>
                <w:lang w:val="es-ES"/>
              </w:rPr>
              <w:tab/>
            </w:r>
            <w:r w:rsidRPr="00A0419C">
              <w:rPr>
                <w:b/>
                <w:bCs/>
                <w:lang w:val="es-ES"/>
              </w:rPr>
              <w:t xml:space="preserve">No otorga autoridad </w:t>
            </w:r>
            <w:r w:rsidRPr="00A0419C">
              <w:rPr>
                <w:lang w:val="es-ES"/>
              </w:rPr>
              <w:t>a la CE 21 a fin de examinar este texto para aprobación (se adjuntan los motivos de esta decisión y las posibles modificaciones que permitirían que prosiguieran los trabajos)</w:t>
            </w:r>
          </w:p>
        </w:tc>
      </w:tr>
    </w:tbl>
    <w:p w14:paraId="2D8A37D7" w14:textId="77777777" w:rsidR="00A0419C" w:rsidRPr="00A0419C" w:rsidRDefault="00A0419C" w:rsidP="00A0419C">
      <w:pPr>
        <w:rPr>
          <w:lang w:val="pt-BR"/>
        </w:rPr>
      </w:pPr>
      <w:r w:rsidRPr="00A0419C">
        <w:rPr>
          <w:lang w:val="pt-BR"/>
        </w:rPr>
        <w:t>Atentamente,</w:t>
      </w:r>
    </w:p>
    <w:p w14:paraId="4D831BAE" w14:textId="30998592" w:rsidR="00A0419C" w:rsidRPr="00A0419C" w:rsidRDefault="00A0419C" w:rsidP="0079153B">
      <w:pPr>
        <w:spacing w:before="840"/>
        <w:rPr>
          <w:lang w:val="es-ES"/>
        </w:rPr>
      </w:pPr>
      <w:r w:rsidRPr="00A0419C">
        <w:rPr>
          <w:highlight w:val="green"/>
          <w:lang w:val="pt-BR"/>
        </w:rPr>
        <w:t>[Nombre]</w:t>
      </w:r>
      <w:r w:rsidR="0079153B">
        <w:rPr>
          <w:lang w:val="pt-BR"/>
        </w:rPr>
        <w:br/>
      </w:r>
      <w:r w:rsidRPr="00A0419C">
        <w:rPr>
          <w:highlight w:val="green"/>
          <w:lang w:val="pt-BR"/>
        </w:rPr>
        <w:t>[Cargo oficial/título]</w:t>
      </w:r>
      <w:r w:rsidR="0079153B">
        <w:rPr>
          <w:lang w:val="pt-BR"/>
        </w:rPr>
        <w:br/>
      </w:r>
      <w:r w:rsidRPr="00A0419C">
        <w:rPr>
          <w:lang w:val="es-ES"/>
        </w:rPr>
        <w:t xml:space="preserve">Administración de </w:t>
      </w:r>
      <w:r w:rsidRPr="00A0419C">
        <w:rPr>
          <w:highlight w:val="green"/>
          <w:lang w:val="es-ES"/>
        </w:rPr>
        <w:t>[Estado Miembro]</w:t>
      </w:r>
    </w:p>
    <w:bookmarkEnd w:id="6"/>
    <w:sectPr w:rsidR="00A0419C" w:rsidRPr="00A0419C" w:rsidSect="00B87E9E">
      <w:headerReference w:type="default" r:id="rId16"/>
      <w:footerReference w:type="first" r:id="rId17"/>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FB8A" w14:textId="77777777" w:rsidR="00211A65" w:rsidRDefault="00211A65">
      <w:r>
        <w:separator/>
      </w:r>
    </w:p>
  </w:endnote>
  <w:endnote w:type="continuationSeparator" w:id="0">
    <w:p w14:paraId="12864D95" w14:textId="77777777" w:rsidR="00211A65" w:rsidRDefault="0021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2DDA" w14:textId="2A7C35AE"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Tel</w:t>
    </w:r>
    <w:r w:rsidR="00101541">
      <w:rPr>
        <w:color w:val="0070C0"/>
        <w:szCs w:val="18"/>
        <w:lang w:val="es-ES"/>
      </w:rPr>
      <w:t>.</w:t>
    </w:r>
    <w:r w:rsidRPr="00D834E7">
      <w:rPr>
        <w:color w:val="0070C0"/>
        <w:szCs w:val="18"/>
        <w:lang w:val="es-ES"/>
      </w:rPr>
      <w:t xml:space="preserve">: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6227F" w14:textId="77777777" w:rsidR="00211A65" w:rsidRDefault="00211A65">
      <w:r>
        <w:t>____________________</w:t>
      </w:r>
    </w:p>
  </w:footnote>
  <w:footnote w:type="continuationSeparator" w:id="0">
    <w:p w14:paraId="34E134E8" w14:textId="77777777" w:rsidR="00211A65" w:rsidRDefault="0021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CB14" w14:textId="4E1E967D"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06800910" w14:textId="5D2080A4" w:rsidR="00101541" w:rsidRPr="00303D62" w:rsidRDefault="00101541">
    <w:pPr>
      <w:pStyle w:val="Header"/>
      <w:rPr>
        <w:sz w:val="18"/>
        <w:szCs w:val="18"/>
      </w:rPr>
    </w:pPr>
    <w:r w:rsidRPr="00101541">
      <w:rPr>
        <w:sz w:val="18"/>
        <w:szCs w:val="18"/>
      </w:rPr>
      <w:t xml:space="preserve">Circular TSB </w:t>
    </w:r>
    <w:r w:rsidR="00A0419C">
      <w:rPr>
        <w:sz w:val="18"/>
        <w:szCs w:val="18"/>
      </w:rPr>
      <w:t>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57CC"/>
    <w:multiLevelType w:val="hybridMultilevel"/>
    <w:tmpl w:val="FF622066"/>
    <w:lvl w:ilvl="0" w:tplc="927AFB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E4912"/>
    <w:multiLevelType w:val="hybridMultilevel"/>
    <w:tmpl w:val="0B1804B4"/>
    <w:lvl w:ilvl="0" w:tplc="927AFB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2"/>
  </w:num>
  <w:num w:numId="2" w16cid:durableId="1345282128">
    <w:abstractNumId w:val="5"/>
  </w:num>
  <w:num w:numId="3" w16cid:durableId="1069613404">
    <w:abstractNumId w:val="4"/>
  </w:num>
  <w:num w:numId="4" w16cid:durableId="374936234">
    <w:abstractNumId w:val="3"/>
  </w:num>
  <w:num w:numId="5" w16cid:durableId="858465426">
    <w:abstractNumId w:val="1"/>
  </w:num>
  <w:num w:numId="6" w16cid:durableId="73362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58"/>
    <w:rsid w:val="00002529"/>
    <w:rsid w:val="00005EBD"/>
    <w:rsid w:val="00020CC0"/>
    <w:rsid w:val="00085662"/>
    <w:rsid w:val="000B1BA2"/>
    <w:rsid w:val="000C382F"/>
    <w:rsid w:val="000C7D3B"/>
    <w:rsid w:val="00101541"/>
    <w:rsid w:val="00110B04"/>
    <w:rsid w:val="001173CC"/>
    <w:rsid w:val="001350B9"/>
    <w:rsid w:val="0014464D"/>
    <w:rsid w:val="001A54CC"/>
    <w:rsid w:val="00211A65"/>
    <w:rsid w:val="00234896"/>
    <w:rsid w:val="00257FB4"/>
    <w:rsid w:val="002E496E"/>
    <w:rsid w:val="00303D62"/>
    <w:rsid w:val="00335367"/>
    <w:rsid w:val="00370C2D"/>
    <w:rsid w:val="0037791E"/>
    <w:rsid w:val="003A7632"/>
    <w:rsid w:val="003B0CBC"/>
    <w:rsid w:val="003B4902"/>
    <w:rsid w:val="003C0BC5"/>
    <w:rsid w:val="003D1E8D"/>
    <w:rsid w:val="003D673B"/>
    <w:rsid w:val="003F2855"/>
    <w:rsid w:val="00401C20"/>
    <w:rsid w:val="00467293"/>
    <w:rsid w:val="004A7957"/>
    <w:rsid w:val="004C4144"/>
    <w:rsid w:val="005274C7"/>
    <w:rsid w:val="0055719E"/>
    <w:rsid w:val="005C6450"/>
    <w:rsid w:val="00657EEB"/>
    <w:rsid w:val="0066627F"/>
    <w:rsid w:val="006969B4"/>
    <w:rsid w:val="006E4F7B"/>
    <w:rsid w:val="00766C41"/>
    <w:rsid w:val="00781E2A"/>
    <w:rsid w:val="0079153B"/>
    <w:rsid w:val="007933A2"/>
    <w:rsid w:val="007B6316"/>
    <w:rsid w:val="00814503"/>
    <w:rsid w:val="008258C2"/>
    <w:rsid w:val="008505BD"/>
    <w:rsid w:val="00850C78"/>
    <w:rsid w:val="00876165"/>
    <w:rsid w:val="00884D12"/>
    <w:rsid w:val="008C17AD"/>
    <w:rsid w:val="008D02CD"/>
    <w:rsid w:val="0091370C"/>
    <w:rsid w:val="0095172A"/>
    <w:rsid w:val="009A0BA0"/>
    <w:rsid w:val="00A0419C"/>
    <w:rsid w:val="00A11B6A"/>
    <w:rsid w:val="00A2600C"/>
    <w:rsid w:val="00A31158"/>
    <w:rsid w:val="00A54E47"/>
    <w:rsid w:val="00AB6E3A"/>
    <w:rsid w:val="00AE7093"/>
    <w:rsid w:val="00B03EE2"/>
    <w:rsid w:val="00B422BC"/>
    <w:rsid w:val="00B43F77"/>
    <w:rsid w:val="00B55A3E"/>
    <w:rsid w:val="00B87E9E"/>
    <w:rsid w:val="00B95F0A"/>
    <w:rsid w:val="00B96180"/>
    <w:rsid w:val="00BA6F31"/>
    <w:rsid w:val="00BC3052"/>
    <w:rsid w:val="00C116FE"/>
    <w:rsid w:val="00C17AC0"/>
    <w:rsid w:val="00C34772"/>
    <w:rsid w:val="00C5465A"/>
    <w:rsid w:val="00C67459"/>
    <w:rsid w:val="00D54642"/>
    <w:rsid w:val="00D834E7"/>
    <w:rsid w:val="00D97832"/>
    <w:rsid w:val="00DD77C9"/>
    <w:rsid w:val="00DF3538"/>
    <w:rsid w:val="00E559C1"/>
    <w:rsid w:val="00E72BA8"/>
    <w:rsid w:val="00E839B0"/>
    <w:rsid w:val="00E92C09"/>
    <w:rsid w:val="00F14380"/>
    <w:rsid w:val="00F6461F"/>
    <w:rsid w:val="00FB1474"/>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B0B40"/>
  <w15:docId w15:val="{5B4F3BED-0458-4426-AA5D-B74EAC68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A2600C"/>
    <w:rPr>
      <w:color w:val="605E5C"/>
      <w:shd w:val="clear" w:color="auto" w:fill="E1DFDD"/>
    </w:rPr>
  </w:style>
  <w:style w:type="paragraph" w:customStyle="1" w:styleId="Reasons">
    <w:name w:val="Reasons"/>
    <w:basedOn w:val="Normal"/>
    <w:qFormat/>
    <w:rsid w:val="00A2600C"/>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3C0BC5"/>
    <w:rPr>
      <w:rFonts w:asciiTheme="minorHAnsi" w:hAnsiTheme="minorHAnsi"/>
      <w:sz w:val="24"/>
      <w:lang w:val="es-ES_tradnl" w:eastAsia="en-US"/>
    </w:rPr>
  </w:style>
  <w:style w:type="paragraph" w:customStyle="1" w:styleId="Docnumber">
    <w:name w:val="Docnumber"/>
    <w:basedOn w:val="Tabletext0"/>
    <w:rsid w:val="005274C7"/>
    <w:pPr>
      <w:tabs>
        <w:tab w:val="clear" w:pos="1134"/>
        <w:tab w:val="clear" w:pos="2268"/>
        <w:tab w:val="left" w:pos="794"/>
        <w:tab w:val="left" w:pos="1191"/>
        <w:tab w:val="left" w:pos="1588"/>
      </w:tabs>
    </w:pPr>
    <w:rPr>
      <w:b/>
      <w:bC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21-R-0018/e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itu.int/md/T25-SG21-R-0017/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21-R-0016/es" TargetMode="External"/><Relationship Id="rId5" Type="http://schemas.openxmlformats.org/officeDocument/2006/relationships/webSettings" Target="webSettings.xml"/><Relationship Id="rId15" Type="http://schemas.openxmlformats.org/officeDocument/2006/relationships/hyperlink" Target="mailto:tsbdir@itu.int" TargetMode="External"/><Relationship Id="rId10" Type="http://schemas.openxmlformats.org/officeDocument/2006/relationships/hyperlink" Target="https://www.itu.int/md/T25-SG21-R-0015/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21@itu.int" TargetMode="External"/><Relationship Id="rId14" Type="http://schemas.openxmlformats.org/officeDocument/2006/relationships/hyperlink" Target="https://www.itu.int/md/T25-SG21-R-0019/es" TargetMode="Externa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customXml/itemProps2.xml><?xml version="1.0" encoding="utf-8"?>
<ds:datastoreItem xmlns:ds="http://schemas.openxmlformats.org/officeDocument/2006/customXml" ds:itemID="{77AE860E-4461-4E98-AC42-4A4359B2FC3B}"/>
</file>

<file path=customXml/itemProps3.xml><?xml version="1.0" encoding="utf-8"?>
<ds:datastoreItem xmlns:ds="http://schemas.openxmlformats.org/officeDocument/2006/customXml" ds:itemID="{DB855F6B-5D4A-4D83-BE49-2582ADCF871B}"/>
</file>

<file path=customXml/itemProps4.xml><?xml version="1.0" encoding="utf-8"?>
<ds:datastoreItem xmlns:ds="http://schemas.openxmlformats.org/officeDocument/2006/customXml" ds:itemID="{8344CF36-122B-40D1-874E-78134C40947B}"/>
</file>

<file path=docProps/app.xml><?xml version="1.0" encoding="utf-8"?>
<Properties xmlns="http://schemas.openxmlformats.org/officeDocument/2006/extended-properties" xmlns:vt="http://schemas.openxmlformats.org/officeDocument/2006/docPropsVTypes">
  <Template>PS_TSB_Circular_Letter.dotx</Template>
  <TotalTime>122</TotalTime>
  <Pages>7</Pages>
  <Words>2280</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15378</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Spanish83</dc:creator>
  <cp:lastModifiedBy>Spanish83</cp:lastModifiedBy>
  <cp:revision>6</cp:revision>
  <cp:lastPrinted>2011-04-15T08:24:00Z</cp:lastPrinted>
  <dcterms:created xsi:type="dcterms:W3CDTF">2026-01-26T13:25:00Z</dcterms:created>
  <dcterms:modified xsi:type="dcterms:W3CDTF">2026-01-26T15:33:00Z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