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279"/>
        <w:gridCol w:w="3476"/>
        <w:gridCol w:w="4974"/>
      </w:tblGrid>
      <w:tr w:rsidR="00EF6A23" w:rsidRPr="00052C53" w14:paraId="20E2C178" w14:textId="77777777" w:rsidTr="003F083D">
        <w:trPr>
          <w:cantSplit/>
        </w:trPr>
        <w:tc>
          <w:tcPr>
            <w:tcW w:w="0" w:type="auto"/>
            <w:vAlign w:val="center"/>
          </w:tcPr>
          <w:p w14:paraId="7DDD6147" w14:textId="77777777" w:rsidR="00EF6A23" w:rsidRPr="00052C53" w:rsidRDefault="00EF6A23" w:rsidP="00534B46">
            <w:pPr>
              <w:tabs>
                <w:tab w:val="right" w:pos="8732"/>
              </w:tabs>
              <w:spacing w:before="0"/>
              <w:rPr>
                <w:b/>
                <w:bCs/>
                <w:iCs/>
                <w:color w:val="FFFFFF"/>
                <w:sz w:val="30"/>
                <w:szCs w:val="30"/>
              </w:rPr>
            </w:pPr>
            <w:r w:rsidRPr="00052C53">
              <w:rPr>
                <w:lang w:eastAsia="zh-CN"/>
              </w:rPr>
              <w:drawing>
                <wp:inline distT="0" distB="0" distL="0" distR="0" wp14:anchorId="008AED8B" wp14:editId="6CC7A9BC">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30E9CB7E" w14:textId="77777777" w:rsidR="00EF6A23" w:rsidRPr="00052C53" w:rsidRDefault="00EF6A23" w:rsidP="00534B46">
            <w:pPr>
              <w:spacing w:before="0"/>
              <w:rPr>
                <w:rFonts w:cs="Times New Roman Bold"/>
                <w:b/>
                <w:bCs/>
                <w:iCs/>
                <w:smallCaps/>
                <w:sz w:val="34"/>
                <w:szCs w:val="34"/>
              </w:rPr>
            </w:pPr>
            <w:r w:rsidRPr="00052C53">
              <w:rPr>
                <w:rFonts w:cs="Times New Roman Bold"/>
                <w:b/>
                <w:bCs/>
                <w:iCs/>
                <w:smallCaps/>
                <w:sz w:val="34"/>
                <w:szCs w:val="34"/>
              </w:rPr>
              <w:t>Union internationale des télécommunications</w:t>
            </w:r>
          </w:p>
          <w:p w14:paraId="14306D6E" w14:textId="77777777" w:rsidR="00EF6A23" w:rsidRPr="00052C53" w:rsidRDefault="00EF6A23" w:rsidP="00534B46">
            <w:pPr>
              <w:spacing w:before="0"/>
              <w:rPr>
                <w:color w:val="FFFFFF"/>
                <w:sz w:val="26"/>
                <w:szCs w:val="26"/>
              </w:rPr>
            </w:pPr>
            <w:r w:rsidRPr="00052C53">
              <w:rPr>
                <w:rFonts w:cs="Times New Roman Bold"/>
                <w:b/>
                <w:bCs/>
                <w:iCs/>
                <w:smallCaps/>
                <w:sz w:val="28"/>
                <w:szCs w:val="28"/>
              </w:rPr>
              <w:t>B</w:t>
            </w:r>
            <w:r w:rsidRPr="00052C53">
              <w:rPr>
                <w:b/>
                <w:bCs/>
                <w:iCs/>
                <w:smallCaps/>
                <w:sz w:val="28"/>
                <w:szCs w:val="28"/>
              </w:rPr>
              <w:t>ureau de la Normalisation des Télécommunications</w:t>
            </w:r>
          </w:p>
        </w:tc>
      </w:tr>
      <w:tr w:rsidR="00036F4F" w:rsidRPr="00052C53" w14:paraId="15B0C4D2" w14:textId="77777777" w:rsidTr="00ED1ECF">
        <w:trPr>
          <w:cantSplit/>
        </w:trPr>
        <w:tc>
          <w:tcPr>
            <w:tcW w:w="0" w:type="auto"/>
          </w:tcPr>
          <w:p w14:paraId="3624EE63" w14:textId="77777777" w:rsidR="00036F4F" w:rsidRPr="00052C53" w:rsidRDefault="00036F4F" w:rsidP="00534B46">
            <w:pPr>
              <w:tabs>
                <w:tab w:val="left" w:pos="4111"/>
              </w:tabs>
              <w:spacing w:before="10"/>
              <w:ind w:left="57"/>
            </w:pPr>
          </w:p>
        </w:tc>
        <w:tc>
          <w:tcPr>
            <w:tcW w:w="4675" w:type="dxa"/>
          </w:tcPr>
          <w:p w14:paraId="41DA24FB" w14:textId="77777777" w:rsidR="00036F4F" w:rsidRPr="00052C53" w:rsidRDefault="00036F4F" w:rsidP="00534B46">
            <w:pPr>
              <w:tabs>
                <w:tab w:val="left" w:pos="4111"/>
              </w:tabs>
              <w:spacing w:before="10"/>
              <w:ind w:left="57"/>
              <w:rPr>
                <w:b/>
              </w:rPr>
            </w:pPr>
          </w:p>
        </w:tc>
        <w:tc>
          <w:tcPr>
            <w:tcW w:w="3775" w:type="dxa"/>
          </w:tcPr>
          <w:p w14:paraId="68C982EE" w14:textId="4FF12B57" w:rsidR="00036F4F" w:rsidRPr="00052C53" w:rsidRDefault="00036F4F" w:rsidP="00534B46">
            <w:pPr>
              <w:tabs>
                <w:tab w:val="clear" w:pos="794"/>
                <w:tab w:val="clear" w:pos="1191"/>
                <w:tab w:val="clear" w:pos="1588"/>
                <w:tab w:val="clear" w:pos="1985"/>
                <w:tab w:val="left" w:pos="284"/>
              </w:tabs>
              <w:spacing w:after="120"/>
              <w:ind w:left="284" w:hanging="227"/>
            </w:pPr>
            <w:r w:rsidRPr="00052C53">
              <w:t>Genève, le</w:t>
            </w:r>
            <w:r w:rsidR="004419E9" w:rsidRPr="00052C53">
              <w:t xml:space="preserve"> </w:t>
            </w:r>
            <w:r w:rsidR="006C53C2" w:rsidRPr="00052C53">
              <w:t>21 janvier 2026</w:t>
            </w:r>
          </w:p>
        </w:tc>
      </w:tr>
      <w:tr w:rsidR="00F24C90" w:rsidRPr="00052C53" w14:paraId="7F6F043D" w14:textId="77777777" w:rsidTr="00ED1ECF">
        <w:trPr>
          <w:cantSplit/>
          <w:trHeight w:val="340"/>
        </w:trPr>
        <w:tc>
          <w:tcPr>
            <w:tcW w:w="0" w:type="auto"/>
          </w:tcPr>
          <w:p w14:paraId="397B7665" w14:textId="77777777" w:rsidR="00F24C90" w:rsidRPr="00052C53" w:rsidRDefault="00F24C90" w:rsidP="00534B46">
            <w:pPr>
              <w:tabs>
                <w:tab w:val="left" w:pos="4111"/>
              </w:tabs>
              <w:spacing w:before="10"/>
              <w:ind w:left="57"/>
              <w:rPr>
                <w:b/>
                <w:bCs/>
              </w:rPr>
            </w:pPr>
            <w:r w:rsidRPr="00052C53">
              <w:rPr>
                <w:b/>
                <w:bCs/>
              </w:rPr>
              <w:t>Réf.:</w:t>
            </w:r>
          </w:p>
        </w:tc>
        <w:tc>
          <w:tcPr>
            <w:tcW w:w="4675" w:type="dxa"/>
          </w:tcPr>
          <w:p w14:paraId="5079CCD1" w14:textId="1B32C54D" w:rsidR="00F24C90" w:rsidRPr="00052C53" w:rsidRDefault="00F24C90" w:rsidP="00534B46">
            <w:pPr>
              <w:tabs>
                <w:tab w:val="left" w:pos="4111"/>
              </w:tabs>
              <w:spacing w:before="10"/>
              <w:ind w:left="57"/>
              <w:rPr>
                <w:b/>
              </w:rPr>
            </w:pPr>
            <w:r w:rsidRPr="00052C53">
              <w:rPr>
                <w:b/>
              </w:rPr>
              <w:t xml:space="preserve">Circulaire TSB </w:t>
            </w:r>
            <w:r w:rsidR="006C53C2" w:rsidRPr="00052C53">
              <w:rPr>
                <w:b/>
              </w:rPr>
              <w:t>108</w:t>
            </w:r>
          </w:p>
          <w:p w14:paraId="6BB35CBE" w14:textId="6EA250EE" w:rsidR="00F24C90" w:rsidRPr="00052C53" w:rsidRDefault="00F24C90" w:rsidP="00534B46">
            <w:pPr>
              <w:tabs>
                <w:tab w:val="left" w:pos="4111"/>
              </w:tabs>
              <w:spacing w:before="10"/>
              <w:ind w:left="57"/>
            </w:pPr>
            <w:r w:rsidRPr="00052C53">
              <w:t xml:space="preserve">CE </w:t>
            </w:r>
            <w:r w:rsidR="006C53C2" w:rsidRPr="00052C53">
              <w:t>2</w:t>
            </w:r>
            <w:r w:rsidRPr="00052C53">
              <w:t>1/</w:t>
            </w:r>
            <w:r w:rsidR="006C53C2" w:rsidRPr="00052C53">
              <w:t>SP</w:t>
            </w:r>
          </w:p>
        </w:tc>
        <w:tc>
          <w:tcPr>
            <w:tcW w:w="3775" w:type="dxa"/>
            <w:vMerge w:val="restart"/>
          </w:tcPr>
          <w:p w14:paraId="3DD36B4D" w14:textId="1F0DD2E2" w:rsidR="00F24C90" w:rsidRPr="00052C53" w:rsidRDefault="00F24C90" w:rsidP="00534B46">
            <w:pPr>
              <w:tabs>
                <w:tab w:val="left" w:pos="4111"/>
              </w:tabs>
              <w:spacing w:before="0"/>
              <w:ind w:left="426" w:hanging="426"/>
            </w:pPr>
            <w:bookmarkStart w:id="0" w:name="Addressee_F"/>
            <w:bookmarkEnd w:id="0"/>
            <w:r w:rsidRPr="00052C53">
              <w:t>–</w:t>
            </w:r>
            <w:r w:rsidRPr="00052C53">
              <w:tab/>
              <w:t>Aux Administrations des États Membres de l'Union;</w:t>
            </w:r>
          </w:p>
          <w:p w14:paraId="7CB323BD" w14:textId="4AFC98CA" w:rsidR="00F24C90" w:rsidRPr="00052C53" w:rsidRDefault="00F24C90" w:rsidP="00534B46">
            <w:pPr>
              <w:tabs>
                <w:tab w:val="left" w:pos="4111"/>
              </w:tabs>
              <w:spacing w:before="0" w:after="120"/>
              <w:ind w:left="426" w:hanging="426"/>
            </w:pPr>
            <w:r w:rsidRPr="00052C53">
              <w:t>–</w:t>
            </w:r>
            <w:r w:rsidRPr="00052C53">
              <w:tab/>
              <w:t>À l'État de Palestine (Résolution</w:t>
            </w:r>
            <w:r w:rsidR="00ED1ECF" w:rsidRPr="00052C53">
              <w:t> </w:t>
            </w:r>
            <w:r w:rsidRPr="00052C53">
              <w:t>99</w:t>
            </w:r>
            <w:r w:rsidR="00ED1ECF" w:rsidRPr="00052C53">
              <w:t> </w:t>
            </w:r>
            <w:r w:rsidRPr="00052C53">
              <w:t>(Rév. Dubaï, 2018))</w:t>
            </w:r>
          </w:p>
        </w:tc>
      </w:tr>
      <w:tr w:rsidR="00F24C90" w:rsidRPr="00052C53" w14:paraId="4BE4E93B" w14:textId="77777777" w:rsidTr="00ED1ECF">
        <w:trPr>
          <w:cantSplit/>
        </w:trPr>
        <w:tc>
          <w:tcPr>
            <w:tcW w:w="0" w:type="auto"/>
          </w:tcPr>
          <w:p w14:paraId="00F318D4" w14:textId="77777777" w:rsidR="00F24C90" w:rsidRPr="00052C53" w:rsidRDefault="00F24C90" w:rsidP="00534B46">
            <w:pPr>
              <w:tabs>
                <w:tab w:val="left" w:pos="4111"/>
              </w:tabs>
              <w:spacing w:before="10"/>
              <w:ind w:left="57"/>
              <w:rPr>
                <w:b/>
                <w:bCs/>
                <w:sz w:val="20"/>
              </w:rPr>
            </w:pPr>
            <w:r w:rsidRPr="00052C53">
              <w:rPr>
                <w:b/>
                <w:bCs/>
              </w:rPr>
              <w:t>Tél.:</w:t>
            </w:r>
          </w:p>
        </w:tc>
        <w:tc>
          <w:tcPr>
            <w:tcW w:w="4675" w:type="dxa"/>
          </w:tcPr>
          <w:p w14:paraId="090C1A9E" w14:textId="373221EB" w:rsidR="00F24C90" w:rsidRPr="00052C53" w:rsidRDefault="00F24C90" w:rsidP="00534B46">
            <w:pPr>
              <w:tabs>
                <w:tab w:val="left" w:pos="4111"/>
              </w:tabs>
              <w:spacing w:before="0"/>
              <w:ind w:left="57"/>
            </w:pPr>
            <w:r w:rsidRPr="00052C53">
              <w:t>+41 22 730 5</w:t>
            </w:r>
            <w:r w:rsidR="00ED1ECF" w:rsidRPr="00052C53">
              <w:t>858</w:t>
            </w:r>
          </w:p>
        </w:tc>
        <w:tc>
          <w:tcPr>
            <w:tcW w:w="3775" w:type="dxa"/>
            <w:vMerge/>
          </w:tcPr>
          <w:p w14:paraId="3065C936" w14:textId="77777777" w:rsidR="00F24C90" w:rsidRPr="00052C53" w:rsidRDefault="00F24C90" w:rsidP="00534B46">
            <w:pPr>
              <w:tabs>
                <w:tab w:val="left" w:pos="226"/>
                <w:tab w:val="left" w:pos="4111"/>
              </w:tabs>
              <w:spacing w:before="0"/>
              <w:ind w:left="226" w:hanging="226"/>
              <w:rPr>
                <w:b/>
              </w:rPr>
            </w:pPr>
          </w:p>
        </w:tc>
      </w:tr>
      <w:tr w:rsidR="00F24C90" w:rsidRPr="00052C53" w14:paraId="6D82E5A4" w14:textId="77777777" w:rsidTr="00ED1ECF">
        <w:trPr>
          <w:cantSplit/>
          <w:trHeight w:val="244"/>
        </w:trPr>
        <w:tc>
          <w:tcPr>
            <w:tcW w:w="0" w:type="auto"/>
            <w:vMerge w:val="restart"/>
            <w:tcBorders>
              <w:bottom w:val="nil"/>
            </w:tcBorders>
          </w:tcPr>
          <w:p w14:paraId="1E420802" w14:textId="77777777" w:rsidR="00F24C90" w:rsidRPr="00052C53" w:rsidRDefault="00F24C90" w:rsidP="00534B46">
            <w:pPr>
              <w:tabs>
                <w:tab w:val="left" w:pos="4111"/>
              </w:tabs>
              <w:spacing w:before="10"/>
              <w:ind w:left="57"/>
              <w:rPr>
                <w:b/>
                <w:bCs/>
                <w:sz w:val="20"/>
              </w:rPr>
            </w:pPr>
            <w:r w:rsidRPr="00052C53">
              <w:rPr>
                <w:b/>
                <w:bCs/>
              </w:rPr>
              <w:t>Télécopie:</w:t>
            </w:r>
          </w:p>
          <w:p w14:paraId="27D45F01" w14:textId="663A0952" w:rsidR="00F24C90" w:rsidRPr="00052C53" w:rsidRDefault="00F24C90" w:rsidP="00534B46">
            <w:pPr>
              <w:tabs>
                <w:tab w:val="left" w:pos="4111"/>
              </w:tabs>
              <w:spacing w:before="10"/>
              <w:ind w:left="57"/>
              <w:rPr>
                <w:b/>
                <w:bCs/>
                <w:sz w:val="20"/>
              </w:rPr>
            </w:pPr>
            <w:r w:rsidRPr="00052C53">
              <w:rPr>
                <w:b/>
                <w:bCs/>
              </w:rPr>
              <w:t>Courriel:</w:t>
            </w:r>
          </w:p>
        </w:tc>
        <w:tc>
          <w:tcPr>
            <w:tcW w:w="4675" w:type="dxa"/>
            <w:vMerge w:val="restart"/>
            <w:tcBorders>
              <w:bottom w:val="nil"/>
            </w:tcBorders>
          </w:tcPr>
          <w:p w14:paraId="0BE0E67C" w14:textId="77777777" w:rsidR="00F24C90" w:rsidRPr="00052C53" w:rsidRDefault="00F24C90" w:rsidP="00534B46">
            <w:pPr>
              <w:tabs>
                <w:tab w:val="left" w:pos="4111"/>
              </w:tabs>
              <w:spacing w:before="0"/>
              <w:ind w:left="57"/>
            </w:pPr>
            <w:r w:rsidRPr="00052C53">
              <w:t>+41 22 730 5853</w:t>
            </w:r>
          </w:p>
          <w:p w14:paraId="194D6E00" w14:textId="3ECF0D8A" w:rsidR="00F24C90" w:rsidRPr="00052C53" w:rsidRDefault="00052C53" w:rsidP="00534B46">
            <w:pPr>
              <w:tabs>
                <w:tab w:val="left" w:pos="4111"/>
              </w:tabs>
              <w:spacing w:before="0"/>
              <w:ind w:left="57"/>
            </w:pPr>
            <w:hyperlink r:id="rId9" w:history="1">
              <w:r w:rsidR="006C53C2" w:rsidRPr="00052C53">
                <w:rPr>
                  <w:rStyle w:val="Hyperlink"/>
                </w:rPr>
                <w:t>tsbsg21@itu.int</w:t>
              </w:r>
            </w:hyperlink>
          </w:p>
        </w:tc>
        <w:tc>
          <w:tcPr>
            <w:tcW w:w="3775" w:type="dxa"/>
            <w:vMerge/>
            <w:tcBorders>
              <w:bottom w:val="nil"/>
            </w:tcBorders>
          </w:tcPr>
          <w:p w14:paraId="4A81B829" w14:textId="77777777" w:rsidR="00F24C90" w:rsidRPr="00052C53" w:rsidRDefault="00F24C90" w:rsidP="00534B46">
            <w:pPr>
              <w:tabs>
                <w:tab w:val="left" w:pos="226"/>
                <w:tab w:val="left" w:pos="4111"/>
              </w:tabs>
              <w:spacing w:before="0"/>
              <w:ind w:left="226" w:hanging="226"/>
              <w:rPr>
                <w:b/>
              </w:rPr>
            </w:pPr>
          </w:p>
        </w:tc>
      </w:tr>
      <w:tr w:rsidR="00F24C90" w:rsidRPr="00052C53" w14:paraId="51857D6E" w14:textId="77777777" w:rsidTr="00ED1ECF">
        <w:trPr>
          <w:cantSplit/>
        </w:trPr>
        <w:tc>
          <w:tcPr>
            <w:tcW w:w="0" w:type="auto"/>
            <w:vMerge/>
          </w:tcPr>
          <w:p w14:paraId="51B0C23B" w14:textId="5CB7B762" w:rsidR="00F24C90" w:rsidRPr="00052C53" w:rsidRDefault="00F24C90" w:rsidP="00534B46">
            <w:pPr>
              <w:tabs>
                <w:tab w:val="left" w:pos="4111"/>
              </w:tabs>
              <w:spacing w:before="10"/>
              <w:ind w:left="57"/>
              <w:rPr>
                <w:b/>
                <w:bCs/>
              </w:rPr>
            </w:pPr>
          </w:p>
        </w:tc>
        <w:tc>
          <w:tcPr>
            <w:tcW w:w="4675" w:type="dxa"/>
            <w:vMerge/>
          </w:tcPr>
          <w:p w14:paraId="051842CE" w14:textId="5022A8EF" w:rsidR="00F24C90" w:rsidRPr="00052C53" w:rsidRDefault="00F24C90" w:rsidP="00534B46">
            <w:pPr>
              <w:spacing w:before="0"/>
            </w:pPr>
          </w:p>
        </w:tc>
        <w:tc>
          <w:tcPr>
            <w:tcW w:w="3775" w:type="dxa"/>
          </w:tcPr>
          <w:p w14:paraId="0EC7857F" w14:textId="77777777" w:rsidR="00F24C90" w:rsidRPr="00052C53" w:rsidRDefault="00F24C90" w:rsidP="00534B46">
            <w:pPr>
              <w:tabs>
                <w:tab w:val="clear" w:pos="794"/>
                <w:tab w:val="left" w:pos="226"/>
                <w:tab w:val="left" w:pos="4111"/>
              </w:tabs>
              <w:spacing w:before="0"/>
              <w:ind w:left="226" w:hanging="226"/>
              <w:rPr>
                <w:b/>
                <w:bCs/>
              </w:rPr>
            </w:pPr>
            <w:r w:rsidRPr="00052C53">
              <w:rPr>
                <w:b/>
                <w:bCs/>
              </w:rPr>
              <w:t>Copie:</w:t>
            </w:r>
          </w:p>
          <w:p w14:paraId="17591681" w14:textId="104B3740" w:rsidR="00F24C90" w:rsidRPr="00052C53" w:rsidRDefault="00F24C90" w:rsidP="00534B46">
            <w:pPr>
              <w:tabs>
                <w:tab w:val="clear" w:pos="794"/>
                <w:tab w:val="left" w:pos="4111"/>
              </w:tabs>
              <w:spacing w:before="0"/>
              <w:ind w:left="426" w:hanging="426"/>
            </w:pPr>
            <w:r w:rsidRPr="00052C53">
              <w:t>–</w:t>
            </w:r>
            <w:r w:rsidRPr="00052C53">
              <w:tab/>
              <w:t>Aux Membres du Secteur de l'UIT-T;</w:t>
            </w:r>
          </w:p>
          <w:p w14:paraId="4FC123A3" w14:textId="3CC35B75" w:rsidR="00F24C90" w:rsidRPr="00052C53" w:rsidRDefault="00F24C90" w:rsidP="00534B46">
            <w:pPr>
              <w:tabs>
                <w:tab w:val="clear" w:pos="794"/>
                <w:tab w:val="left" w:pos="4111"/>
              </w:tabs>
              <w:spacing w:before="0"/>
              <w:ind w:left="426" w:hanging="426"/>
            </w:pPr>
            <w:r w:rsidRPr="00052C53">
              <w:t>–</w:t>
            </w:r>
            <w:r w:rsidRPr="00052C53">
              <w:tab/>
              <w:t xml:space="preserve">Aux Associés participant aux travaux de la Commission d'études </w:t>
            </w:r>
            <w:r w:rsidR="006C53C2" w:rsidRPr="00052C53">
              <w:t>2</w:t>
            </w:r>
            <w:r w:rsidRPr="00052C53">
              <w:t>1 de l'UIT-T;</w:t>
            </w:r>
          </w:p>
          <w:p w14:paraId="05CB2F7C" w14:textId="285AD4F2" w:rsidR="00F24C90" w:rsidRPr="00052C53" w:rsidRDefault="00F24C90" w:rsidP="00534B46">
            <w:pPr>
              <w:tabs>
                <w:tab w:val="clear" w:pos="794"/>
                <w:tab w:val="left" w:pos="4111"/>
              </w:tabs>
              <w:spacing w:before="0"/>
              <w:ind w:left="426" w:hanging="426"/>
            </w:pPr>
            <w:r w:rsidRPr="00052C53">
              <w:t>–</w:t>
            </w:r>
            <w:r w:rsidRPr="00052C53">
              <w:tab/>
              <w:t>Aux établissements universitaires participant aux travaux de l'UIT;</w:t>
            </w:r>
          </w:p>
          <w:p w14:paraId="43B2FEA6" w14:textId="4B8BF6CA" w:rsidR="00F24C90" w:rsidRPr="00052C53" w:rsidRDefault="00F24C90" w:rsidP="00534B46">
            <w:pPr>
              <w:tabs>
                <w:tab w:val="clear" w:pos="794"/>
                <w:tab w:val="left" w:pos="4111"/>
              </w:tabs>
              <w:spacing w:before="0"/>
              <w:ind w:left="426" w:hanging="426"/>
            </w:pPr>
            <w:r w:rsidRPr="00052C53">
              <w:t>–</w:t>
            </w:r>
            <w:r w:rsidRPr="00052C53">
              <w:tab/>
              <w:t xml:space="preserve">Au Président et aux Vice-Présidents de la Commission d'études </w:t>
            </w:r>
            <w:r w:rsidR="006C53C2" w:rsidRPr="00052C53">
              <w:t>2</w:t>
            </w:r>
            <w:r w:rsidRPr="00052C53">
              <w:t>1 de l'UIT-T;</w:t>
            </w:r>
          </w:p>
          <w:p w14:paraId="774923AF" w14:textId="2FE51F78" w:rsidR="00F24C90" w:rsidRPr="00052C53" w:rsidRDefault="00F24C90" w:rsidP="00534B46">
            <w:pPr>
              <w:tabs>
                <w:tab w:val="clear" w:pos="794"/>
                <w:tab w:val="left" w:pos="4111"/>
              </w:tabs>
              <w:spacing w:before="0"/>
              <w:ind w:left="426" w:hanging="426"/>
            </w:pPr>
            <w:r w:rsidRPr="00052C53">
              <w:t>–</w:t>
            </w:r>
            <w:r w:rsidRPr="00052C53">
              <w:tab/>
              <w:t>Au Directeur du Bureau de développement des télécommunications;</w:t>
            </w:r>
          </w:p>
          <w:p w14:paraId="3F80F6B6" w14:textId="49626C5F" w:rsidR="00F24C90" w:rsidRPr="00052C53" w:rsidRDefault="00F24C90" w:rsidP="00534B46">
            <w:pPr>
              <w:tabs>
                <w:tab w:val="clear" w:pos="794"/>
                <w:tab w:val="left" w:pos="4111"/>
              </w:tabs>
              <w:spacing w:before="0" w:after="120"/>
              <w:ind w:left="426" w:hanging="426"/>
            </w:pPr>
            <w:r w:rsidRPr="00052C53">
              <w:t>–</w:t>
            </w:r>
            <w:r w:rsidRPr="00052C53">
              <w:tab/>
              <w:t>Au Directeur du Bureau des radiocommunications</w:t>
            </w:r>
          </w:p>
        </w:tc>
      </w:tr>
      <w:tr w:rsidR="00F24C90" w:rsidRPr="00052C53" w14:paraId="6E08E7F7" w14:textId="77777777" w:rsidTr="00C41B89">
        <w:trPr>
          <w:cantSplit/>
          <w:trHeight w:val="397"/>
        </w:trPr>
        <w:tc>
          <w:tcPr>
            <w:tcW w:w="0" w:type="auto"/>
          </w:tcPr>
          <w:p w14:paraId="0929D296" w14:textId="77777777" w:rsidR="00F24C90" w:rsidRPr="00052C53" w:rsidRDefault="00F24C90" w:rsidP="00534B46">
            <w:pPr>
              <w:tabs>
                <w:tab w:val="left" w:pos="4111"/>
              </w:tabs>
              <w:ind w:left="57"/>
              <w:rPr>
                <w:b/>
                <w:bCs/>
                <w:szCs w:val="22"/>
              </w:rPr>
            </w:pPr>
            <w:r w:rsidRPr="00052C53">
              <w:rPr>
                <w:b/>
                <w:bCs/>
                <w:szCs w:val="22"/>
              </w:rPr>
              <w:t>Objet:</w:t>
            </w:r>
          </w:p>
        </w:tc>
        <w:tc>
          <w:tcPr>
            <w:tcW w:w="0" w:type="auto"/>
            <w:gridSpan w:val="2"/>
          </w:tcPr>
          <w:p w14:paraId="24806E01" w14:textId="07D8D364" w:rsidR="00F24C90" w:rsidRPr="00052C53" w:rsidRDefault="00F24C90" w:rsidP="00534B46">
            <w:pPr>
              <w:tabs>
                <w:tab w:val="left" w:pos="4111"/>
              </w:tabs>
              <w:spacing w:after="120"/>
              <w:ind w:left="57"/>
              <w:rPr>
                <w:b/>
                <w:bCs/>
                <w:szCs w:val="22"/>
              </w:rPr>
            </w:pPr>
            <w:r w:rsidRPr="00052C53">
              <w:rPr>
                <w:b/>
                <w:bCs/>
                <w:szCs w:val="22"/>
              </w:rPr>
              <w:t>Consultation des États Membres au sujet du texte déterminé des projets de Recommandations UIT-T</w:t>
            </w:r>
            <w:r w:rsidR="006C53C2" w:rsidRPr="00052C53">
              <w:rPr>
                <w:b/>
                <w:bCs/>
                <w:szCs w:val="22"/>
              </w:rPr>
              <w:t xml:space="preserve"> </w:t>
            </w:r>
            <w:bookmarkStart w:id="1" w:name="_Hlk220081983"/>
            <w:r w:rsidR="006C53C2" w:rsidRPr="00052C53">
              <w:rPr>
                <w:b/>
                <w:bCs/>
                <w:szCs w:val="22"/>
              </w:rPr>
              <w:t>H.862.9 (anciennement F.HR-AP), UIT-T F.748.39 (anciennement F.AICP-FRRC), UIT-T F.748.75 (anciennement F.MTTIR), UIT-T F.748.76 (anciennement F.AI-RFSSMA) et UIT-T J.1043 (anciennement J.DRMVA</w:t>
            </w:r>
            <w:r w:rsidR="00ED1ECF" w:rsidRPr="00052C53">
              <w:rPr>
                <w:b/>
                <w:bCs/>
                <w:szCs w:val="22"/>
              </w:rPr>
              <w:noBreakHyphen/>
            </w:r>
            <w:r w:rsidR="006C53C2" w:rsidRPr="00052C53">
              <w:rPr>
                <w:b/>
                <w:bCs/>
                <w:szCs w:val="22"/>
              </w:rPr>
              <w:t xml:space="preserve">rbst) </w:t>
            </w:r>
            <w:bookmarkEnd w:id="1"/>
            <w:r w:rsidRPr="00052C53">
              <w:rPr>
                <w:b/>
                <w:bCs/>
                <w:szCs w:val="22"/>
              </w:rPr>
              <w:t>qu'il est proposé d'approuver à la réunion de la Commission</w:t>
            </w:r>
            <w:r w:rsidR="00ED1ECF" w:rsidRPr="00052C53">
              <w:rPr>
                <w:b/>
                <w:bCs/>
                <w:szCs w:val="22"/>
              </w:rPr>
              <w:t> </w:t>
            </w:r>
            <w:r w:rsidRPr="00052C53">
              <w:rPr>
                <w:b/>
                <w:bCs/>
                <w:szCs w:val="22"/>
              </w:rPr>
              <w:t xml:space="preserve">d'études </w:t>
            </w:r>
            <w:r w:rsidR="006C53C2" w:rsidRPr="00052C53">
              <w:rPr>
                <w:b/>
                <w:bCs/>
                <w:szCs w:val="22"/>
              </w:rPr>
              <w:t>2</w:t>
            </w:r>
            <w:r w:rsidRPr="00052C53">
              <w:rPr>
                <w:b/>
                <w:bCs/>
                <w:szCs w:val="22"/>
              </w:rPr>
              <w:t xml:space="preserve">1 de l'UIT-T (prévue à Genève, du </w:t>
            </w:r>
            <w:r w:rsidR="006C53C2" w:rsidRPr="00052C53">
              <w:rPr>
                <w:b/>
                <w:bCs/>
                <w:szCs w:val="22"/>
              </w:rPr>
              <w:t>6 au 17 juillet 2026</w:t>
            </w:r>
            <w:r w:rsidRPr="00052C53">
              <w:rPr>
                <w:b/>
                <w:bCs/>
                <w:szCs w:val="22"/>
              </w:rPr>
              <w:t>)</w:t>
            </w:r>
          </w:p>
        </w:tc>
      </w:tr>
    </w:tbl>
    <w:p w14:paraId="66B7D322" w14:textId="77777777" w:rsidR="00517A03" w:rsidRPr="00052C53" w:rsidRDefault="00517A03" w:rsidP="00ED1ECF">
      <w:pPr>
        <w:pStyle w:val="Normalaftertitle"/>
      </w:pPr>
      <w:bookmarkStart w:id="2" w:name="StartTyping_F"/>
      <w:bookmarkEnd w:id="2"/>
      <w:r w:rsidRPr="00052C53">
        <w:t>Madame, Monsieur,</w:t>
      </w:r>
    </w:p>
    <w:p w14:paraId="74F67BEE" w14:textId="11DA0B17" w:rsidR="00E21B7F" w:rsidRPr="00052C53" w:rsidRDefault="00E21B7F" w:rsidP="00ED1ECF">
      <w:r w:rsidRPr="00052C53">
        <w:t>1</w:t>
      </w:r>
      <w:r w:rsidRPr="00052C53">
        <w:tab/>
        <w:t xml:space="preserve">La Commission d'études </w:t>
      </w:r>
      <w:r w:rsidR="006C53C2" w:rsidRPr="00052C53">
        <w:t>2</w:t>
      </w:r>
      <w:r w:rsidRPr="00052C53">
        <w:t>1 de l'UIT-T (</w:t>
      </w:r>
      <w:r w:rsidR="006C53C2" w:rsidRPr="00052C53">
        <w:t>Technologies pour le multimédia, la diffusion de contenus et la télévision par câble</w:t>
      </w:r>
      <w:r w:rsidRPr="00052C53">
        <w:t xml:space="preserve">) a l'intention d'appliquer la procédure d'approbation traditionnelle énoncée à la section 9 de la Résolution 1 (Rév. Genève, 2022) de l'AMNT pour l'approbation des projets de Recommandations mentionnés ci-dessus, à sa prochaine réunion, qui se tiendra à Genève du </w:t>
      </w:r>
      <w:r w:rsidR="006C53C2" w:rsidRPr="00052C53">
        <w:t>6 au 17 juillet 2026</w:t>
      </w:r>
      <w:r w:rsidRPr="00052C53">
        <w:t>. L'ordre du jour ainsi que tous les renseignements pertinents concernant la réunion de la Commission d'études </w:t>
      </w:r>
      <w:r w:rsidR="006C53C2" w:rsidRPr="00052C53">
        <w:t>2</w:t>
      </w:r>
      <w:r w:rsidRPr="00052C53">
        <w:t>1 de l'UIT-T seront mis à disposition en temps utile.</w:t>
      </w:r>
    </w:p>
    <w:p w14:paraId="70F2F6C2" w14:textId="33F15FE5" w:rsidR="006C53C2" w:rsidRPr="00052C53" w:rsidRDefault="00E21B7F" w:rsidP="00ED1ECF">
      <w:r w:rsidRPr="00052C53">
        <w:t>2</w:t>
      </w:r>
      <w:r w:rsidRPr="00052C53">
        <w:tab/>
        <w:t>Vous trouverez dans l'</w:t>
      </w:r>
      <w:r w:rsidRPr="00052C53">
        <w:rPr>
          <w:b/>
        </w:rPr>
        <w:t>Annexe 1</w:t>
      </w:r>
      <w:r w:rsidRPr="00052C53">
        <w:t xml:space="preserve"> les titres, les résumés et l'emplacement des projets de Recommandation UIT-T qu'il est proposé d'approuver.</w:t>
      </w:r>
    </w:p>
    <w:p w14:paraId="4DF8B1ED" w14:textId="374E8492" w:rsidR="006C53C2" w:rsidRPr="00052C53" w:rsidRDefault="006C53C2" w:rsidP="00ED1ECF">
      <w:pPr>
        <w:pStyle w:val="Note"/>
      </w:pPr>
      <w:r w:rsidRPr="00052C53">
        <w:t>NOTE 1 – Aucune justification UIT-T A.5 n'est nécessaire actuellement pour ces projets de Recommandations.</w:t>
      </w:r>
    </w:p>
    <w:p w14:paraId="0D5CED2F" w14:textId="4F2E127A" w:rsidR="00E21B7F" w:rsidRPr="00052C53" w:rsidRDefault="00E21B7F" w:rsidP="00534B46">
      <w:pPr>
        <w:rPr>
          <w:bCs/>
        </w:rPr>
      </w:pPr>
      <w:r w:rsidRPr="00052C53">
        <w:rPr>
          <w:bCs/>
        </w:rPr>
        <w:t>3</w:t>
      </w:r>
      <w:r w:rsidRPr="00052C53">
        <w:rPr>
          <w:bCs/>
        </w:rPr>
        <w:tab/>
        <w:t>La présente Circulaire a pour objet d'engager le processus de consultation formelle des États Membres de l'UIT, qui devront indiquer si ces textes peuvent être examinés en vue de leur approbation à la prochaine réunion, conformément au paragraphe 9.4 de la Résolution 1. Les</w:t>
      </w:r>
      <w:r w:rsidR="00B714ED" w:rsidRPr="00052C53">
        <w:rPr>
          <w:bCs/>
        </w:rPr>
        <w:t xml:space="preserve"> </w:t>
      </w:r>
      <w:r w:rsidRPr="00052C53">
        <w:rPr>
          <w:bCs/>
        </w:rPr>
        <w:t>États Membres sont priés de remplir le formulaire de l'</w:t>
      </w:r>
      <w:r w:rsidRPr="00052C53">
        <w:rPr>
          <w:b/>
        </w:rPr>
        <w:t>Annexe 2</w:t>
      </w:r>
      <w:r w:rsidRPr="00052C53">
        <w:rPr>
          <w:bCs/>
        </w:rPr>
        <w:t xml:space="preserve"> et de le renvoyer d'ici au </w:t>
      </w:r>
      <w:r w:rsidR="006C53C2" w:rsidRPr="00052C53">
        <w:rPr>
          <w:b/>
        </w:rPr>
        <w:t>24</w:t>
      </w:r>
      <w:r w:rsidR="00ED1ECF" w:rsidRPr="00052C53">
        <w:rPr>
          <w:b/>
        </w:rPr>
        <w:t> </w:t>
      </w:r>
      <w:r w:rsidR="006C53C2" w:rsidRPr="00052C53">
        <w:rPr>
          <w:b/>
        </w:rPr>
        <w:t>juin</w:t>
      </w:r>
      <w:r w:rsidR="00ED1ECF" w:rsidRPr="00052C53">
        <w:rPr>
          <w:b/>
        </w:rPr>
        <w:t> </w:t>
      </w:r>
      <w:r w:rsidR="006C53C2" w:rsidRPr="00052C53">
        <w:rPr>
          <w:b/>
        </w:rPr>
        <w:t>2026</w:t>
      </w:r>
      <w:r w:rsidRPr="00052C53">
        <w:rPr>
          <w:bCs/>
        </w:rPr>
        <w:t xml:space="preserve"> à 23 h 59 (UTC).</w:t>
      </w:r>
    </w:p>
    <w:p w14:paraId="352BA87A" w14:textId="2A6D65F3" w:rsidR="00307FB4" w:rsidRPr="00052C53" w:rsidRDefault="00E21B7F" w:rsidP="00534B46">
      <w:pPr>
        <w:rPr>
          <w:bCs/>
        </w:rPr>
      </w:pPr>
      <w:r w:rsidRPr="00052C53">
        <w:rPr>
          <w:bCs/>
        </w:rPr>
        <w:lastRenderedPageBreak/>
        <w:t>4</w:t>
      </w:r>
      <w:r w:rsidRPr="00052C53">
        <w:rPr>
          <w:bCs/>
        </w:rPr>
        <w:tab/>
        <w:t>Si au moins 70% des réponses des États Membres sont en faveur de l'examen, aux fins d'approbation, de ce texte, une séance plénière sera consacrée à l'application de la procédure d'approbation. Les États Membres qui n'autorisent pas la commission d'études à procéder ainsi doivent informer le Directeur du TSB des motifs de cette décision et lui faire part des éventuelles modifications qui permettraient la poursuite des travaux.</w:t>
      </w:r>
    </w:p>
    <w:p w14:paraId="66EB2417" w14:textId="77777777" w:rsidR="00307FB4" w:rsidRPr="00052C53" w:rsidRDefault="00307FB4" w:rsidP="00534B46">
      <w:pPr>
        <w:rPr>
          <w:bCs/>
        </w:rPr>
      </w:pPr>
      <w:r w:rsidRPr="00052C53">
        <w:rPr>
          <w:bCs/>
        </w:rPr>
        <w:t>Veuillez agréer, Madame, Monsieur, l'assurance de ma considération distinguée.</w:t>
      </w:r>
    </w:p>
    <w:p w14:paraId="65D4630A" w14:textId="77777777" w:rsidR="00B60868" w:rsidRPr="00052C53" w:rsidRDefault="00B60868" w:rsidP="00534B46">
      <w:pPr>
        <w:spacing w:before="480" w:after="480"/>
        <w:rPr>
          <w:bCs/>
        </w:rPr>
      </w:pPr>
      <w:r w:rsidRPr="00052C53">
        <w:rPr>
          <w:bCs/>
        </w:rPr>
        <w:t>(</w:t>
      </w:r>
      <w:r w:rsidRPr="00052C53">
        <w:rPr>
          <w:bCs/>
          <w:i/>
        </w:rPr>
        <w:t>signé</w:t>
      </w:r>
      <w:r w:rsidRPr="00052C53">
        <w:rPr>
          <w:bCs/>
        </w:rPr>
        <w:t>)</w:t>
      </w:r>
    </w:p>
    <w:p w14:paraId="1FE86AEC" w14:textId="77777777" w:rsidR="002937DB" w:rsidRPr="00052C53" w:rsidRDefault="00307FB4" w:rsidP="00534B46">
      <w:pPr>
        <w:rPr>
          <w:bCs/>
        </w:rPr>
      </w:pPr>
      <w:r w:rsidRPr="00052C53">
        <w:rPr>
          <w:bCs/>
        </w:rPr>
        <w:t>Seizo Onoe</w:t>
      </w:r>
      <w:r w:rsidR="00B60868" w:rsidRPr="00052C53">
        <w:rPr>
          <w:bCs/>
        </w:rPr>
        <w:br/>
      </w:r>
      <w:r w:rsidRPr="00052C53">
        <w:rPr>
          <w:bCs/>
        </w:rPr>
        <w:t>Directeur du Bureau de la normalisation</w:t>
      </w:r>
      <w:r w:rsidR="00B60868" w:rsidRPr="00052C53">
        <w:rPr>
          <w:bCs/>
        </w:rPr>
        <w:br/>
      </w:r>
      <w:r w:rsidRPr="00052C53">
        <w:rPr>
          <w:bCs/>
        </w:rPr>
        <w:t>des télécommunications</w:t>
      </w:r>
    </w:p>
    <w:p w14:paraId="5A861D6A" w14:textId="641BCCDE" w:rsidR="00E21B7F" w:rsidRPr="00052C53" w:rsidRDefault="00E21B7F" w:rsidP="00534B46">
      <w:pPr>
        <w:tabs>
          <w:tab w:val="clear" w:pos="794"/>
          <w:tab w:val="clear" w:pos="1191"/>
          <w:tab w:val="clear" w:pos="1588"/>
          <w:tab w:val="clear" w:pos="1985"/>
        </w:tabs>
        <w:overflowPunct/>
        <w:autoSpaceDE/>
        <w:autoSpaceDN/>
        <w:adjustRightInd/>
        <w:spacing w:before="480"/>
        <w:textAlignment w:val="auto"/>
        <w:rPr>
          <w:bCs/>
        </w:rPr>
      </w:pPr>
      <w:r w:rsidRPr="00052C53">
        <w:rPr>
          <w:b/>
        </w:rPr>
        <w:t>Annexes</w:t>
      </w:r>
      <w:r w:rsidRPr="00052C53">
        <w:rPr>
          <w:bCs/>
        </w:rPr>
        <w:t>:</w:t>
      </w:r>
      <w:r w:rsidR="00BB094B" w:rsidRPr="00052C53">
        <w:rPr>
          <w:bCs/>
        </w:rPr>
        <w:t xml:space="preserve"> </w:t>
      </w:r>
      <w:r w:rsidRPr="00052C53">
        <w:rPr>
          <w:bCs/>
        </w:rPr>
        <w:t>2</w:t>
      </w:r>
    </w:p>
    <w:p w14:paraId="325AB5FA" w14:textId="7CAB8123" w:rsidR="002937DB" w:rsidRPr="00052C53" w:rsidRDefault="002937DB" w:rsidP="00534B46">
      <w:pPr>
        <w:tabs>
          <w:tab w:val="clear" w:pos="794"/>
          <w:tab w:val="clear" w:pos="1191"/>
          <w:tab w:val="clear" w:pos="1588"/>
          <w:tab w:val="clear" w:pos="1985"/>
        </w:tabs>
        <w:overflowPunct/>
        <w:autoSpaceDE/>
        <w:autoSpaceDN/>
        <w:adjustRightInd/>
        <w:spacing w:before="0"/>
        <w:textAlignment w:val="auto"/>
        <w:rPr>
          <w:bCs/>
        </w:rPr>
      </w:pPr>
      <w:r w:rsidRPr="00052C53">
        <w:rPr>
          <w:bCs/>
        </w:rPr>
        <w:br w:type="page"/>
      </w:r>
    </w:p>
    <w:p w14:paraId="2F7BD664" w14:textId="00D39CB7" w:rsidR="00D4652B" w:rsidRPr="00052C53" w:rsidRDefault="00ED1ECF" w:rsidP="00534B46">
      <w:pPr>
        <w:pStyle w:val="AnnexTitle"/>
        <w:rPr>
          <w:sz w:val="28"/>
          <w:szCs w:val="28"/>
        </w:rPr>
      </w:pPr>
      <w:r w:rsidRPr="00052C53">
        <w:rPr>
          <w:sz w:val="28"/>
          <w:szCs w:val="28"/>
        </w:rPr>
        <w:lastRenderedPageBreak/>
        <w:t>ANNEXE 1</w:t>
      </w:r>
      <w:r w:rsidR="00FF5C16" w:rsidRPr="00052C53">
        <w:rPr>
          <w:sz w:val="28"/>
          <w:szCs w:val="28"/>
        </w:rPr>
        <w:br/>
      </w:r>
      <w:r w:rsidR="00D4652B" w:rsidRPr="00052C53">
        <w:rPr>
          <w:sz w:val="28"/>
          <w:szCs w:val="28"/>
        </w:rPr>
        <w:t xml:space="preserve">Résumé et emplacement du texte déterminé des projets de </w:t>
      </w:r>
      <w:bookmarkStart w:id="3" w:name="_Hlk220323214"/>
      <w:r w:rsidR="00D4652B" w:rsidRPr="00052C53">
        <w:rPr>
          <w:sz w:val="28"/>
          <w:szCs w:val="28"/>
        </w:rPr>
        <w:t xml:space="preserve">Recommandations </w:t>
      </w:r>
      <w:r w:rsidR="006C53C2" w:rsidRPr="00052C53">
        <w:rPr>
          <w:sz w:val="28"/>
          <w:szCs w:val="28"/>
        </w:rPr>
        <w:t>UIT</w:t>
      </w:r>
      <w:r w:rsidRPr="00052C53">
        <w:rPr>
          <w:sz w:val="28"/>
          <w:szCs w:val="28"/>
        </w:rPr>
        <w:noBreakHyphen/>
      </w:r>
      <w:r w:rsidR="006C53C2" w:rsidRPr="00052C53">
        <w:rPr>
          <w:sz w:val="28"/>
          <w:szCs w:val="28"/>
        </w:rPr>
        <w:t>T H.862.9 (anciennement F.HR-AP), UIT-T F.748.39 (anciennement F.AICP</w:t>
      </w:r>
      <w:r w:rsidRPr="00052C53">
        <w:rPr>
          <w:sz w:val="28"/>
          <w:szCs w:val="28"/>
        </w:rPr>
        <w:noBreakHyphen/>
      </w:r>
      <w:r w:rsidR="006C53C2" w:rsidRPr="00052C53">
        <w:rPr>
          <w:sz w:val="28"/>
          <w:szCs w:val="28"/>
        </w:rPr>
        <w:t>FRRC), UIT-T F.748.75 (anciennement F.MTTIR), UIT-T</w:t>
      </w:r>
      <w:r w:rsidRPr="00052C53">
        <w:rPr>
          <w:sz w:val="28"/>
          <w:szCs w:val="28"/>
        </w:rPr>
        <w:br/>
      </w:r>
      <w:r w:rsidR="006C53C2" w:rsidRPr="00052C53">
        <w:rPr>
          <w:sz w:val="28"/>
          <w:szCs w:val="28"/>
        </w:rPr>
        <w:t>F.748.76 (anciennement F.AI-RFSSMA) et UIT-T</w:t>
      </w:r>
      <w:r w:rsidR="00171996" w:rsidRPr="00052C53">
        <w:rPr>
          <w:sz w:val="28"/>
          <w:szCs w:val="28"/>
        </w:rPr>
        <w:br/>
      </w:r>
      <w:r w:rsidR="006C53C2" w:rsidRPr="00052C53">
        <w:rPr>
          <w:sz w:val="28"/>
          <w:szCs w:val="28"/>
        </w:rPr>
        <w:t>J.1043</w:t>
      </w:r>
      <w:r w:rsidR="00171996" w:rsidRPr="00052C53">
        <w:rPr>
          <w:sz w:val="28"/>
          <w:szCs w:val="28"/>
        </w:rPr>
        <w:t xml:space="preserve"> </w:t>
      </w:r>
      <w:r w:rsidR="006C53C2" w:rsidRPr="00052C53">
        <w:rPr>
          <w:sz w:val="28"/>
          <w:szCs w:val="28"/>
        </w:rPr>
        <w:t>(anciennement J.DRMVA-rbst)</w:t>
      </w:r>
      <w:bookmarkEnd w:id="3"/>
    </w:p>
    <w:p w14:paraId="083938B2" w14:textId="342810E3" w:rsidR="00504888" w:rsidRPr="00052C53" w:rsidRDefault="00504888" w:rsidP="00171996">
      <w:pPr>
        <w:pStyle w:val="Heading1"/>
        <w:rPr>
          <w:szCs w:val="24"/>
        </w:rPr>
      </w:pPr>
      <w:r w:rsidRPr="00052C53">
        <w:rPr>
          <w:szCs w:val="24"/>
        </w:rPr>
        <w:t>1</w:t>
      </w:r>
      <w:r w:rsidRPr="00052C53">
        <w:rPr>
          <w:szCs w:val="24"/>
        </w:rPr>
        <w:tab/>
        <w:t>Projet de nouvelle Recommandation UIT-T H.862.9 (anciennement F.HR-AP) [</w:t>
      </w:r>
      <w:hyperlink r:id="rId10" w:history="1">
        <w:r w:rsidRPr="00052C53">
          <w:rPr>
            <w:rStyle w:val="Hyperlink"/>
            <w:rFonts w:cstheme="minorHAnsi"/>
            <w:szCs w:val="24"/>
          </w:rPr>
          <w:t>SG21-R15</w:t>
        </w:r>
      </w:hyperlink>
      <w:r w:rsidRPr="00052C53">
        <w:rPr>
          <w:szCs w:val="24"/>
        </w:rPr>
        <w:t>]</w:t>
      </w:r>
    </w:p>
    <w:p w14:paraId="671B5AB9" w14:textId="1231A69A" w:rsidR="00504888" w:rsidRPr="00052C53" w:rsidRDefault="00504888" w:rsidP="00171996">
      <w:pPr>
        <w:pStyle w:val="headingb"/>
      </w:pPr>
      <w:r w:rsidRPr="00052C53">
        <w:t>Cadre pour les permissions d'accès aux données de santé dans les plates-formes de santé numérique</w:t>
      </w:r>
    </w:p>
    <w:p w14:paraId="4E4C3313" w14:textId="717F2C0E" w:rsidR="00504888" w:rsidRPr="00052C53" w:rsidRDefault="00504888" w:rsidP="00171996">
      <w:pPr>
        <w:pStyle w:val="headingb"/>
      </w:pPr>
      <w:r w:rsidRPr="00052C53">
        <w:t>Résumé</w:t>
      </w:r>
    </w:p>
    <w:p w14:paraId="1E01909F" w14:textId="3FD8FA98" w:rsidR="00504888" w:rsidRPr="00052C53" w:rsidRDefault="00504888" w:rsidP="00171996">
      <w:pPr>
        <w:rPr>
          <w:lang w:eastAsia="zh-CN"/>
        </w:rPr>
      </w:pPr>
      <w:r w:rsidRPr="00052C53">
        <w:rPr>
          <w:lang w:eastAsia="zh-CN"/>
        </w:rPr>
        <w:t xml:space="preserve">Dans le domaine de la santé numérique, des données très diverses liées à la santé sont générées via différents moyens, par exemple par </w:t>
      </w:r>
      <w:r w:rsidR="00501655" w:rsidRPr="00052C53">
        <w:rPr>
          <w:lang w:eastAsia="zh-CN"/>
        </w:rPr>
        <w:t>d</w:t>
      </w:r>
      <w:r w:rsidRPr="00052C53">
        <w:rPr>
          <w:lang w:eastAsia="zh-CN"/>
        </w:rPr>
        <w:t xml:space="preserve">es dispositifs à porter sur soi, </w:t>
      </w:r>
      <w:r w:rsidR="00501655" w:rsidRPr="00052C53">
        <w:rPr>
          <w:lang w:eastAsia="zh-CN"/>
        </w:rPr>
        <w:t>d</w:t>
      </w:r>
      <w:r w:rsidRPr="00052C53">
        <w:rPr>
          <w:lang w:eastAsia="zh-CN"/>
        </w:rPr>
        <w:t xml:space="preserve">es capteurs environnementaux et </w:t>
      </w:r>
      <w:r w:rsidR="00501655" w:rsidRPr="00052C53">
        <w:rPr>
          <w:lang w:eastAsia="zh-CN"/>
        </w:rPr>
        <w:t>d</w:t>
      </w:r>
      <w:r w:rsidRPr="00052C53">
        <w:rPr>
          <w:lang w:eastAsia="zh-CN"/>
        </w:rPr>
        <w:t xml:space="preserve">es applications mobiles. Les données de santé générées par </w:t>
      </w:r>
      <w:r w:rsidR="00501655" w:rsidRPr="00052C53">
        <w:rPr>
          <w:lang w:eastAsia="zh-CN"/>
        </w:rPr>
        <w:t>d</w:t>
      </w:r>
      <w:r w:rsidRPr="00052C53">
        <w:rPr>
          <w:lang w:eastAsia="zh-CN"/>
        </w:rPr>
        <w:t xml:space="preserve">es dispositifs et </w:t>
      </w:r>
      <w:r w:rsidR="00501655" w:rsidRPr="00052C53">
        <w:rPr>
          <w:lang w:eastAsia="zh-CN"/>
        </w:rPr>
        <w:t>d</w:t>
      </w:r>
      <w:r w:rsidRPr="00052C53">
        <w:rPr>
          <w:lang w:eastAsia="zh-CN"/>
        </w:rPr>
        <w:t xml:space="preserve">es capteurs </w:t>
      </w:r>
      <w:r w:rsidR="00501655" w:rsidRPr="00052C53">
        <w:rPr>
          <w:lang w:eastAsia="zh-CN"/>
        </w:rPr>
        <w:t xml:space="preserve">à porter sur soi </w:t>
      </w:r>
      <w:r w:rsidRPr="00052C53">
        <w:rPr>
          <w:lang w:eastAsia="zh-CN"/>
        </w:rPr>
        <w:t xml:space="preserve">sont des mesures biométriques, des enregistrements d'activité, des modèles de comportement et d'autres données personnelles de santé </w:t>
      </w:r>
      <w:r w:rsidR="00501655" w:rsidRPr="00052C53">
        <w:rPr>
          <w:lang w:eastAsia="zh-CN"/>
        </w:rPr>
        <w:t>recueillies</w:t>
      </w:r>
      <w:r w:rsidRPr="00052C53">
        <w:rPr>
          <w:lang w:eastAsia="zh-CN"/>
        </w:rPr>
        <w:t xml:space="preserve"> de manière passive. Les applications mobiles collectent des données fournies par les personnes elles-mêmes, telles que l'état de santé, les objectifs personnels et les prises de médicaments. Ces types de données de santé peuvent être stockés sur la plate-forme de santé numérique et utilisés pour faciliter la fourniture de services de soins de santé, </w:t>
      </w:r>
      <w:r w:rsidR="004F76F9" w:rsidRPr="00052C53">
        <w:rPr>
          <w:lang w:eastAsia="zh-CN"/>
        </w:rPr>
        <w:t>l'évaluation du bien-être et d'autres activités personnalisées de promotion de la santé.</w:t>
      </w:r>
    </w:p>
    <w:p w14:paraId="206EB975" w14:textId="0D0A823B" w:rsidR="004F76F9" w:rsidRPr="00052C53" w:rsidRDefault="004F76F9" w:rsidP="00171996">
      <w:pPr>
        <w:rPr>
          <w:lang w:eastAsia="zh-CN"/>
        </w:rPr>
      </w:pPr>
      <w:r w:rsidRPr="00052C53">
        <w:rPr>
          <w:lang w:eastAsia="zh-CN"/>
        </w:rPr>
        <w:t xml:space="preserve">Récemment, le volume des données d'observation mesurées par des dispositifs de santé personnels dans la vie de tous les jours a considérablement augmenté. Les données de ce type sont précieuses pour estimer l'état de santé d'une personne et peuvent servir de référence utile lors de rendez-vous physiques avec des professionnels </w:t>
      </w:r>
      <w:r w:rsidR="00501655" w:rsidRPr="00052C53">
        <w:rPr>
          <w:lang w:eastAsia="zh-CN"/>
        </w:rPr>
        <w:t>de</w:t>
      </w:r>
      <w:r w:rsidRPr="00052C53">
        <w:rPr>
          <w:lang w:eastAsia="zh-CN"/>
        </w:rPr>
        <w:t xml:space="preserve"> santé.</w:t>
      </w:r>
    </w:p>
    <w:p w14:paraId="24B8E570" w14:textId="21A333E4" w:rsidR="004F76F9" w:rsidRPr="00052C53" w:rsidRDefault="004F76F9" w:rsidP="00171996">
      <w:pPr>
        <w:rPr>
          <w:lang w:eastAsia="zh-CN"/>
        </w:rPr>
      </w:pPr>
      <w:r w:rsidRPr="00052C53">
        <w:rPr>
          <w:lang w:eastAsia="zh-CN"/>
        </w:rPr>
        <w:t xml:space="preserve">Les informations générées dans le cadre d'organisations de soins de santé sont protégées par des politiques et il n'est possible d'y accéder qu'en obtenant une permission. </w:t>
      </w:r>
      <w:r w:rsidR="007C46FF" w:rsidRPr="00052C53">
        <w:rPr>
          <w:lang w:eastAsia="zh-CN"/>
        </w:rPr>
        <w:t>En revanche</w:t>
      </w:r>
      <w:r w:rsidRPr="00052C53">
        <w:rPr>
          <w:lang w:eastAsia="zh-CN"/>
        </w:rPr>
        <w:t xml:space="preserve">, il n'existe pas de méthode normalisée pour protéger </w:t>
      </w:r>
      <w:r w:rsidR="007C46FF" w:rsidRPr="00052C53">
        <w:rPr>
          <w:lang w:eastAsia="zh-CN"/>
        </w:rPr>
        <w:t>les</w:t>
      </w:r>
      <w:r w:rsidRPr="00052C53">
        <w:rPr>
          <w:lang w:eastAsia="zh-CN"/>
        </w:rPr>
        <w:t xml:space="preserve"> données de santé collectées en dehors de ce cadre</w:t>
      </w:r>
      <w:r w:rsidR="007C46FF" w:rsidRPr="00052C53">
        <w:rPr>
          <w:lang w:eastAsia="zh-CN"/>
        </w:rPr>
        <w:t xml:space="preserve"> et gérer l'accès à ces données</w:t>
      </w:r>
      <w:r w:rsidRPr="00052C53">
        <w:rPr>
          <w:lang w:eastAsia="zh-CN"/>
        </w:rPr>
        <w:t xml:space="preserve">. Des données telles que le poids, l'activité physique et les habitudes alimentaires sont toujours considérées comme sensibles et sont traitées avec des contrôles d'accès appropriés. </w:t>
      </w:r>
      <w:r w:rsidR="00804DA4" w:rsidRPr="00052C53">
        <w:rPr>
          <w:lang w:eastAsia="zh-CN"/>
        </w:rPr>
        <w:t>Il est nécessaire de disposer d'une approche normalisée pour l'octroi des permissions d'accès aux données de santé afin de permettre l</w:t>
      </w:r>
      <w:r w:rsidR="007C46FF" w:rsidRPr="00052C53">
        <w:rPr>
          <w:lang w:eastAsia="zh-CN"/>
        </w:rPr>
        <w:t xml:space="preserve">eur </w:t>
      </w:r>
      <w:r w:rsidR="00804DA4" w:rsidRPr="00052C53">
        <w:rPr>
          <w:lang w:eastAsia="zh-CN"/>
        </w:rPr>
        <w:t>utilisation dans diverses applications, y</w:t>
      </w:r>
      <w:r w:rsidR="00052C53" w:rsidRPr="00052C53">
        <w:rPr>
          <w:lang w:eastAsia="zh-CN"/>
        </w:rPr>
        <w:t> </w:t>
      </w:r>
      <w:r w:rsidR="00804DA4" w:rsidRPr="00052C53">
        <w:rPr>
          <w:lang w:eastAsia="zh-CN"/>
        </w:rPr>
        <w:t xml:space="preserve">compris pour la gestion individuelle de la santé, l'amélioration de l'hygiène de vie et la recherche dans le domaine </w:t>
      </w:r>
      <w:r w:rsidR="007C46FF" w:rsidRPr="00052C53">
        <w:rPr>
          <w:lang w:eastAsia="zh-CN"/>
        </w:rPr>
        <w:t>de la santé</w:t>
      </w:r>
      <w:r w:rsidR="00804DA4" w:rsidRPr="00052C53">
        <w:rPr>
          <w:lang w:eastAsia="zh-CN"/>
        </w:rPr>
        <w:t>.</w:t>
      </w:r>
    </w:p>
    <w:p w14:paraId="2CDB76E4" w14:textId="6B246D9B" w:rsidR="00804DA4" w:rsidRPr="00052C53" w:rsidRDefault="00804DA4" w:rsidP="00171996">
      <w:pPr>
        <w:rPr>
          <w:lang w:eastAsia="zh-CN"/>
        </w:rPr>
      </w:pPr>
      <w:r w:rsidRPr="00052C53">
        <w:rPr>
          <w:lang w:eastAsia="zh-CN"/>
        </w:rPr>
        <w:t>Le cadre pour les permissions d'accès permet aux plates-formes de santé numérique d'accorder l'accès aux données de santé en se fondant sur des facteurs tels que l'utilisation prévue, le rôle du destinataire des données, la relation avec le propriétaire des données, le consentement du propriétaire des données et le contexte dans lequel les données sont utilisées. Ce cadre a vocation à garantir que l'accès aux données de santé et leur utilisation se fassent de manière sécurisée, la priorité étant donné à la protection de la vie privée et à la protection des données.</w:t>
      </w:r>
    </w:p>
    <w:p w14:paraId="2ED59BE4" w14:textId="25D3082C" w:rsidR="00804DA4" w:rsidRPr="00052C53" w:rsidRDefault="00804DA4" w:rsidP="00171996">
      <w:pPr>
        <w:rPr>
          <w:lang w:eastAsia="zh-CN"/>
        </w:rPr>
      </w:pPr>
      <w:r w:rsidRPr="00052C53">
        <w:rPr>
          <w:lang w:eastAsia="zh-CN"/>
        </w:rPr>
        <w:t xml:space="preserve">Ce projet de Recommandation fournit des lignes directrices et un cadre pour la gestion des permissions d'accès aux données de santé dans les plates-formes de santé numérique. </w:t>
      </w:r>
      <w:r w:rsidR="009A1344" w:rsidRPr="00052C53">
        <w:rPr>
          <w:lang w:eastAsia="zh-CN"/>
        </w:rPr>
        <w:t>Ce cadre</w:t>
      </w:r>
      <w:r w:rsidRPr="00052C53">
        <w:rPr>
          <w:lang w:eastAsia="zh-CN"/>
        </w:rPr>
        <w:t xml:space="preserve"> </w:t>
      </w:r>
      <w:r w:rsidR="009A1344" w:rsidRPr="00052C53">
        <w:rPr>
          <w:lang w:eastAsia="zh-CN"/>
        </w:rPr>
        <w:t>vise à permettre de</w:t>
      </w:r>
      <w:r w:rsidRPr="00052C53">
        <w:rPr>
          <w:lang w:eastAsia="zh-CN"/>
        </w:rPr>
        <w:t xml:space="preserve"> contrôler et </w:t>
      </w:r>
      <w:r w:rsidR="009A1344" w:rsidRPr="00052C53">
        <w:rPr>
          <w:lang w:eastAsia="zh-CN"/>
        </w:rPr>
        <w:t xml:space="preserve">de </w:t>
      </w:r>
      <w:r w:rsidRPr="00052C53">
        <w:rPr>
          <w:lang w:eastAsia="zh-CN"/>
        </w:rPr>
        <w:t xml:space="preserve">gérer l'accès aux données de santé. Les échanges d'informations liés aux demandes et à l'octroi de permissions d'accès peuvent être mis en place </w:t>
      </w:r>
      <w:r w:rsidRPr="00052C53">
        <w:rPr>
          <w:lang w:eastAsia="zh-CN"/>
        </w:rPr>
        <w:lastRenderedPageBreak/>
        <w:t>moyennant l'utilisation de normes informatiques existantes en matière de soins de santé, par exemple la norme HL7 FHIR, afin de garantir que les questions pratiques liées à l'interopérabilité soient efficacement prises en compte.</w:t>
      </w:r>
    </w:p>
    <w:p w14:paraId="3B2CF1E7" w14:textId="212656EA" w:rsidR="00504888" w:rsidRPr="00052C53" w:rsidRDefault="00504888" w:rsidP="00052C53">
      <w:pPr>
        <w:pStyle w:val="Heading1"/>
        <w:rPr>
          <w:szCs w:val="24"/>
        </w:rPr>
      </w:pPr>
      <w:r w:rsidRPr="00052C53">
        <w:rPr>
          <w:szCs w:val="24"/>
        </w:rPr>
        <w:t>2</w:t>
      </w:r>
      <w:r w:rsidRPr="00052C53">
        <w:rPr>
          <w:szCs w:val="24"/>
        </w:rPr>
        <w:tab/>
      </w:r>
      <w:r w:rsidR="00804DA4" w:rsidRPr="00052C53">
        <w:rPr>
          <w:szCs w:val="24"/>
        </w:rPr>
        <w:t xml:space="preserve">Projet de nouvelle Recommandation UIT-T </w:t>
      </w:r>
      <w:r w:rsidRPr="00052C53">
        <w:rPr>
          <w:szCs w:val="24"/>
        </w:rPr>
        <w:t>F.748.39 (</w:t>
      </w:r>
      <w:r w:rsidR="00804DA4" w:rsidRPr="00052C53">
        <w:rPr>
          <w:szCs w:val="24"/>
        </w:rPr>
        <w:t xml:space="preserve">anciennement </w:t>
      </w:r>
      <w:r w:rsidRPr="00052C53">
        <w:rPr>
          <w:szCs w:val="24"/>
        </w:rPr>
        <w:t>F.AICP-FRRC) [</w:t>
      </w:r>
      <w:hyperlink r:id="rId11" w:history="1">
        <w:r w:rsidRPr="00052C53">
          <w:rPr>
            <w:rStyle w:val="Hyperlink"/>
            <w:rFonts w:cstheme="minorHAnsi"/>
            <w:szCs w:val="24"/>
          </w:rPr>
          <w:t>SG21</w:t>
        </w:r>
        <w:r w:rsidR="00052C53" w:rsidRPr="00052C53">
          <w:rPr>
            <w:rStyle w:val="Hyperlink"/>
            <w:rFonts w:cstheme="minorHAnsi"/>
            <w:szCs w:val="24"/>
          </w:rPr>
          <w:noBreakHyphen/>
        </w:r>
        <w:r w:rsidRPr="00052C53">
          <w:rPr>
            <w:rStyle w:val="Hyperlink"/>
            <w:rFonts w:cstheme="minorHAnsi"/>
            <w:szCs w:val="24"/>
          </w:rPr>
          <w:t>R16</w:t>
        </w:r>
      </w:hyperlink>
      <w:r w:rsidRPr="00052C53">
        <w:rPr>
          <w:szCs w:val="24"/>
        </w:rPr>
        <w:t>]</w:t>
      </w:r>
    </w:p>
    <w:p w14:paraId="060EAA1F" w14:textId="72CE092A" w:rsidR="00B45FD4" w:rsidRPr="00052C53" w:rsidRDefault="00B45FD4" w:rsidP="00052C53">
      <w:pPr>
        <w:pStyle w:val="headingb"/>
      </w:pPr>
      <w:bookmarkStart w:id="4" w:name="_Hlk161339353"/>
      <w:r w:rsidRPr="00052C53">
        <w:t>Exigences fonctionnelles et architecture de référence de la plate-forme en nuage reposant sur l'intelligence artificielle</w:t>
      </w:r>
      <w:r w:rsidR="005C1C7C" w:rsidRPr="00052C53">
        <w:t xml:space="preserve"> pour</w:t>
      </w:r>
      <w:r w:rsidRPr="00052C53">
        <w:t xml:space="preserve"> la maintenance des installations des réseaux électriques intelligents</w:t>
      </w:r>
    </w:p>
    <w:bookmarkEnd w:id="4"/>
    <w:p w14:paraId="024C01E0" w14:textId="77777777" w:rsidR="00504888" w:rsidRPr="00052C53" w:rsidRDefault="00504888" w:rsidP="00052C53">
      <w:pPr>
        <w:pStyle w:val="headingb"/>
      </w:pPr>
      <w:r w:rsidRPr="00052C53">
        <w:t>Résumé</w:t>
      </w:r>
    </w:p>
    <w:p w14:paraId="740D7574" w14:textId="46D4E35E" w:rsidR="00F74D9D" w:rsidRPr="00052C53" w:rsidRDefault="00F74D9D" w:rsidP="00052C53">
      <w:pPr>
        <w:rPr>
          <w:lang w:eastAsia="zh-CN"/>
        </w:rPr>
      </w:pPr>
      <w:r w:rsidRPr="00052C53">
        <w:rPr>
          <w:lang w:eastAsia="zh-CN"/>
        </w:rPr>
        <w:t xml:space="preserve">À l'aide d'applications multimédias reposant sur l'intelligence artificielle (IA), </w:t>
      </w:r>
      <w:r w:rsidR="005C1C7C" w:rsidRPr="00052C53">
        <w:rPr>
          <w:lang w:eastAsia="zh-CN"/>
        </w:rPr>
        <w:t>les</w:t>
      </w:r>
      <w:r w:rsidRPr="00052C53">
        <w:rPr>
          <w:lang w:eastAsia="zh-CN"/>
        </w:rPr>
        <w:t xml:space="preserve"> entreprise</w:t>
      </w:r>
      <w:r w:rsidR="005C1C7C" w:rsidRPr="00052C53">
        <w:rPr>
          <w:lang w:eastAsia="zh-CN"/>
        </w:rPr>
        <w:t>s</w:t>
      </w:r>
      <w:r w:rsidRPr="00052C53">
        <w:rPr>
          <w:lang w:eastAsia="zh-CN"/>
        </w:rPr>
        <w:t xml:space="preserve"> exploitant </w:t>
      </w:r>
      <w:r w:rsidR="005C1C7C" w:rsidRPr="00052C53">
        <w:rPr>
          <w:lang w:eastAsia="zh-CN"/>
        </w:rPr>
        <w:t>des</w:t>
      </w:r>
      <w:r w:rsidRPr="00052C53">
        <w:rPr>
          <w:lang w:eastAsia="zh-CN"/>
        </w:rPr>
        <w:t xml:space="preserve"> réseau</w:t>
      </w:r>
      <w:r w:rsidR="005C1C7C" w:rsidRPr="00052C53">
        <w:rPr>
          <w:lang w:eastAsia="zh-CN"/>
        </w:rPr>
        <w:t>x</w:t>
      </w:r>
      <w:r w:rsidRPr="00052C53">
        <w:rPr>
          <w:lang w:eastAsia="zh-CN"/>
        </w:rPr>
        <w:t xml:space="preserve"> électrique</w:t>
      </w:r>
      <w:r w:rsidR="005C1C7C" w:rsidRPr="00052C53">
        <w:rPr>
          <w:lang w:eastAsia="zh-CN"/>
        </w:rPr>
        <w:t>s</w:t>
      </w:r>
      <w:r w:rsidRPr="00052C53">
        <w:rPr>
          <w:lang w:eastAsia="zh-CN"/>
        </w:rPr>
        <w:t xml:space="preserve"> peu</w:t>
      </w:r>
      <w:r w:rsidR="005C1C7C" w:rsidRPr="00052C53">
        <w:rPr>
          <w:lang w:eastAsia="zh-CN"/>
        </w:rPr>
        <w:t>ven</w:t>
      </w:r>
      <w:r w:rsidRPr="00052C53">
        <w:rPr>
          <w:lang w:eastAsia="zh-CN"/>
        </w:rPr>
        <w:t xml:space="preserve">t, de manière automatique et précise, évaluer l'état opérationnel d'un équipement ou détecter s'il subit une défaillance. Cette capacité est essentielle pour réduire le nombre de personnes nécessaires pour assurer la maintenance des installations du réseaux électriques. Cette Recommandation présente une architecture de référence et définit de manière détaillée les exigences fonctionnelles relatives à </w:t>
      </w:r>
      <w:r w:rsidR="005C1C7C" w:rsidRPr="00052C53">
        <w:rPr>
          <w:lang w:eastAsia="zh-CN"/>
        </w:rPr>
        <w:t>la</w:t>
      </w:r>
      <w:r w:rsidRPr="00052C53">
        <w:rPr>
          <w:lang w:eastAsia="zh-CN"/>
        </w:rPr>
        <w:t xml:space="preserve"> plate-forme en nuage reposant sur l'IA pour la maintenance des installations d'un réseau électrique intelligent (AICP-IPGFM). Cette Recommandation s'applique à la conception de l'architecture</w:t>
      </w:r>
      <w:r w:rsidR="005C1C7C" w:rsidRPr="00052C53">
        <w:rPr>
          <w:lang w:eastAsia="zh-CN"/>
        </w:rPr>
        <w:t>, au déploiement et à la gestion des plates-formes AICP-IPGFM.</w:t>
      </w:r>
    </w:p>
    <w:p w14:paraId="7B3D5685" w14:textId="155DC595" w:rsidR="00504888" w:rsidRPr="00052C53" w:rsidRDefault="00504888" w:rsidP="00052C53">
      <w:pPr>
        <w:pStyle w:val="Heading1"/>
        <w:rPr>
          <w:szCs w:val="24"/>
        </w:rPr>
      </w:pPr>
      <w:r w:rsidRPr="00052C53">
        <w:rPr>
          <w:szCs w:val="24"/>
        </w:rPr>
        <w:t>3</w:t>
      </w:r>
      <w:r w:rsidRPr="00052C53">
        <w:rPr>
          <w:szCs w:val="24"/>
        </w:rPr>
        <w:tab/>
      </w:r>
      <w:r w:rsidR="00804DA4" w:rsidRPr="00052C53">
        <w:rPr>
          <w:szCs w:val="24"/>
        </w:rPr>
        <w:t xml:space="preserve">Projet de nouvelle Recommandation UIT-T </w:t>
      </w:r>
      <w:r w:rsidRPr="00052C53">
        <w:rPr>
          <w:szCs w:val="24"/>
        </w:rPr>
        <w:t>F.748.75 (</w:t>
      </w:r>
      <w:r w:rsidR="00804DA4" w:rsidRPr="00052C53">
        <w:rPr>
          <w:szCs w:val="24"/>
        </w:rPr>
        <w:t xml:space="preserve">anciennement </w:t>
      </w:r>
      <w:r w:rsidRPr="00052C53">
        <w:rPr>
          <w:szCs w:val="24"/>
        </w:rPr>
        <w:t>F.MTTIR) [</w:t>
      </w:r>
      <w:hyperlink r:id="rId12" w:history="1">
        <w:r w:rsidRPr="00052C53">
          <w:rPr>
            <w:rStyle w:val="Hyperlink"/>
            <w:rFonts w:cstheme="minorHAnsi"/>
            <w:szCs w:val="24"/>
          </w:rPr>
          <w:t>SG21-R17</w:t>
        </w:r>
      </w:hyperlink>
      <w:r w:rsidRPr="00052C53">
        <w:rPr>
          <w:szCs w:val="24"/>
        </w:rPr>
        <w:t>]</w:t>
      </w:r>
    </w:p>
    <w:p w14:paraId="1AD95693" w14:textId="582C2934" w:rsidR="005C1C7C" w:rsidRPr="00052C53" w:rsidRDefault="005C1C7C" w:rsidP="00052C53">
      <w:pPr>
        <w:pStyle w:val="headingb"/>
      </w:pPr>
      <w:r w:rsidRPr="00052C53">
        <w:t>Exigences et cadre des systèmes robotiques d'inspection des tunnels de transport fondés sur la vision et l'audition par ordinateur</w:t>
      </w:r>
    </w:p>
    <w:p w14:paraId="38F09749" w14:textId="20F68384" w:rsidR="00504888" w:rsidRPr="00052C53" w:rsidRDefault="00504888" w:rsidP="00052C53">
      <w:pPr>
        <w:pStyle w:val="headingb"/>
      </w:pPr>
      <w:r w:rsidRPr="00052C53">
        <w:t>Résumé</w:t>
      </w:r>
    </w:p>
    <w:p w14:paraId="2566DF22" w14:textId="1871D19B" w:rsidR="005C1C7C" w:rsidRPr="00052C53" w:rsidRDefault="005C1C7C" w:rsidP="00052C53">
      <w:pPr>
        <w:rPr>
          <w:lang w:eastAsia="zh-CN"/>
        </w:rPr>
      </w:pPr>
      <w:r w:rsidRPr="00052C53">
        <w:rPr>
          <w:lang w:eastAsia="zh-CN"/>
        </w:rPr>
        <w:t>Tout au long de leur durée de vie</w:t>
      </w:r>
      <w:r w:rsidR="00E22B86" w:rsidRPr="00052C53">
        <w:rPr>
          <w:lang w:eastAsia="zh-CN"/>
        </w:rPr>
        <w:t xml:space="preserve"> opérationnelle</w:t>
      </w:r>
      <w:r w:rsidRPr="00052C53">
        <w:rPr>
          <w:lang w:eastAsia="zh-CN"/>
        </w:rPr>
        <w:t>, les tunnels de transport peuvent être affectés par des défaillances ou des catastrophes de nature diverse</w:t>
      </w:r>
      <w:r w:rsidR="00E22B86" w:rsidRPr="00052C53">
        <w:rPr>
          <w:lang w:eastAsia="zh-CN"/>
        </w:rPr>
        <w:t>,</w:t>
      </w:r>
      <w:r w:rsidRPr="00052C53">
        <w:rPr>
          <w:lang w:eastAsia="zh-CN"/>
        </w:rPr>
        <w:t xml:space="preserve"> susceptibles de compromettre la sécurité de la structure et l'efficacité opérationnelle. Les méthodes d'inspection manuelle classiques </w:t>
      </w:r>
      <w:r w:rsidR="00E22B86" w:rsidRPr="00052C53">
        <w:rPr>
          <w:lang w:eastAsia="zh-CN"/>
        </w:rPr>
        <w:t>sont</w:t>
      </w:r>
      <w:r w:rsidRPr="00052C53">
        <w:rPr>
          <w:lang w:eastAsia="zh-CN"/>
        </w:rPr>
        <w:t xml:space="preserve"> souvent</w:t>
      </w:r>
      <w:r w:rsidR="00E22B86" w:rsidRPr="00052C53">
        <w:rPr>
          <w:lang w:eastAsia="zh-CN"/>
        </w:rPr>
        <w:t xml:space="preserve"> associées à</w:t>
      </w:r>
      <w:r w:rsidRPr="00052C53">
        <w:rPr>
          <w:lang w:eastAsia="zh-CN"/>
        </w:rPr>
        <w:t xml:space="preserve"> des problèmes sur le plan de la sécurité, de la précision et des coûts. L'intégration de systèmes robotiques comprenant des technologies sophistiquées utilisant l'intelligence artificielle (IA), en particulier la vision et l'audition par ordinateur, offre une approche radicalement différente pour améliorer les capacités intelligentes et analytiques pour l'inspection des tunnels.</w:t>
      </w:r>
    </w:p>
    <w:p w14:paraId="75F1BD7C" w14:textId="36F729AB" w:rsidR="005C1C7C" w:rsidRPr="00052C53" w:rsidRDefault="005C1C7C" w:rsidP="00052C53">
      <w:pPr>
        <w:rPr>
          <w:bCs/>
          <w:lang w:eastAsia="zh-CN"/>
        </w:rPr>
      </w:pPr>
      <w:r w:rsidRPr="00052C53">
        <w:rPr>
          <w:bCs/>
          <w:lang w:eastAsia="zh-CN"/>
        </w:rPr>
        <w:t xml:space="preserve">Cette Recommandation définit les exigences et le cadre pour les systèmes robotiques d'inspection des tunnels de transport fondés sur la vision et l'audition par ordinateur. </w:t>
      </w:r>
      <w:r w:rsidR="00706E1A" w:rsidRPr="00052C53">
        <w:rPr>
          <w:bCs/>
          <w:lang w:eastAsia="zh-CN"/>
        </w:rPr>
        <w:t>Elle offre un cadre de référence organisé en couches</w:t>
      </w:r>
      <w:r w:rsidR="00E22B86" w:rsidRPr="00052C53">
        <w:rPr>
          <w:bCs/>
          <w:lang w:eastAsia="zh-CN"/>
        </w:rPr>
        <w:t>,</w:t>
      </w:r>
      <w:r w:rsidR="00706E1A" w:rsidRPr="00052C53">
        <w:rPr>
          <w:bCs/>
          <w:lang w:eastAsia="zh-CN"/>
        </w:rPr>
        <w:t xml:space="preserve"> comprenant une couche dispositif, une couche réseau, une couche </w:t>
      </w:r>
      <w:r w:rsidR="00414F29" w:rsidRPr="00052C53">
        <w:rPr>
          <w:bCs/>
          <w:lang w:eastAsia="zh-CN"/>
        </w:rPr>
        <w:t xml:space="preserve">de prise en charge des services et des applications et une couche application, toutes prises en charge par des capacités de gestion transcouche et des capacités de sécurité. De plus, cette Recommandation définit les exigences fonctionnelles pour chaque composante, l'accès étant mis sur l'utilisation de l'IA pour </w:t>
      </w:r>
      <w:r w:rsidR="00E22B86" w:rsidRPr="00052C53">
        <w:rPr>
          <w:bCs/>
          <w:lang w:eastAsia="zh-CN"/>
        </w:rPr>
        <w:t>mettre en place des inspections de tunnel intelligentes, efficaces et approfondies.</w:t>
      </w:r>
    </w:p>
    <w:p w14:paraId="12CE20A2" w14:textId="0D3E91C1" w:rsidR="00504888" w:rsidRPr="00052C53" w:rsidRDefault="00504888" w:rsidP="00052C53">
      <w:pPr>
        <w:pStyle w:val="Heading1"/>
        <w:rPr>
          <w:szCs w:val="24"/>
        </w:rPr>
      </w:pPr>
      <w:r w:rsidRPr="00052C53">
        <w:rPr>
          <w:szCs w:val="24"/>
        </w:rPr>
        <w:lastRenderedPageBreak/>
        <w:t>4</w:t>
      </w:r>
      <w:r w:rsidRPr="00052C53">
        <w:rPr>
          <w:szCs w:val="24"/>
        </w:rPr>
        <w:tab/>
      </w:r>
      <w:r w:rsidR="00804DA4" w:rsidRPr="00052C53">
        <w:rPr>
          <w:szCs w:val="24"/>
        </w:rPr>
        <w:t xml:space="preserve">Projet de nouvelle Recommandation UIT-T </w:t>
      </w:r>
      <w:r w:rsidRPr="00052C53">
        <w:rPr>
          <w:szCs w:val="24"/>
        </w:rPr>
        <w:t>F.748.76 (</w:t>
      </w:r>
      <w:r w:rsidR="00804DA4" w:rsidRPr="00052C53">
        <w:rPr>
          <w:szCs w:val="24"/>
        </w:rPr>
        <w:t xml:space="preserve">anciennement </w:t>
      </w:r>
      <w:r w:rsidRPr="00052C53">
        <w:rPr>
          <w:szCs w:val="24"/>
        </w:rPr>
        <w:t>F.AI-RFSSMA) [</w:t>
      </w:r>
      <w:hyperlink r:id="rId13" w:history="1">
        <w:r w:rsidRPr="00052C53">
          <w:rPr>
            <w:rStyle w:val="Hyperlink"/>
            <w:rFonts w:cstheme="minorHAnsi"/>
            <w:szCs w:val="24"/>
          </w:rPr>
          <w:t>SG21</w:t>
        </w:r>
        <w:r w:rsidR="00052C53" w:rsidRPr="00052C53">
          <w:rPr>
            <w:rStyle w:val="Hyperlink"/>
            <w:rFonts w:cstheme="minorHAnsi"/>
            <w:szCs w:val="24"/>
          </w:rPr>
          <w:noBreakHyphen/>
        </w:r>
        <w:r w:rsidRPr="00052C53">
          <w:rPr>
            <w:rStyle w:val="Hyperlink"/>
            <w:rFonts w:cstheme="minorHAnsi"/>
            <w:szCs w:val="24"/>
          </w:rPr>
          <w:t>R18</w:t>
        </w:r>
      </w:hyperlink>
      <w:r w:rsidRPr="00052C53">
        <w:rPr>
          <w:szCs w:val="24"/>
        </w:rPr>
        <w:t>]</w:t>
      </w:r>
    </w:p>
    <w:p w14:paraId="08C6AB31" w14:textId="00CD6DDC" w:rsidR="00504888" w:rsidRPr="00052C53" w:rsidRDefault="00D9218A" w:rsidP="00052C53">
      <w:pPr>
        <w:pStyle w:val="headingb"/>
      </w:pPr>
      <w:r w:rsidRPr="00052C53">
        <w:t>Exigences et cadre de gestion et d'analyse des signaux sonores fondés sur les technologies de l'intelligence artificielle pour les équipements électriques</w:t>
      </w:r>
    </w:p>
    <w:p w14:paraId="00E8AC1C" w14:textId="77777777" w:rsidR="00504888" w:rsidRPr="00052C53" w:rsidRDefault="00504888" w:rsidP="00052C53">
      <w:pPr>
        <w:pStyle w:val="headingb"/>
      </w:pPr>
      <w:r w:rsidRPr="00052C53">
        <w:t>Résumé</w:t>
      </w:r>
    </w:p>
    <w:p w14:paraId="5EB39BEB" w14:textId="3CE3BD20" w:rsidR="00D9218A" w:rsidRPr="00052C53" w:rsidRDefault="00D9218A" w:rsidP="00052C53">
      <w:pPr>
        <w:rPr>
          <w:lang w:eastAsia="zh-CN"/>
        </w:rPr>
      </w:pPr>
      <w:r w:rsidRPr="00052C53">
        <w:rPr>
          <w:lang w:eastAsia="zh-CN"/>
        </w:rPr>
        <w:t>Le signal sonore d'un équipement électrique contient des informations très utile</w:t>
      </w:r>
      <w:r w:rsidR="00925ED3" w:rsidRPr="00052C53">
        <w:rPr>
          <w:lang w:eastAsia="zh-CN"/>
        </w:rPr>
        <w:t>s</w:t>
      </w:r>
      <w:r w:rsidRPr="00052C53">
        <w:rPr>
          <w:lang w:eastAsia="zh-CN"/>
        </w:rPr>
        <w:t xml:space="preserve"> et peut contribuer à </w:t>
      </w:r>
      <w:r w:rsidR="00D5577F" w:rsidRPr="00052C53">
        <w:rPr>
          <w:lang w:eastAsia="zh-CN"/>
        </w:rPr>
        <w:t xml:space="preserve">relever les deux défis que sont la sécurité opérationnelle et une performance en temps réel </w:t>
      </w:r>
      <w:r w:rsidR="00925ED3" w:rsidRPr="00052C53">
        <w:rPr>
          <w:lang w:eastAsia="zh-CN"/>
        </w:rPr>
        <w:t xml:space="preserve">élevée </w:t>
      </w:r>
      <w:r w:rsidR="00D5577F" w:rsidRPr="00052C53">
        <w:rPr>
          <w:lang w:eastAsia="zh-CN"/>
        </w:rPr>
        <w:t>de l'équipement électrique.</w:t>
      </w:r>
      <w:r w:rsidR="00925ED3" w:rsidRPr="00052C53">
        <w:rPr>
          <w:lang w:eastAsia="zh-CN"/>
        </w:rPr>
        <w:t xml:space="preserve"> La gestion et l'analyse des signaux sonores fondées sur une technologie d'intelligence artificielle permettent de gérer et d'analyser efficacement les signaux sonores d'un équipement électrique et de garantir la sécurité opérationnelle de</w:t>
      </w:r>
      <w:r w:rsidRPr="00052C53">
        <w:rPr>
          <w:lang w:eastAsia="zh-CN"/>
        </w:rPr>
        <w:t xml:space="preserve"> </w:t>
      </w:r>
      <w:r w:rsidR="00925ED3" w:rsidRPr="00052C53">
        <w:rPr>
          <w:lang w:eastAsia="zh-CN"/>
        </w:rPr>
        <w:t>cet équipement en temps réel et avec précision.</w:t>
      </w:r>
    </w:p>
    <w:p w14:paraId="5A2C9D16" w14:textId="0B5E6E9B" w:rsidR="00925ED3" w:rsidRPr="00052C53" w:rsidRDefault="00925ED3" w:rsidP="00052C53">
      <w:pPr>
        <w:rPr>
          <w:lang w:eastAsia="zh-CN"/>
        </w:rPr>
      </w:pPr>
      <w:r w:rsidRPr="00052C53">
        <w:rPr>
          <w:lang w:eastAsia="zh-CN"/>
        </w:rPr>
        <w:t>Cette Recommandation définit les exigences et le cadre de gestion et d'analyse des signaux sonores des équipements électriques, avec un cadre de référence pour effectuer des analyses comparatives de la surveillance en ligne à distance, fondées sur les signaux sonores. En outre, les exigences décrites dans cette Recommandation, par exemple l'acquisition et la transmission des signaux ainsi qu'un modèle d'analyse fondé sur l'IA, donnent des orientations pour l'application des technologies associées.</w:t>
      </w:r>
    </w:p>
    <w:p w14:paraId="5A6D634C" w14:textId="292E33C8" w:rsidR="00504888" w:rsidRPr="00052C53" w:rsidRDefault="00504888" w:rsidP="00052C53">
      <w:pPr>
        <w:pStyle w:val="Heading1"/>
        <w:rPr>
          <w:szCs w:val="24"/>
        </w:rPr>
      </w:pPr>
      <w:r w:rsidRPr="00052C53">
        <w:rPr>
          <w:szCs w:val="24"/>
        </w:rPr>
        <w:t>5</w:t>
      </w:r>
      <w:r w:rsidRPr="00052C53">
        <w:rPr>
          <w:szCs w:val="24"/>
        </w:rPr>
        <w:tab/>
      </w:r>
      <w:r w:rsidR="00804DA4" w:rsidRPr="00052C53">
        <w:rPr>
          <w:szCs w:val="24"/>
        </w:rPr>
        <w:t xml:space="preserve">Projet de nouvelle Recommandation UIT-T </w:t>
      </w:r>
      <w:r w:rsidRPr="00052C53">
        <w:rPr>
          <w:szCs w:val="24"/>
        </w:rPr>
        <w:t>J.1043 (</w:t>
      </w:r>
      <w:r w:rsidR="00804DA4" w:rsidRPr="00052C53">
        <w:rPr>
          <w:szCs w:val="24"/>
        </w:rPr>
        <w:t xml:space="preserve">anciennement </w:t>
      </w:r>
      <w:r w:rsidRPr="00052C53">
        <w:rPr>
          <w:szCs w:val="24"/>
        </w:rPr>
        <w:t>J.DRMVA-rbst) [</w:t>
      </w:r>
      <w:hyperlink r:id="rId14" w:history="1">
        <w:r w:rsidRPr="00052C53">
          <w:rPr>
            <w:rStyle w:val="Hyperlink"/>
            <w:rFonts w:cstheme="minorHAnsi"/>
            <w:szCs w:val="24"/>
          </w:rPr>
          <w:t>SG21</w:t>
        </w:r>
        <w:r w:rsidR="00052C53" w:rsidRPr="00052C53">
          <w:rPr>
            <w:rStyle w:val="Hyperlink"/>
            <w:rFonts w:cstheme="minorHAnsi"/>
            <w:szCs w:val="24"/>
          </w:rPr>
          <w:noBreakHyphen/>
        </w:r>
        <w:r w:rsidRPr="00052C53">
          <w:rPr>
            <w:rStyle w:val="Hyperlink"/>
            <w:rFonts w:cstheme="minorHAnsi"/>
            <w:szCs w:val="24"/>
          </w:rPr>
          <w:t>R19</w:t>
        </w:r>
      </w:hyperlink>
      <w:r w:rsidRPr="00052C53">
        <w:rPr>
          <w:szCs w:val="24"/>
        </w:rPr>
        <w:t>]</w:t>
      </w:r>
    </w:p>
    <w:p w14:paraId="318752B8" w14:textId="54DF7FF5" w:rsidR="00504888" w:rsidRPr="00052C53" w:rsidRDefault="00925ED3" w:rsidP="00052C53">
      <w:pPr>
        <w:pStyle w:val="headingb"/>
        <w:rPr>
          <w:szCs w:val="24"/>
        </w:rPr>
      </w:pPr>
      <w:r w:rsidRPr="00052C53">
        <w:rPr>
          <w:szCs w:val="24"/>
        </w:rPr>
        <w:t xml:space="preserve">Gestion des droits numériques pour la </w:t>
      </w:r>
      <w:r w:rsidR="00376493" w:rsidRPr="00052C53">
        <w:rPr>
          <w:szCs w:val="24"/>
        </w:rPr>
        <w:t>distribution</w:t>
      </w:r>
      <w:r w:rsidRPr="00052C53">
        <w:rPr>
          <w:szCs w:val="24"/>
        </w:rPr>
        <w:t xml:space="preserve"> de contenu vidéo et audio </w:t>
      </w:r>
      <w:r w:rsidR="00504888" w:rsidRPr="00052C53">
        <w:rPr>
          <w:szCs w:val="24"/>
        </w:rPr>
        <w:t xml:space="preserve">– </w:t>
      </w:r>
      <w:r w:rsidRPr="00052C53">
        <w:rPr>
          <w:szCs w:val="24"/>
        </w:rPr>
        <w:t>Règles de conformité et de robustesse</w:t>
      </w:r>
    </w:p>
    <w:p w14:paraId="791F5774" w14:textId="77777777" w:rsidR="00504888" w:rsidRPr="00052C53" w:rsidRDefault="00504888" w:rsidP="00052C53">
      <w:pPr>
        <w:pStyle w:val="headingb"/>
      </w:pPr>
      <w:r w:rsidRPr="00052C53">
        <w:t>Résumé</w:t>
      </w:r>
    </w:p>
    <w:p w14:paraId="205FA506" w14:textId="0C5F0694" w:rsidR="0032254E" w:rsidRPr="00052C53" w:rsidRDefault="0032254E" w:rsidP="00052C53">
      <w:pPr>
        <w:rPr>
          <w:lang w:eastAsia="zh-CN"/>
        </w:rPr>
      </w:pPr>
      <w:r w:rsidRPr="00052C53">
        <w:rPr>
          <w:lang w:eastAsia="zh-CN"/>
        </w:rPr>
        <w:t xml:space="preserve">Les exigences de service nécessaires à l'application des technologies vidéo et audio de nouvelle génération, ainsi que les nouveaux modèles de services vidéo couplés à une gamme variée de dispositifs grand public utilisés pour la réception de contenu, entraînent de nouvelles exigences et de nouvelles possibilités pour l'industrie vidéo, en particulier les services vidéo de radiodiffusion et de télévision, </w:t>
      </w:r>
      <w:r w:rsidR="00376493" w:rsidRPr="00052C53">
        <w:rPr>
          <w:lang w:eastAsia="zh-CN"/>
        </w:rPr>
        <w:t>entraînant une augmentation du</w:t>
      </w:r>
      <w:r w:rsidRPr="00052C53">
        <w:rPr>
          <w:lang w:eastAsia="zh-CN"/>
        </w:rPr>
        <w:t xml:space="preserve"> niveau des exigences en matière de gestion des droits numériques (DRM)</w:t>
      </w:r>
      <w:r w:rsidR="00376493" w:rsidRPr="00052C53">
        <w:rPr>
          <w:lang w:eastAsia="zh-CN"/>
        </w:rPr>
        <w:t xml:space="preserve"> </w:t>
      </w:r>
      <w:r w:rsidR="00052C53" w:rsidRPr="00052C53">
        <w:rPr>
          <w:lang w:eastAsia="zh-CN"/>
        </w:rPr>
        <w:t>–</w:t>
      </w:r>
      <w:r w:rsidR="00376493" w:rsidRPr="00052C53">
        <w:rPr>
          <w:lang w:eastAsia="zh-CN"/>
        </w:rPr>
        <w:t xml:space="preserve"> voir la Recommandation UIT-T J.1040 (2024) "Gestion des droits numériques pour la diffusion de contenu vidéo et audio – Exigences". Le système DRM doit non seulement comporter des niveaux de sécurité bien définis pour répondre aux exigences de protection du contenu correspondant à différentes qualités et différentes périodes de fenêtre de distribution, mais aussi disposer d'une compatibilité de plate-forme suffisante pour couvrir différents dispositifs terminaux. En outre, une efficacité de chiffrement/déchiffrement plus élevée et des modes de chiffrement/déchiffrement découplés de l'encapsulation du contenu sont nécessaires pour suivre le rythme soutenu du développement et de la transformation des technologies audio et vidéo. Il faut en outre disposer d'un mécanisme d'interopérabilité si l'on veut parvenir à un écosystème DRM plus ouvert.</w:t>
      </w:r>
    </w:p>
    <w:p w14:paraId="055FD33E" w14:textId="55116B53" w:rsidR="00376493" w:rsidRPr="00052C53" w:rsidRDefault="00376493" w:rsidP="00052C53">
      <w:pPr>
        <w:rPr>
          <w:lang w:eastAsia="zh-CN"/>
        </w:rPr>
      </w:pPr>
      <w:r w:rsidRPr="00052C53">
        <w:rPr>
          <w:lang w:eastAsia="zh-CN"/>
        </w:rPr>
        <w:t>Cette Recommandation est la quatrième partie d'un produit qui en compte quatre. La partie 4 décrit les règles de conformité et de robustesse applicables à la gestion des droits numériques pour la distribution de contenu vidéo et audio (DRMVACD), notamment les règles de conformité et de robustesse pour le serveur DRM, les règles de conformité et de robustesse pour le client DRM et des bonnes pratiques concernant la mise en œuvre pour les systèmes DRM.</w:t>
      </w:r>
    </w:p>
    <w:p w14:paraId="4712CC37" w14:textId="37059482" w:rsidR="00D4652B" w:rsidRPr="00052C53" w:rsidRDefault="00D4652B" w:rsidP="00534B46">
      <w:pPr>
        <w:rPr>
          <w:bCs/>
        </w:rPr>
      </w:pPr>
      <w:r w:rsidRPr="00052C53">
        <w:rPr>
          <w:bCs/>
        </w:rPr>
        <w:br w:type="page"/>
      </w:r>
    </w:p>
    <w:p w14:paraId="5D041448" w14:textId="2058BBA6" w:rsidR="00517A03" w:rsidRPr="00052C53" w:rsidRDefault="00052C53" w:rsidP="00534B46">
      <w:pPr>
        <w:pStyle w:val="AnnexTitle"/>
        <w:rPr>
          <w:sz w:val="28"/>
          <w:szCs w:val="28"/>
        </w:rPr>
      </w:pPr>
      <w:r w:rsidRPr="00052C53">
        <w:rPr>
          <w:sz w:val="28"/>
          <w:szCs w:val="28"/>
        </w:rPr>
        <w:lastRenderedPageBreak/>
        <w:t>ANNEXE 2</w:t>
      </w:r>
      <w:r w:rsidRPr="00052C53">
        <w:rPr>
          <w:sz w:val="28"/>
          <w:szCs w:val="28"/>
        </w:rPr>
        <w:br/>
      </w:r>
      <w:r w:rsidR="00D4652B" w:rsidRPr="00052C53">
        <w:rPr>
          <w:sz w:val="28"/>
          <w:szCs w:val="28"/>
        </w:rPr>
        <w:t xml:space="preserve">Objet: Réponse des États Membres à la Circulaire TSB </w:t>
      </w:r>
      <w:r w:rsidR="00736618" w:rsidRPr="00052C53">
        <w:rPr>
          <w:sz w:val="28"/>
          <w:szCs w:val="28"/>
        </w:rPr>
        <w:t>108</w:t>
      </w:r>
      <w:r w:rsidR="00D4652B" w:rsidRPr="00052C53">
        <w:rPr>
          <w:sz w:val="28"/>
          <w:szCs w:val="28"/>
        </w:rPr>
        <w:t>: Consultation au sujet du</w:t>
      </w:r>
      <w:r w:rsidRPr="00052C53">
        <w:rPr>
          <w:sz w:val="28"/>
          <w:szCs w:val="28"/>
        </w:rPr>
        <w:br/>
      </w:r>
      <w:r w:rsidR="00D4652B" w:rsidRPr="00052C53">
        <w:rPr>
          <w:sz w:val="28"/>
          <w:szCs w:val="28"/>
        </w:rPr>
        <w:t>texte déterminé d</w:t>
      </w:r>
      <w:r w:rsidR="00736618" w:rsidRPr="00052C53">
        <w:rPr>
          <w:sz w:val="28"/>
          <w:szCs w:val="28"/>
        </w:rPr>
        <w:t>es</w:t>
      </w:r>
      <w:r w:rsidR="00D4652B" w:rsidRPr="00052C53">
        <w:rPr>
          <w:sz w:val="28"/>
          <w:szCs w:val="28"/>
        </w:rPr>
        <w:t xml:space="preserve"> projets de Recommandations </w:t>
      </w:r>
      <w:r w:rsidR="00736618" w:rsidRPr="00052C53">
        <w:rPr>
          <w:sz w:val="28"/>
          <w:szCs w:val="28"/>
        </w:rPr>
        <w:t>UIT-T H.862.9 (anciennement</w:t>
      </w:r>
      <w:r w:rsidRPr="00052C53">
        <w:rPr>
          <w:sz w:val="28"/>
          <w:szCs w:val="28"/>
        </w:rPr>
        <w:br/>
      </w:r>
      <w:r w:rsidR="00736618" w:rsidRPr="00052C53">
        <w:rPr>
          <w:sz w:val="28"/>
          <w:szCs w:val="28"/>
        </w:rPr>
        <w:t>F.HR-AP), UIT-T F.748.39 (anciennement F.AICP-FRRC), UIT-T F.748.75</w:t>
      </w:r>
      <w:r w:rsidRPr="00052C53">
        <w:rPr>
          <w:sz w:val="28"/>
          <w:szCs w:val="28"/>
        </w:rPr>
        <w:br/>
      </w:r>
      <w:r w:rsidR="00736618" w:rsidRPr="00052C53">
        <w:rPr>
          <w:sz w:val="28"/>
          <w:szCs w:val="28"/>
        </w:rPr>
        <w:t>(anciennement F.MTTIR), UIT-T F.748.76 (anciennement</w:t>
      </w:r>
      <w:r w:rsidRPr="00052C53">
        <w:rPr>
          <w:sz w:val="28"/>
          <w:szCs w:val="28"/>
        </w:rPr>
        <w:t xml:space="preserve"> </w:t>
      </w:r>
      <w:r w:rsidR="00736618" w:rsidRPr="00052C53">
        <w:rPr>
          <w:sz w:val="28"/>
          <w:szCs w:val="28"/>
        </w:rPr>
        <w:t>F.AI-RFSSMA)</w:t>
      </w:r>
      <w:r w:rsidRPr="00052C53">
        <w:rPr>
          <w:sz w:val="28"/>
          <w:szCs w:val="28"/>
        </w:rPr>
        <w:br/>
      </w:r>
      <w:r w:rsidR="00736618" w:rsidRPr="00052C53">
        <w:rPr>
          <w:sz w:val="28"/>
          <w:szCs w:val="28"/>
        </w:rPr>
        <w:t>et UIT-T J.1043 (anciennement J.DRMVA-rbst)</w:t>
      </w:r>
    </w:p>
    <w:tbl>
      <w:tblPr>
        <w:tblW w:w="5000" w:type="pct"/>
        <w:tblLook w:val="04A0" w:firstRow="1" w:lastRow="0" w:firstColumn="1" w:lastColumn="0" w:noHBand="0" w:noVBand="1"/>
      </w:tblPr>
      <w:tblGrid>
        <w:gridCol w:w="1240"/>
        <w:gridCol w:w="4714"/>
        <w:gridCol w:w="1559"/>
        <w:gridCol w:w="2216"/>
      </w:tblGrid>
      <w:tr w:rsidR="008F4794" w:rsidRPr="00052C53" w14:paraId="63647283" w14:textId="77777777" w:rsidTr="00A15A38">
        <w:tc>
          <w:tcPr>
            <w:tcW w:w="637" w:type="pct"/>
            <w:shd w:val="clear" w:color="auto" w:fill="auto"/>
          </w:tcPr>
          <w:p w14:paraId="7FC42FCE" w14:textId="7D3E5284" w:rsidR="008F4794" w:rsidRPr="00052C53" w:rsidRDefault="008F4794" w:rsidP="00534B46">
            <w:pPr>
              <w:jc w:val="right"/>
              <w:rPr>
                <w:rFonts w:cstheme="minorHAnsi"/>
                <w:b/>
                <w:bCs/>
              </w:rPr>
            </w:pPr>
            <w:r w:rsidRPr="00052C53">
              <w:rPr>
                <w:b/>
                <w:bCs/>
              </w:rPr>
              <w:t>Au</w:t>
            </w:r>
            <w:r w:rsidR="00C918BB" w:rsidRPr="00052C53">
              <w:rPr>
                <w:b/>
                <w:bCs/>
              </w:rPr>
              <w:t>:</w:t>
            </w:r>
          </w:p>
        </w:tc>
        <w:tc>
          <w:tcPr>
            <w:tcW w:w="2423" w:type="pct"/>
            <w:tcBorders>
              <w:right w:val="single" w:sz="8" w:space="0" w:color="auto"/>
            </w:tcBorders>
            <w:shd w:val="clear" w:color="auto" w:fill="auto"/>
          </w:tcPr>
          <w:p w14:paraId="246AE048" w14:textId="77777777" w:rsidR="008F4794" w:rsidRPr="00052C53" w:rsidRDefault="008F4794" w:rsidP="00534B46">
            <w:pPr>
              <w:rPr>
                <w:rFonts w:cstheme="minorHAnsi"/>
              </w:rPr>
            </w:pPr>
            <w:r w:rsidRPr="00052C53">
              <w:t>Directeur du Bureau de la normalisation des télécommunications</w:t>
            </w:r>
          </w:p>
          <w:p w14:paraId="332AFA1B" w14:textId="77777777" w:rsidR="008F4794" w:rsidRPr="00052C53" w:rsidRDefault="008F4794" w:rsidP="00534B46">
            <w:pPr>
              <w:spacing w:before="0"/>
              <w:rPr>
                <w:rFonts w:cstheme="minorHAnsi"/>
              </w:rPr>
            </w:pPr>
            <w:r w:rsidRPr="00052C53">
              <w:t>Union internationale des télécommunications</w:t>
            </w:r>
          </w:p>
          <w:p w14:paraId="12C9B062" w14:textId="77777777" w:rsidR="008F4794" w:rsidRPr="00052C53" w:rsidRDefault="008F4794" w:rsidP="00534B46">
            <w:pPr>
              <w:spacing w:before="0"/>
              <w:rPr>
                <w:rFonts w:cstheme="minorHAnsi"/>
              </w:rPr>
            </w:pPr>
            <w:r w:rsidRPr="00052C53">
              <w:rPr>
                <w:rFonts w:cstheme="minorHAnsi"/>
              </w:rPr>
              <w:t>Place des Nations</w:t>
            </w:r>
          </w:p>
          <w:p w14:paraId="5E805985" w14:textId="77777777" w:rsidR="008F4794" w:rsidRPr="00052C53" w:rsidRDefault="008F4794" w:rsidP="00534B46">
            <w:pPr>
              <w:spacing w:before="0"/>
              <w:rPr>
                <w:rFonts w:cstheme="minorHAnsi"/>
              </w:rPr>
            </w:pPr>
            <w:r w:rsidRPr="00052C53">
              <w:t>CH-1211 Genève 20, Suisse</w:t>
            </w:r>
          </w:p>
        </w:tc>
        <w:tc>
          <w:tcPr>
            <w:tcW w:w="801" w:type="pct"/>
            <w:tcBorders>
              <w:left w:val="single" w:sz="8" w:space="0" w:color="auto"/>
            </w:tcBorders>
            <w:shd w:val="clear" w:color="auto" w:fill="auto"/>
          </w:tcPr>
          <w:p w14:paraId="7CF72CD0" w14:textId="77777777" w:rsidR="008F4794" w:rsidRPr="00052C53" w:rsidRDefault="008F4794" w:rsidP="00534B46">
            <w:pPr>
              <w:jc w:val="right"/>
              <w:rPr>
                <w:rFonts w:cstheme="minorHAnsi"/>
                <w:b/>
                <w:bCs/>
              </w:rPr>
            </w:pPr>
            <w:r w:rsidRPr="00052C53">
              <w:rPr>
                <w:rFonts w:cstheme="minorHAnsi"/>
                <w:b/>
                <w:bCs/>
              </w:rPr>
              <w:t>De:</w:t>
            </w:r>
          </w:p>
        </w:tc>
        <w:tc>
          <w:tcPr>
            <w:tcW w:w="1139" w:type="pct"/>
            <w:shd w:val="clear" w:color="auto" w:fill="auto"/>
          </w:tcPr>
          <w:p w14:paraId="317F1E2D" w14:textId="77777777" w:rsidR="008F4794" w:rsidRPr="00052C53" w:rsidRDefault="008F4794" w:rsidP="00534B46">
            <w:pPr>
              <w:rPr>
                <w:rFonts w:cstheme="minorHAnsi"/>
                <w:highlight w:val="green"/>
              </w:rPr>
            </w:pPr>
            <w:r w:rsidRPr="00052C53">
              <w:rPr>
                <w:rFonts w:cstheme="minorHAnsi"/>
                <w:highlight w:val="green"/>
              </w:rPr>
              <w:t>[Nom]</w:t>
            </w:r>
          </w:p>
          <w:p w14:paraId="74B56C80" w14:textId="77777777" w:rsidR="008F4794" w:rsidRPr="00052C53" w:rsidRDefault="008F4794" w:rsidP="00534B46">
            <w:pPr>
              <w:spacing w:before="0"/>
              <w:rPr>
                <w:rFonts w:cstheme="minorHAnsi"/>
                <w:highlight w:val="green"/>
              </w:rPr>
            </w:pPr>
            <w:r w:rsidRPr="00052C53">
              <w:rPr>
                <w:rFonts w:cstheme="minorHAnsi"/>
                <w:highlight w:val="green"/>
              </w:rPr>
              <w:t>[</w:t>
            </w:r>
            <w:r w:rsidRPr="00052C53">
              <w:rPr>
                <w:highlight w:val="green"/>
              </w:rPr>
              <w:t>Rôle/titre officiel</w:t>
            </w:r>
            <w:r w:rsidRPr="00052C53">
              <w:rPr>
                <w:rFonts w:cstheme="minorHAnsi"/>
                <w:highlight w:val="green"/>
              </w:rPr>
              <w:t>]</w:t>
            </w:r>
          </w:p>
          <w:p w14:paraId="6F1067A1" w14:textId="4F20C12D" w:rsidR="008F4794" w:rsidRPr="00052C53" w:rsidRDefault="008F4794" w:rsidP="00534B46">
            <w:pPr>
              <w:spacing w:before="0"/>
              <w:rPr>
                <w:rFonts w:cstheme="minorHAnsi"/>
                <w:highlight w:val="green"/>
              </w:rPr>
            </w:pPr>
            <w:r w:rsidRPr="00052C53">
              <w:rPr>
                <w:rFonts w:cstheme="minorHAnsi"/>
                <w:highlight w:val="green"/>
              </w:rPr>
              <w:t>[</w:t>
            </w:r>
            <w:r w:rsidR="00FF5C16" w:rsidRPr="00052C53">
              <w:rPr>
                <w:rFonts w:cstheme="minorHAnsi"/>
                <w:highlight w:val="green"/>
              </w:rPr>
              <w:t>Adresse</w:t>
            </w:r>
            <w:r w:rsidRPr="00052C53">
              <w:rPr>
                <w:rFonts w:cstheme="minorHAnsi"/>
                <w:highlight w:val="green"/>
              </w:rPr>
              <w:t>]</w:t>
            </w:r>
          </w:p>
        </w:tc>
      </w:tr>
      <w:tr w:rsidR="008F4794" w:rsidRPr="00052C53" w14:paraId="1BBE4AAD" w14:textId="77777777" w:rsidTr="00A15A38">
        <w:tc>
          <w:tcPr>
            <w:tcW w:w="637" w:type="pct"/>
            <w:shd w:val="clear" w:color="auto" w:fill="auto"/>
          </w:tcPr>
          <w:p w14:paraId="1F8A0281" w14:textId="77777777" w:rsidR="008F4794" w:rsidRPr="00052C53" w:rsidRDefault="008F4794" w:rsidP="00534B46">
            <w:pPr>
              <w:jc w:val="right"/>
              <w:rPr>
                <w:rFonts w:cstheme="minorHAnsi"/>
                <w:b/>
                <w:bCs/>
              </w:rPr>
            </w:pPr>
            <w:r w:rsidRPr="00052C53">
              <w:rPr>
                <w:b/>
                <w:bCs/>
              </w:rPr>
              <w:t>Télécopie</w:t>
            </w:r>
            <w:r w:rsidRPr="00052C53">
              <w:rPr>
                <w:rFonts w:cstheme="minorHAnsi"/>
                <w:b/>
                <w:bCs/>
              </w:rPr>
              <w:t>:</w:t>
            </w:r>
          </w:p>
        </w:tc>
        <w:tc>
          <w:tcPr>
            <w:tcW w:w="2423" w:type="pct"/>
            <w:tcBorders>
              <w:right w:val="single" w:sz="8" w:space="0" w:color="auto"/>
            </w:tcBorders>
            <w:shd w:val="clear" w:color="auto" w:fill="auto"/>
          </w:tcPr>
          <w:p w14:paraId="0C8ECC75" w14:textId="77777777" w:rsidR="008F4794" w:rsidRPr="00052C53" w:rsidRDefault="008F4794" w:rsidP="00534B46">
            <w:pPr>
              <w:rPr>
                <w:rFonts w:cstheme="minorHAnsi"/>
              </w:rPr>
            </w:pPr>
            <w:r w:rsidRPr="00052C53">
              <w:rPr>
                <w:rFonts w:cstheme="minorHAnsi"/>
              </w:rPr>
              <w:t>+41-22-730-5853</w:t>
            </w:r>
          </w:p>
        </w:tc>
        <w:tc>
          <w:tcPr>
            <w:tcW w:w="801" w:type="pct"/>
            <w:tcBorders>
              <w:left w:val="single" w:sz="8" w:space="0" w:color="auto"/>
            </w:tcBorders>
            <w:shd w:val="clear" w:color="auto" w:fill="auto"/>
          </w:tcPr>
          <w:p w14:paraId="5D4663D1" w14:textId="77777777" w:rsidR="008F4794" w:rsidRPr="00052C53" w:rsidRDefault="008F4794" w:rsidP="00534B46">
            <w:pPr>
              <w:jc w:val="right"/>
              <w:rPr>
                <w:rFonts w:cstheme="minorHAnsi"/>
                <w:b/>
                <w:bCs/>
              </w:rPr>
            </w:pPr>
            <w:r w:rsidRPr="00052C53">
              <w:rPr>
                <w:b/>
                <w:bCs/>
              </w:rPr>
              <w:t>Télécopie</w:t>
            </w:r>
            <w:r w:rsidRPr="00052C53">
              <w:rPr>
                <w:rFonts w:cstheme="minorHAnsi"/>
                <w:b/>
                <w:bCs/>
              </w:rPr>
              <w:t>:</w:t>
            </w:r>
          </w:p>
        </w:tc>
        <w:tc>
          <w:tcPr>
            <w:tcW w:w="1139" w:type="pct"/>
            <w:shd w:val="clear" w:color="auto" w:fill="auto"/>
          </w:tcPr>
          <w:p w14:paraId="7070356B" w14:textId="77777777" w:rsidR="008F4794" w:rsidRPr="00052C53" w:rsidRDefault="008F4794" w:rsidP="00534B46">
            <w:pPr>
              <w:rPr>
                <w:rFonts w:cstheme="minorHAnsi"/>
              </w:rPr>
            </w:pPr>
          </w:p>
        </w:tc>
      </w:tr>
      <w:tr w:rsidR="008F4794" w:rsidRPr="00052C53" w14:paraId="1D363F00" w14:textId="77777777" w:rsidTr="00A15A38">
        <w:tc>
          <w:tcPr>
            <w:tcW w:w="637" w:type="pct"/>
            <w:shd w:val="clear" w:color="auto" w:fill="auto"/>
          </w:tcPr>
          <w:p w14:paraId="6E438B9D" w14:textId="77777777" w:rsidR="008F4794" w:rsidRPr="00052C53" w:rsidRDefault="008F4794" w:rsidP="00534B46">
            <w:pPr>
              <w:jc w:val="right"/>
              <w:rPr>
                <w:rFonts w:cstheme="minorHAnsi"/>
                <w:b/>
                <w:bCs/>
              </w:rPr>
            </w:pPr>
            <w:r w:rsidRPr="00052C53">
              <w:rPr>
                <w:rFonts w:cstheme="minorHAnsi"/>
                <w:b/>
                <w:bCs/>
              </w:rPr>
              <w:t>Courriel:</w:t>
            </w:r>
          </w:p>
        </w:tc>
        <w:tc>
          <w:tcPr>
            <w:tcW w:w="2423" w:type="pct"/>
            <w:tcBorders>
              <w:right w:val="single" w:sz="8" w:space="0" w:color="auto"/>
            </w:tcBorders>
            <w:shd w:val="clear" w:color="auto" w:fill="auto"/>
          </w:tcPr>
          <w:p w14:paraId="304FEBCA" w14:textId="752B40B7" w:rsidR="008F4794" w:rsidRPr="00052C53" w:rsidRDefault="00052C53" w:rsidP="00534B46">
            <w:pPr>
              <w:rPr>
                <w:rStyle w:val="Hyperlink"/>
                <w:szCs w:val="24"/>
              </w:rPr>
            </w:pPr>
            <w:hyperlink r:id="rId15" w:history="1">
              <w:r w:rsidR="008F4794" w:rsidRPr="00052C53">
                <w:rPr>
                  <w:rStyle w:val="Hyperlink"/>
                  <w:szCs w:val="24"/>
                </w:rPr>
                <w:t>tsbdir@itu.int</w:t>
              </w:r>
            </w:hyperlink>
          </w:p>
        </w:tc>
        <w:tc>
          <w:tcPr>
            <w:tcW w:w="801" w:type="pct"/>
            <w:tcBorders>
              <w:left w:val="single" w:sz="8" w:space="0" w:color="auto"/>
            </w:tcBorders>
            <w:shd w:val="clear" w:color="auto" w:fill="auto"/>
          </w:tcPr>
          <w:p w14:paraId="051571A3" w14:textId="77777777" w:rsidR="008F4794" w:rsidRPr="00052C53" w:rsidRDefault="008F4794" w:rsidP="00534B46">
            <w:pPr>
              <w:jc w:val="right"/>
              <w:rPr>
                <w:rFonts w:cstheme="minorHAnsi"/>
                <w:b/>
                <w:bCs/>
              </w:rPr>
            </w:pPr>
            <w:r w:rsidRPr="00052C53">
              <w:rPr>
                <w:rFonts w:cstheme="minorHAnsi"/>
                <w:b/>
                <w:bCs/>
              </w:rPr>
              <w:t>Courriel:</w:t>
            </w:r>
          </w:p>
        </w:tc>
        <w:tc>
          <w:tcPr>
            <w:tcW w:w="1139" w:type="pct"/>
            <w:shd w:val="clear" w:color="auto" w:fill="auto"/>
          </w:tcPr>
          <w:p w14:paraId="22B5381C" w14:textId="77777777" w:rsidR="008F4794" w:rsidRPr="00052C53" w:rsidRDefault="008F4794" w:rsidP="00534B46">
            <w:pPr>
              <w:rPr>
                <w:rFonts w:cstheme="minorHAnsi"/>
              </w:rPr>
            </w:pPr>
          </w:p>
        </w:tc>
      </w:tr>
      <w:tr w:rsidR="008F4794" w:rsidRPr="00052C53" w14:paraId="61DDA400" w14:textId="77777777" w:rsidTr="00A15A38">
        <w:tc>
          <w:tcPr>
            <w:tcW w:w="637" w:type="pct"/>
            <w:shd w:val="clear" w:color="auto" w:fill="auto"/>
          </w:tcPr>
          <w:p w14:paraId="451B98A6" w14:textId="77777777" w:rsidR="008F4794" w:rsidRPr="00052C53" w:rsidRDefault="008F4794" w:rsidP="00534B46">
            <w:pPr>
              <w:rPr>
                <w:rFonts w:cstheme="minorHAnsi"/>
              </w:rPr>
            </w:pPr>
          </w:p>
        </w:tc>
        <w:tc>
          <w:tcPr>
            <w:tcW w:w="2423" w:type="pct"/>
            <w:tcBorders>
              <w:right w:val="single" w:sz="8" w:space="0" w:color="auto"/>
            </w:tcBorders>
            <w:shd w:val="clear" w:color="auto" w:fill="auto"/>
          </w:tcPr>
          <w:p w14:paraId="4EBBF43E" w14:textId="77777777" w:rsidR="008F4794" w:rsidRPr="00052C53" w:rsidRDefault="008F4794" w:rsidP="00534B46">
            <w:pPr>
              <w:rPr>
                <w:rFonts w:cstheme="minorHAnsi"/>
              </w:rPr>
            </w:pPr>
          </w:p>
        </w:tc>
        <w:tc>
          <w:tcPr>
            <w:tcW w:w="801" w:type="pct"/>
            <w:tcBorders>
              <w:left w:val="single" w:sz="8" w:space="0" w:color="auto"/>
            </w:tcBorders>
            <w:shd w:val="clear" w:color="auto" w:fill="auto"/>
          </w:tcPr>
          <w:p w14:paraId="1B95C37F" w14:textId="77777777" w:rsidR="008F4794" w:rsidRPr="00052C53" w:rsidRDefault="008F4794" w:rsidP="00534B46">
            <w:pPr>
              <w:jc w:val="right"/>
              <w:rPr>
                <w:rFonts w:cstheme="minorHAnsi"/>
                <w:b/>
                <w:bCs/>
              </w:rPr>
            </w:pPr>
            <w:r w:rsidRPr="00052C53">
              <w:rPr>
                <w:rFonts w:cstheme="minorHAnsi"/>
                <w:b/>
                <w:bCs/>
              </w:rPr>
              <w:t>Date:</w:t>
            </w:r>
          </w:p>
        </w:tc>
        <w:tc>
          <w:tcPr>
            <w:tcW w:w="1139" w:type="pct"/>
            <w:shd w:val="clear" w:color="auto" w:fill="auto"/>
          </w:tcPr>
          <w:p w14:paraId="5B7991DD" w14:textId="77777777" w:rsidR="008F4794" w:rsidRPr="00052C53" w:rsidRDefault="008F4794" w:rsidP="00534B46">
            <w:pPr>
              <w:rPr>
                <w:rFonts w:cstheme="minorHAnsi"/>
                <w:highlight w:val="green"/>
              </w:rPr>
            </w:pPr>
            <w:r w:rsidRPr="00052C53">
              <w:rPr>
                <w:rFonts w:cstheme="minorHAnsi"/>
                <w:highlight w:val="green"/>
              </w:rPr>
              <w:t>[Lieu,] [Date]</w:t>
            </w:r>
          </w:p>
        </w:tc>
      </w:tr>
    </w:tbl>
    <w:p w14:paraId="512A90DB" w14:textId="77777777" w:rsidR="008F4794" w:rsidRPr="00052C53" w:rsidRDefault="008F4794" w:rsidP="00534B46">
      <w:pPr>
        <w:spacing w:before="360"/>
      </w:pPr>
      <w:r w:rsidRPr="00052C53">
        <w:t>Madame, Monsieur,</w:t>
      </w:r>
    </w:p>
    <w:p w14:paraId="46B2BA03" w14:textId="778FC3EE" w:rsidR="008F4794" w:rsidRPr="00052C53" w:rsidRDefault="008F4794" w:rsidP="00534B46">
      <w:pPr>
        <w:spacing w:after="240"/>
      </w:pPr>
      <w:r w:rsidRPr="00052C53">
        <w:t xml:space="preserve">Dans le cadre de la consultation des États Membres au sujet des projets de textes déterminés dont il est question dans la Circulaire TSB </w:t>
      </w:r>
      <w:r w:rsidR="00736618" w:rsidRPr="00052C53">
        <w:t>108</w:t>
      </w:r>
      <w:r w:rsidRPr="00052C53">
        <w:t xml:space="preserve">, je vous indique par la présente l'opinion de mon </w:t>
      </w:r>
      <w:r w:rsidR="00753D27" w:rsidRPr="00052C53">
        <w:t>A</w:t>
      </w:r>
      <w:r w:rsidRPr="00052C53">
        <w:t>dministration, qui figure dans le tableau ci-après.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7652"/>
      </w:tblGrid>
      <w:tr w:rsidR="008F4794" w:rsidRPr="00052C53" w14:paraId="32E7E61C" w14:textId="77777777" w:rsidTr="003F6FC4">
        <w:trPr>
          <w:tblHeader/>
        </w:trPr>
        <w:tc>
          <w:tcPr>
            <w:tcW w:w="2067" w:type="dxa"/>
            <w:shd w:val="clear" w:color="auto" w:fill="auto"/>
            <w:vAlign w:val="center"/>
          </w:tcPr>
          <w:p w14:paraId="3438FBC9" w14:textId="77777777" w:rsidR="008F4794" w:rsidRPr="00052C53" w:rsidRDefault="008F4794" w:rsidP="00534B46"/>
        </w:tc>
        <w:tc>
          <w:tcPr>
            <w:tcW w:w="7652" w:type="dxa"/>
            <w:shd w:val="clear" w:color="auto" w:fill="auto"/>
            <w:vAlign w:val="center"/>
          </w:tcPr>
          <w:p w14:paraId="09203041" w14:textId="77777777" w:rsidR="008F4794" w:rsidRPr="00052C53" w:rsidRDefault="008F4794" w:rsidP="00534B46">
            <w:pPr>
              <w:spacing w:after="120"/>
              <w:jc w:val="center"/>
              <w:rPr>
                <w:b/>
                <w:bCs/>
              </w:rPr>
            </w:pPr>
            <w:r w:rsidRPr="00052C53">
              <w:rPr>
                <w:b/>
                <w:bCs/>
              </w:rPr>
              <w:t>Cochez l'une des deux cases pour chaque texte</w:t>
            </w:r>
          </w:p>
        </w:tc>
      </w:tr>
      <w:tr w:rsidR="008F4794" w:rsidRPr="00052C53" w14:paraId="0EB9BE2F" w14:textId="77777777" w:rsidTr="005F2B7C">
        <w:trPr>
          <w:trHeight w:val="1484"/>
        </w:trPr>
        <w:tc>
          <w:tcPr>
            <w:tcW w:w="2067" w:type="dxa"/>
            <w:vMerge w:val="restart"/>
            <w:shd w:val="clear" w:color="auto" w:fill="auto"/>
            <w:vAlign w:val="center"/>
          </w:tcPr>
          <w:p w14:paraId="0573985E" w14:textId="451C8CE8" w:rsidR="008F4794" w:rsidRPr="00052C53" w:rsidRDefault="008F4794" w:rsidP="00534B46">
            <w:pPr>
              <w:jc w:val="center"/>
              <w:rPr>
                <w:b/>
                <w:bCs/>
              </w:rPr>
            </w:pPr>
            <w:r w:rsidRPr="00052C53">
              <w:rPr>
                <w:b/>
                <w:bCs/>
              </w:rPr>
              <w:t>Projet de nouvelle Recommandation</w:t>
            </w:r>
            <w:r w:rsidRPr="00052C53">
              <w:rPr>
                <w:b/>
                <w:bCs/>
              </w:rPr>
              <w:br/>
            </w:r>
            <w:r w:rsidR="00A15A38" w:rsidRPr="00052C53">
              <w:rPr>
                <w:b/>
                <w:bCs/>
              </w:rPr>
              <w:t>UIT</w:t>
            </w:r>
            <w:r w:rsidRPr="00052C53">
              <w:rPr>
                <w:b/>
                <w:bCs/>
              </w:rPr>
              <w:t xml:space="preserve">-T </w:t>
            </w:r>
            <w:r w:rsidR="00736618" w:rsidRPr="00052C53">
              <w:rPr>
                <w:b/>
                <w:bCs/>
              </w:rPr>
              <w:t>H.862.9 (anciennement F.HR-AP)</w:t>
            </w:r>
          </w:p>
        </w:tc>
        <w:tc>
          <w:tcPr>
            <w:tcW w:w="7652" w:type="dxa"/>
            <w:shd w:val="clear" w:color="auto" w:fill="auto"/>
            <w:vAlign w:val="center"/>
          </w:tcPr>
          <w:p w14:paraId="3EA8F99B" w14:textId="6398E0E4" w:rsidR="008F4794" w:rsidRPr="00052C53" w:rsidRDefault="00052C53" w:rsidP="00534B46">
            <w:pPr>
              <w:ind w:left="567" w:hanging="567"/>
              <w:rPr>
                <w:rFonts w:ascii="Calibri" w:hAnsi="Calibri" w:cs="Calibri"/>
              </w:rPr>
            </w:pPr>
            <w:sdt>
              <w:sdtPr>
                <w:rPr>
                  <w:rFonts w:ascii="Calibri" w:hAnsi="Calibri" w:cs="Calibri"/>
                </w:rPr>
                <w:id w:val="-705943451"/>
                <w14:checkbox>
                  <w14:checked w14:val="0"/>
                  <w14:checkedState w14:val="2612" w14:font="MS Gothic"/>
                  <w14:uncheckedState w14:val="2610" w14:font="MS Gothic"/>
                </w14:checkbox>
              </w:sdtPr>
              <w:sdtEndPr/>
              <w:sdtContent>
                <w:r w:rsidR="00982D95" w:rsidRPr="00052C53">
                  <w:rPr>
                    <w:rFonts w:ascii="MS Gothic" w:eastAsia="MS Gothic" w:hAnsi="MS Gothic" w:cs="Calibri"/>
                  </w:rPr>
                  <w:t>☐</w:t>
                </w:r>
              </w:sdtContent>
            </w:sdt>
            <w:r w:rsidR="008F4794" w:rsidRPr="00052C53">
              <w:rPr>
                <w:rFonts w:ascii="Calibri" w:hAnsi="Calibri" w:cs="Calibri"/>
              </w:rPr>
              <w:tab/>
            </w:r>
            <w:r w:rsidR="008F4794" w:rsidRPr="00052C53">
              <w:rPr>
                <w:rFonts w:ascii="Calibri" w:hAnsi="Calibri" w:cs="Calibri"/>
                <w:b/>
                <w:bCs/>
              </w:rPr>
              <w:t>Autorise</w:t>
            </w:r>
            <w:r w:rsidR="008F4794" w:rsidRPr="00052C53">
              <w:rPr>
                <w:rFonts w:ascii="Calibri" w:hAnsi="Calibri" w:cs="Calibri"/>
              </w:rPr>
              <w:t xml:space="preserve"> la CE </w:t>
            </w:r>
            <w:r w:rsidR="00736618" w:rsidRPr="00052C53">
              <w:rPr>
                <w:rFonts w:ascii="Calibri" w:hAnsi="Calibri" w:cs="Calibri"/>
              </w:rPr>
              <w:t>2</w:t>
            </w:r>
            <w:r w:rsidR="008F4794" w:rsidRPr="00052C53">
              <w:rPr>
                <w:rFonts w:ascii="Calibri" w:hAnsi="Calibri" w:cs="Calibri"/>
              </w:rPr>
              <w:t>1 à procéder à l'examen de ce document en vue de son approbation (dans ce cas, sélectionnez l'une des deux options):</w:t>
            </w:r>
          </w:p>
          <w:p w14:paraId="737C96A2" w14:textId="5C33934A" w:rsidR="008F4794" w:rsidRPr="00052C53" w:rsidRDefault="00052C53" w:rsidP="00534B46">
            <w:pPr>
              <w:spacing w:before="60"/>
              <w:ind w:left="595"/>
              <w:rPr>
                <w:szCs w:val="22"/>
              </w:rPr>
            </w:pPr>
            <w:sdt>
              <w:sdtPr>
                <w:rPr>
                  <w:rFonts w:ascii="Calibri" w:hAnsi="Calibri" w:cs="Calibri"/>
                </w:rPr>
                <w:id w:val="-1010522499"/>
                <w14:checkbox>
                  <w14:checked w14:val="0"/>
                  <w14:checkedState w14:val="2612" w14:font="MS Gothic"/>
                  <w14:uncheckedState w14:val="2610" w14:font="MS Gothic"/>
                </w14:checkbox>
              </w:sdtPr>
              <w:sdtEndPr/>
              <w:sdtContent>
                <w:r w:rsidR="003F6FC4" w:rsidRPr="00052C53">
                  <w:rPr>
                    <w:rFonts w:ascii="MS Gothic" w:eastAsia="MS Gothic" w:hAnsi="MS Gothic" w:cs="Calibri"/>
                  </w:rPr>
                  <w:t>☐</w:t>
                </w:r>
              </w:sdtContent>
            </w:sdt>
            <w:r w:rsidR="008F4794" w:rsidRPr="00052C53">
              <w:rPr>
                <w:rFonts w:ascii="Calibri" w:hAnsi="Calibri" w:cs="Calibri"/>
              </w:rPr>
              <w:tab/>
            </w:r>
            <w:r w:rsidR="008F4794" w:rsidRPr="00052C53">
              <w:rPr>
                <w:szCs w:val="22"/>
              </w:rPr>
              <w:t>Pas de commentaire ou de proposition de modification.</w:t>
            </w:r>
          </w:p>
          <w:p w14:paraId="0DABB134" w14:textId="41A34810" w:rsidR="008F4794" w:rsidRPr="00052C53" w:rsidRDefault="00052C53" w:rsidP="00534B46">
            <w:pPr>
              <w:spacing w:before="60" w:after="120"/>
              <w:ind w:left="1224" w:hanging="629"/>
              <w:rPr>
                <w:rFonts w:cs="Calibri"/>
              </w:rPr>
            </w:pPr>
            <w:sdt>
              <w:sdtPr>
                <w:rPr>
                  <w:rFonts w:cs="Calibri"/>
                </w:rPr>
                <w:id w:val="2105455475"/>
                <w14:checkbox>
                  <w14:checked w14:val="0"/>
                  <w14:checkedState w14:val="2612" w14:font="MS Gothic"/>
                  <w14:uncheckedState w14:val="2610" w14:font="MS Gothic"/>
                </w14:checkbox>
              </w:sdtPr>
              <w:sdtEndPr/>
              <w:sdtContent>
                <w:r w:rsidR="008F4794" w:rsidRPr="00052C53">
                  <w:rPr>
                    <w:rFonts w:ascii="MS Gothic" w:eastAsia="MS Gothic" w:hAnsi="MS Gothic" w:cs="Calibri"/>
                  </w:rPr>
                  <w:t>☐</w:t>
                </w:r>
              </w:sdtContent>
            </w:sdt>
            <w:r w:rsidR="008F4794" w:rsidRPr="00052C53">
              <w:rPr>
                <w:rFonts w:cs="Calibri"/>
              </w:rPr>
              <w:tab/>
              <w:t>Des commentaires ou propositions de modification sont joints à la présente.</w:t>
            </w:r>
          </w:p>
        </w:tc>
      </w:tr>
      <w:tr w:rsidR="008F4794" w:rsidRPr="00052C53" w14:paraId="08B280C1" w14:textId="77777777" w:rsidTr="005F2B7C">
        <w:trPr>
          <w:trHeight w:val="1106"/>
        </w:trPr>
        <w:tc>
          <w:tcPr>
            <w:tcW w:w="2067" w:type="dxa"/>
            <w:vMerge/>
            <w:shd w:val="clear" w:color="auto" w:fill="auto"/>
            <w:vAlign w:val="center"/>
          </w:tcPr>
          <w:p w14:paraId="06C1BD96" w14:textId="77777777" w:rsidR="008F4794" w:rsidRPr="00052C53" w:rsidRDefault="008F4794" w:rsidP="00534B46">
            <w:pPr>
              <w:jc w:val="center"/>
              <w:rPr>
                <w:b/>
                <w:bCs/>
              </w:rPr>
            </w:pPr>
          </w:p>
        </w:tc>
        <w:tc>
          <w:tcPr>
            <w:tcW w:w="7652" w:type="dxa"/>
            <w:shd w:val="clear" w:color="auto" w:fill="auto"/>
            <w:vAlign w:val="center"/>
          </w:tcPr>
          <w:p w14:paraId="5192D2EC" w14:textId="2845EE42" w:rsidR="008F4794" w:rsidRPr="00052C53" w:rsidRDefault="00052C53" w:rsidP="00534B46">
            <w:pPr>
              <w:spacing w:after="120"/>
              <w:ind w:left="567" w:hanging="567"/>
            </w:pPr>
            <w:sdt>
              <w:sdtPr>
                <w:id w:val="-1767383137"/>
                <w14:checkbox>
                  <w14:checked w14:val="0"/>
                  <w14:checkedState w14:val="2612" w14:font="MS Gothic"/>
                  <w14:uncheckedState w14:val="2610" w14:font="MS Gothic"/>
                </w14:checkbox>
              </w:sdtPr>
              <w:sdtEndPr/>
              <w:sdtContent>
                <w:r w:rsidR="008F4794" w:rsidRPr="00052C53">
                  <w:rPr>
                    <w:rFonts w:ascii="Segoe UI Symbol" w:eastAsia="MS Gothic" w:hAnsi="Segoe UI Symbol" w:cs="Segoe UI Symbol"/>
                  </w:rPr>
                  <w:t>☐</w:t>
                </w:r>
              </w:sdtContent>
            </w:sdt>
            <w:r w:rsidR="008F4794" w:rsidRPr="00052C53">
              <w:tab/>
            </w:r>
            <w:r w:rsidR="008F4794" w:rsidRPr="00052C53">
              <w:rPr>
                <w:b/>
                <w:bCs/>
              </w:rPr>
              <w:t>N'autorise</w:t>
            </w:r>
            <w:r w:rsidR="008F4794" w:rsidRPr="00052C53">
              <w:t xml:space="preserve"> </w:t>
            </w:r>
            <w:r w:rsidR="008F4794" w:rsidRPr="00052C53">
              <w:rPr>
                <w:b/>
                <w:bCs/>
              </w:rPr>
              <w:t>pas</w:t>
            </w:r>
            <w:r w:rsidR="008F4794" w:rsidRPr="00052C53">
              <w:t xml:space="preserve"> la CE </w:t>
            </w:r>
            <w:r w:rsidR="00736618" w:rsidRPr="00052C53">
              <w:t>2</w:t>
            </w:r>
            <w:r w:rsidR="008F4794" w:rsidRPr="00052C53">
              <w:t>1 à procéder à l'examen de ce document en vue de son approbation (les motifs de cette décision et une description des éventuelles modifications qui permettraient la poursuite des travaux sont joints à la présente).</w:t>
            </w:r>
          </w:p>
        </w:tc>
      </w:tr>
      <w:tr w:rsidR="00736618" w:rsidRPr="00052C53" w14:paraId="1B7B6C20" w14:textId="77777777" w:rsidTr="00AF3181">
        <w:trPr>
          <w:trHeight w:val="1574"/>
        </w:trPr>
        <w:tc>
          <w:tcPr>
            <w:tcW w:w="2067" w:type="dxa"/>
            <w:vMerge w:val="restart"/>
            <w:shd w:val="clear" w:color="auto" w:fill="auto"/>
            <w:vAlign w:val="center"/>
          </w:tcPr>
          <w:p w14:paraId="46B8F7A3" w14:textId="77777777" w:rsidR="00736618" w:rsidRPr="00052C53" w:rsidRDefault="00736618" w:rsidP="00052C53">
            <w:pPr>
              <w:jc w:val="center"/>
              <w:rPr>
                <w:b/>
                <w:bCs/>
              </w:rPr>
            </w:pPr>
            <w:r w:rsidRPr="00052C53">
              <w:rPr>
                <w:b/>
                <w:bCs/>
              </w:rPr>
              <w:t>Projet de nouvelle Recommandation</w:t>
            </w:r>
            <w:r w:rsidRPr="00052C53">
              <w:rPr>
                <w:b/>
                <w:bCs/>
              </w:rPr>
              <w:br/>
              <w:t>UIT-T F.748.39 (anciennement F.AICP-FRRC)</w:t>
            </w:r>
          </w:p>
        </w:tc>
        <w:tc>
          <w:tcPr>
            <w:tcW w:w="7652" w:type="dxa"/>
            <w:shd w:val="clear" w:color="auto" w:fill="auto"/>
            <w:vAlign w:val="center"/>
          </w:tcPr>
          <w:p w14:paraId="4100F88A" w14:textId="77777777" w:rsidR="00736618" w:rsidRPr="00052C53" w:rsidRDefault="00736618" w:rsidP="00052C53">
            <w:pPr>
              <w:ind w:left="567" w:hanging="567"/>
            </w:pPr>
            <w:r w:rsidRPr="00052C53">
              <w:rPr>
                <w:rFonts w:ascii="Segoe UI Symbol" w:hAnsi="Segoe UI Symbol" w:cs="Segoe UI Symbol"/>
              </w:rPr>
              <w:t>☐</w:t>
            </w:r>
            <w:r w:rsidRPr="00052C53">
              <w:tab/>
            </w:r>
            <w:r w:rsidRPr="00052C53">
              <w:rPr>
                <w:b/>
                <w:bCs/>
              </w:rPr>
              <w:t>Autorise</w:t>
            </w:r>
            <w:r w:rsidRPr="00052C53">
              <w:t xml:space="preserve"> la CE 21 </w:t>
            </w:r>
            <w:r w:rsidRPr="00052C53">
              <w:rPr>
                <w:rFonts w:ascii="Calibri" w:hAnsi="Calibri" w:cs="Calibri"/>
              </w:rPr>
              <w:t>à</w:t>
            </w:r>
            <w:r w:rsidRPr="00052C53">
              <w:t xml:space="preserve"> proc</w:t>
            </w:r>
            <w:r w:rsidRPr="00052C53">
              <w:rPr>
                <w:rFonts w:ascii="Calibri" w:hAnsi="Calibri" w:cs="Calibri"/>
              </w:rPr>
              <w:t>é</w:t>
            </w:r>
            <w:r w:rsidRPr="00052C53">
              <w:t xml:space="preserve">der </w:t>
            </w:r>
            <w:r w:rsidRPr="00052C53">
              <w:rPr>
                <w:rFonts w:ascii="Calibri" w:hAnsi="Calibri" w:cs="Calibri"/>
              </w:rPr>
              <w:t>à</w:t>
            </w:r>
            <w:r w:rsidRPr="00052C53">
              <w:t xml:space="preserve"> l'examen de ce document en vue de son approbation (dans ce cas, s</w:t>
            </w:r>
            <w:r w:rsidRPr="00052C53">
              <w:rPr>
                <w:rFonts w:ascii="Calibri" w:hAnsi="Calibri" w:cs="Calibri"/>
              </w:rPr>
              <w:t>é</w:t>
            </w:r>
            <w:r w:rsidRPr="00052C53">
              <w:t>lectionnez l'une des deux options):</w:t>
            </w:r>
          </w:p>
          <w:p w14:paraId="5D4B952E" w14:textId="77777777" w:rsidR="00736618" w:rsidRPr="00052C53" w:rsidRDefault="00736618" w:rsidP="00052C53">
            <w:pPr>
              <w:spacing w:before="60"/>
              <w:ind w:left="595"/>
            </w:pPr>
            <w:r w:rsidRPr="00052C53">
              <w:rPr>
                <w:rFonts w:ascii="Segoe UI Symbol" w:hAnsi="Segoe UI Symbol" w:cs="Segoe UI Symbol"/>
              </w:rPr>
              <w:t>☐</w:t>
            </w:r>
            <w:r w:rsidRPr="00052C53">
              <w:tab/>
              <w:t>Pas de commentaire ou de proposition de modification.</w:t>
            </w:r>
          </w:p>
          <w:p w14:paraId="37A6F7C1" w14:textId="77777777" w:rsidR="00736618" w:rsidRPr="00052C53" w:rsidRDefault="00736618" w:rsidP="00052C53">
            <w:pPr>
              <w:spacing w:before="60" w:after="120"/>
              <w:ind w:left="1224" w:hanging="629"/>
            </w:pPr>
            <w:r w:rsidRPr="00052C53">
              <w:rPr>
                <w:rFonts w:ascii="Segoe UI Symbol" w:hAnsi="Segoe UI Symbol" w:cs="Segoe UI Symbol"/>
              </w:rPr>
              <w:t>☐</w:t>
            </w:r>
            <w:r w:rsidRPr="00052C53">
              <w:tab/>
              <w:t xml:space="preserve">Des commentaires ou propositions de modification sont joints </w:t>
            </w:r>
            <w:r w:rsidRPr="00052C53">
              <w:rPr>
                <w:rFonts w:cs="Calibri"/>
              </w:rPr>
              <w:t>à</w:t>
            </w:r>
            <w:r w:rsidRPr="00052C53">
              <w:t xml:space="preserve"> la pr</w:t>
            </w:r>
            <w:r w:rsidRPr="00052C53">
              <w:rPr>
                <w:rFonts w:cs="Calibri"/>
              </w:rPr>
              <w:t>é</w:t>
            </w:r>
            <w:r w:rsidRPr="00052C53">
              <w:t>sente.</w:t>
            </w:r>
          </w:p>
        </w:tc>
      </w:tr>
      <w:tr w:rsidR="00736618" w:rsidRPr="00052C53" w14:paraId="00924800" w14:textId="77777777" w:rsidTr="00AF3181">
        <w:trPr>
          <w:trHeight w:val="1349"/>
        </w:trPr>
        <w:tc>
          <w:tcPr>
            <w:tcW w:w="2067" w:type="dxa"/>
            <w:vMerge/>
            <w:shd w:val="clear" w:color="auto" w:fill="auto"/>
            <w:vAlign w:val="center"/>
          </w:tcPr>
          <w:p w14:paraId="68EFC643" w14:textId="77777777" w:rsidR="00736618" w:rsidRPr="00052C53" w:rsidRDefault="00736618" w:rsidP="00052C53"/>
        </w:tc>
        <w:tc>
          <w:tcPr>
            <w:tcW w:w="7652" w:type="dxa"/>
            <w:shd w:val="clear" w:color="auto" w:fill="auto"/>
            <w:vAlign w:val="center"/>
          </w:tcPr>
          <w:p w14:paraId="5195F2D9" w14:textId="77777777" w:rsidR="00736618" w:rsidRPr="00052C53" w:rsidRDefault="00736618" w:rsidP="00052C53">
            <w:pPr>
              <w:spacing w:after="120"/>
              <w:ind w:left="595" w:hanging="595"/>
            </w:pPr>
            <w:r w:rsidRPr="00052C53">
              <w:rPr>
                <w:rFonts w:ascii="Segoe UI Symbol" w:hAnsi="Segoe UI Symbol" w:cs="Segoe UI Symbol"/>
              </w:rPr>
              <w:t>☐</w:t>
            </w:r>
            <w:r w:rsidRPr="00052C53">
              <w:tab/>
            </w:r>
            <w:r w:rsidRPr="00052C53">
              <w:rPr>
                <w:b/>
                <w:bCs/>
              </w:rPr>
              <w:t>N'autorise</w:t>
            </w:r>
            <w:r w:rsidRPr="00052C53">
              <w:t xml:space="preserve"> </w:t>
            </w:r>
            <w:r w:rsidRPr="00052C53">
              <w:rPr>
                <w:b/>
                <w:bCs/>
              </w:rPr>
              <w:t>pas</w:t>
            </w:r>
            <w:r w:rsidRPr="00052C53">
              <w:t xml:space="preserve"> la CE 21 </w:t>
            </w:r>
            <w:r w:rsidRPr="00052C53">
              <w:rPr>
                <w:rFonts w:cs="Calibri"/>
              </w:rPr>
              <w:t>à</w:t>
            </w:r>
            <w:r w:rsidRPr="00052C53">
              <w:t xml:space="preserve"> proc</w:t>
            </w:r>
            <w:r w:rsidRPr="00052C53">
              <w:rPr>
                <w:rFonts w:cs="Calibri"/>
              </w:rPr>
              <w:t>é</w:t>
            </w:r>
            <w:r w:rsidRPr="00052C53">
              <w:t xml:space="preserve">der </w:t>
            </w:r>
            <w:r w:rsidRPr="00052C53">
              <w:rPr>
                <w:rFonts w:cs="Calibri"/>
              </w:rPr>
              <w:t>à</w:t>
            </w:r>
            <w:r w:rsidRPr="00052C53">
              <w:t xml:space="preserve"> l'examen de ce document en vue de son approbation (les motifs de cette d</w:t>
            </w:r>
            <w:r w:rsidRPr="00052C53">
              <w:rPr>
                <w:rFonts w:cs="Calibri"/>
              </w:rPr>
              <w:t>é</w:t>
            </w:r>
            <w:r w:rsidRPr="00052C53">
              <w:t xml:space="preserve">cision et une description des </w:t>
            </w:r>
            <w:r w:rsidRPr="00052C53">
              <w:rPr>
                <w:rFonts w:cs="Calibri"/>
              </w:rPr>
              <w:t>é</w:t>
            </w:r>
            <w:r w:rsidRPr="00052C53">
              <w:t xml:space="preserve">ventuelles modifications qui permettraient la poursuite des travaux sont joints </w:t>
            </w:r>
            <w:r w:rsidRPr="00052C53">
              <w:rPr>
                <w:rFonts w:cs="Calibri"/>
              </w:rPr>
              <w:t>à</w:t>
            </w:r>
            <w:r w:rsidRPr="00052C53">
              <w:t xml:space="preserve"> la pr</w:t>
            </w:r>
            <w:r w:rsidRPr="00052C53">
              <w:rPr>
                <w:rFonts w:cs="Calibri"/>
              </w:rPr>
              <w:t>é</w:t>
            </w:r>
            <w:r w:rsidRPr="00052C53">
              <w:t>sente).</w:t>
            </w:r>
          </w:p>
        </w:tc>
      </w:tr>
      <w:tr w:rsidR="00736618" w:rsidRPr="00052C53" w14:paraId="76B4002D" w14:textId="77777777" w:rsidTr="00AF3181">
        <w:trPr>
          <w:trHeight w:val="1574"/>
        </w:trPr>
        <w:tc>
          <w:tcPr>
            <w:tcW w:w="2067" w:type="dxa"/>
            <w:vMerge w:val="restart"/>
            <w:shd w:val="clear" w:color="auto" w:fill="auto"/>
            <w:vAlign w:val="center"/>
          </w:tcPr>
          <w:p w14:paraId="06E0E153" w14:textId="33ABD5AB" w:rsidR="00736618" w:rsidRPr="00052C53" w:rsidRDefault="00736618" w:rsidP="00534B46">
            <w:pPr>
              <w:keepNext/>
              <w:keepLines/>
              <w:jc w:val="center"/>
              <w:rPr>
                <w:b/>
                <w:bCs/>
              </w:rPr>
            </w:pPr>
            <w:r w:rsidRPr="00052C53">
              <w:rPr>
                <w:b/>
                <w:bCs/>
              </w:rPr>
              <w:lastRenderedPageBreak/>
              <w:t>Projet de nouvelle Recommandation</w:t>
            </w:r>
            <w:r w:rsidRPr="00052C53">
              <w:rPr>
                <w:b/>
                <w:bCs/>
              </w:rPr>
              <w:br/>
              <w:t>UIT-T F.748.75 (anciennement F.MTTIR)</w:t>
            </w:r>
          </w:p>
        </w:tc>
        <w:tc>
          <w:tcPr>
            <w:tcW w:w="7652" w:type="dxa"/>
            <w:shd w:val="clear" w:color="auto" w:fill="auto"/>
            <w:vAlign w:val="center"/>
          </w:tcPr>
          <w:p w14:paraId="7C30DEE7" w14:textId="77777777" w:rsidR="00736618" w:rsidRPr="00052C53" w:rsidRDefault="00736618" w:rsidP="00534B46">
            <w:pPr>
              <w:keepNext/>
              <w:keepLines/>
              <w:ind w:left="567" w:hanging="567"/>
            </w:pPr>
            <w:r w:rsidRPr="00052C53">
              <w:rPr>
                <w:rFonts w:ascii="Segoe UI Symbol" w:hAnsi="Segoe UI Symbol" w:cs="Segoe UI Symbol"/>
              </w:rPr>
              <w:t>☐</w:t>
            </w:r>
            <w:r w:rsidRPr="00052C53">
              <w:tab/>
            </w:r>
            <w:r w:rsidRPr="00052C53">
              <w:rPr>
                <w:b/>
                <w:bCs/>
              </w:rPr>
              <w:t>Autorise</w:t>
            </w:r>
            <w:r w:rsidRPr="00052C53">
              <w:t xml:space="preserve"> la CE 21 </w:t>
            </w:r>
            <w:r w:rsidRPr="00052C53">
              <w:rPr>
                <w:rFonts w:ascii="Calibri" w:hAnsi="Calibri" w:cs="Calibri"/>
              </w:rPr>
              <w:t>à</w:t>
            </w:r>
            <w:r w:rsidRPr="00052C53">
              <w:t xml:space="preserve"> proc</w:t>
            </w:r>
            <w:r w:rsidRPr="00052C53">
              <w:rPr>
                <w:rFonts w:ascii="Calibri" w:hAnsi="Calibri" w:cs="Calibri"/>
              </w:rPr>
              <w:t>é</w:t>
            </w:r>
            <w:r w:rsidRPr="00052C53">
              <w:t xml:space="preserve">der </w:t>
            </w:r>
            <w:r w:rsidRPr="00052C53">
              <w:rPr>
                <w:rFonts w:ascii="Calibri" w:hAnsi="Calibri" w:cs="Calibri"/>
              </w:rPr>
              <w:t>à</w:t>
            </w:r>
            <w:r w:rsidRPr="00052C53">
              <w:t xml:space="preserve"> l'examen de ce document en vue de son approbation (dans ce cas, s</w:t>
            </w:r>
            <w:r w:rsidRPr="00052C53">
              <w:rPr>
                <w:rFonts w:ascii="Calibri" w:hAnsi="Calibri" w:cs="Calibri"/>
              </w:rPr>
              <w:t>é</w:t>
            </w:r>
            <w:r w:rsidRPr="00052C53">
              <w:t>lectionnez l'une des deux options):</w:t>
            </w:r>
          </w:p>
          <w:p w14:paraId="79E440A2" w14:textId="77777777" w:rsidR="00736618" w:rsidRPr="00052C53" w:rsidRDefault="00736618" w:rsidP="00534B46">
            <w:pPr>
              <w:keepNext/>
              <w:keepLines/>
              <w:spacing w:before="60"/>
              <w:ind w:left="595"/>
            </w:pPr>
            <w:r w:rsidRPr="00052C53">
              <w:rPr>
                <w:rFonts w:ascii="Segoe UI Symbol" w:hAnsi="Segoe UI Symbol" w:cs="Segoe UI Symbol"/>
              </w:rPr>
              <w:t>☐</w:t>
            </w:r>
            <w:r w:rsidRPr="00052C53">
              <w:tab/>
              <w:t>Pas de commentaire ou de proposition de modification.</w:t>
            </w:r>
          </w:p>
          <w:p w14:paraId="4490810F" w14:textId="77777777" w:rsidR="00736618" w:rsidRPr="00052C53" w:rsidRDefault="00736618" w:rsidP="00534B46">
            <w:pPr>
              <w:keepNext/>
              <w:keepLines/>
              <w:spacing w:before="60" w:after="120"/>
              <w:ind w:left="1224" w:hanging="629"/>
            </w:pPr>
            <w:r w:rsidRPr="00052C53">
              <w:rPr>
                <w:rFonts w:ascii="Segoe UI Symbol" w:hAnsi="Segoe UI Symbol" w:cs="Segoe UI Symbol"/>
              </w:rPr>
              <w:t>☐</w:t>
            </w:r>
            <w:r w:rsidRPr="00052C53">
              <w:tab/>
              <w:t xml:space="preserve">Des commentaires ou propositions de modification sont joints </w:t>
            </w:r>
            <w:r w:rsidRPr="00052C53">
              <w:rPr>
                <w:rFonts w:cs="Calibri"/>
              </w:rPr>
              <w:t>à</w:t>
            </w:r>
            <w:r w:rsidRPr="00052C53">
              <w:t xml:space="preserve"> la pr</w:t>
            </w:r>
            <w:r w:rsidRPr="00052C53">
              <w:rPr>
                <w:rFonts w:cs="Calibri"/>
              </w:rPr>
              <w:t>é</w:t>
            </w:r>
            <w:r w:rsidRPr="00052C53">
              <w:t>sente.</w:t>
            </w:r>
          </w:p>
        </w:tc>
      </w:tr>
      <w:tr w:rsidR="00736618" w:rsidRPr="00052C53" w14:paraId="6A77F5A0" w14:textId="77777777" w:rsidTr="00AF3181">
        <w:trPr>
          <w:trHeight w:val="1349"/>
        </w:trPr>
        <w:tc>
          <w:tcPr>
            <w:tcW w:w="2067" w:type="dxa"/>
            <w:vMerge/>
            <w:shd w:val="clear" w:color="auto" w:fill="auto"/>
            <w:vAlign w:val="center"/>
          </w:tcPr>
          <w:p w14:paraId="7277B57B" w14:textId="77777777" w:rsidR="00736618" w:rsidRPr="00052C53" w:rsidRDefault="00736618" w:rsidP="00534B46">
            <w:pPr>
              <w:keepNext/>
              <w:keepLines/>
            </w:pPr>
          </w:p>
        </w:tc>
        <w:tc>
          <w:tcPr>
            <w:tcW w:w="7652" w:type="dxa"/>
            <w:shd w:val="clear" w:color="auto" w:fill="auto"/>
            <w:vAlign w:val="center"/>
          </w:tcPr>
          <w:p w14:paraId="757A28B1" w14:textId="77777777" w:rsidR="00736618" w:rsidRPr="00052C53" w:rsidRDefault="00736618" w:rsidP="00534B46">
            <w:pPr>
              <w:keepNext/>
              <w:keepLines/>
              <w:spacing w:after="120"/>
              <w:ind w:left="595" w:hanging="595"/>
            </w:pPr>
            <w:r w:rsidRPr="00052C53">
              <w:rPr>
                <w:rFonts w:ascii="Segoe UI Symbol" w:hAnsi="Segoe UI Symbol" w:cs="Segoe UI Symbol"/>
              </w:rPr>
              <w:t>☐</w:t>
            </w:r>
            <w:r w:rsidRPr="00052C53">
              <w:tab/>
            </w:r>
            <w:r w:rsidRPr="00052C53">
              <w:rPr>
                <w:b/>
                <w:bCs/>
              </w:rPr>
              <w:t>N'autorise</w:t>
            </w:r>
            <w:r w:rsidRPr="00052C53">
              <w:t xml:space="preserve"> </w:t>
            </w:r>
            <w:r w:rsidRPr="00052C53">
              <w:rPr>
                <w:b/>
                <w:bCs/>
              </w:rPr>
              <w:t>pas</w:t>
            </w:r>
            <w:r w:rsidRPr="00052C53">
              <w:t xml:space="preserve"> la CE 21 </w:t>
            </w:r>
            <w:r w:rsidRPr="00052C53">
              <w:rPr>
                <w:rFonts w:cs="Calibri"/>
              </w:rPr>
              <w:t>à</w:t>
            </w:r>
            <w:r w:rsidRPr="00052C53">
              <w:t xml:space="preserve"> proc</w:t>
            </w:r>
            <w:r w:rsidRPr="00052C53">
              <w:rPr>
                <w:rFonts w:cs="Calibri"/>
              </w:rPr>
              <w:t>é</w:t>
            </w:r>
            <w:r w:rsidRPr="00052C53">
              <w:t xml:space="preserve">der </w:t>
            </w:r>
            <w:r w:rsidRPr="00052C53">
              <w:rPr>
                <w:rFonts w:cs="Calibri"/>
              </w:rPr>
              <w:t>à</w:t>
            </w:r>
            <w:r w:rsidRPr="00052C53">
              <w:t xml:space="preserve"> l'examen de ce document en vue de son approbation (les motifs de cette d</w:t>
            </w:r>
            <w:r w:rsidRPr="00052C53">
              <w:rPr>
                <w:rFonts w:cs="Calibri"/>
              </w:rPr>
              <w:t>é</w:t>
            </w:r>
            <w:r w:rsidRPr="00052C53">
              <w:t xml:space="preserve">cision et une description des </w:t>
            </w:r>
            <w:r w:rsidRPr="00052C53">
              <w:rPr>
                <w:rFonts w:cs="Calibri"/>
              </w:rPr>
              <w:t>é</w:t>
            </w:r>
            <w:r w:rsidRPr="00052C53">
              <w:t xml:space="preserve">ventuelles modifications qui permettraient la poursuite des travaux sont joints </w:t>
            </w:r>
            <w:r w:rsidRPr="00052C53">
              <w:rPr>
                <w:rFonts w:cs="Calibri"/>
              </w:rPr>
              <w:t>à</w:t>
            </w:r>
            <w:r w:rsidRPr="00052C53">
              <w:t xml:space="preserve"> la pr</w:t>
            </w:r>
            <w:r w:rsidRPr="00052C53">
              <w:rPr>
                <w:rFonts w:cs="Calibri"/>
              </w:rPr>
              <w:t>é</w:t>
            </w:r>
            <w:r w:rsidRPr="00052C53">
              <w:t>sente).</w:t>
            </w:r>
          </w:p>
        </w:tc>
      </w:tr>
      <w:tr w:rsidR="00736618" w:rsidRPr="00052C53" w14:paraId="46F39593" w14:textId="77777777" w:rsidTr="00AF3181">
        <w:trPr>
          <w:trHeight w:val="1574"/>
        </w:trPr>
        <w:tc>
          <w:tcPr>
            <w:tcW w:w="2067" w:type="dxa"/>
            <w:vMerge w:val="restart"/>
            <w:shd w:val="clear" w:color="auto" w:fill="auto"/>
            <w:vAlign w:val="center"/>
          </w:tcPr>
          <w:p w14:paraId="2E868A8B" w14:textId="1E4C1B44" w:rsidR="00736618" w:rsidRPr="00052C53" w:rsidRDefault="00736618" w:rsidP="00534B46">
            <w:pPr>
              <w:keepNext/>
              <w:keepLines/>
              <w:jc w:val="center"/>
              <w:rPr>
                <w:b/>
                <w:bCs/>
              </w:rPr>
            </w:pPr>
            <w:r w:rsidRPr="00052C53">
              <w:rPr>
                <w:b/>
                <w:bCs/>
              </w:rPr>
              <w:t>Projet de nouvelle Recommandation</w:t>
            </w:r>
            <w:r w:rsidRPr="00052C53">
              <w:rPr>
                <w:b/>
                <w:bCs/>
              </w:rPr>
              <w:br/>
              <w:t>UIT-T F.748.76 (anciennement F.AI-RFSSMA)</w:t>
            </w:r>
          </w:p>
        </w:tc>
        <w:tc>
          <w:tcPr>
            <w:tcW w:w="7652" w:type="dxa"/>
            <w:shd w:val="clear" w:color="auto" w:fill="auto"/>
            <w:vAlign w:val="center"/>
          </w:tcPr>
          <w:p w14:paraId="7A7DCD7C" w14:textId="77777777" w:rsidR="00736618" w:rsidRPr="00052C53" w:rsidRDefault="00736618" w:rsidP="00534B46">
            <w:pPr>
              <w:keepNext/>
              <w:keepLines/>
              <w:ind w:left="567" w:hanging="567"/>
            </w:pPr>
            <w:r w:rsidRPr="00052C53">
              <w:rPr>
                <w:rFonts w:ascii="Segoe UI Symbol" w:hAnsi="Segoe UI Symbol" w:cs="Segoe UI Symbol"/>
              </w:rPr>
              <w:t>☐</w:t>
            </w:r>
            <w:r w:rsidRPr="00052C53">
              <w:tab/>
            </w:r>
            <w:r w:rsidRPr="00052C53">
              <w:rPr>
                <w:b/>
                <w:bCs/>
              </w:rPr>
              <w:t>Autorise</w:t>
            </w:r>
            <w:r w:rsidRPr="00052C53">
              <w:t xml:space="preserve"> la CE 21 </w:t>
            </w:r>
            <w:r w:rsidRPr="00052C53">
              <w:rPr>
                <w:rFonts w:ascii="Calibri" w:hAnsi="Calibri" w:cs="Calibri"/>
              </w:rPr>
              <w:t>à</w:t>
            </w:r>
            <w:r w:rsidRPr="00052C53">
              <w:t xml:space="preserve"> proc</w:t>
            </w:r>
            <w:r w:rsidRPr="00052C53">
              <w:rPr>
                <w:rFonts w:ascii="Calibri" w:hAnsi="Calibri" w:cs="Calibri"/>
              </w:rPr>
              <w:t>é</w:t>
            </w:r>
            <w:r w:rsidRPr="00052C53">
              <w:t xml:space="preserve">der </w:t>
            </w:r>
            <w:r w:rsidRPr="00052C53">
              <w:rPr>
                <w:rFonts w:ascii="Calibri" w:hAnsi="Calibri" w:cs="Calibri"/>
              </w:rPr>
              <w:t>à</w:t>
            </w:r>
            <w:r w:rsidRPr="00052C53">
              <w:t xml:space="preserve"> l'examen de ce document en vue de son approbation (dans ce cas, s</w:t>
            </w:r>
            <w:r w:rsidRPr="00052C53">
              <w:rPr>
                <w:rFonts w:ascii="Calibri" w:hAnsi="Calibri" w:cs="Calibri"/>
              </w:rPr>
              <w:t>é</w:t>
            </w:r>
            <w:r w:rsidRPr="00052C53">
              <w:t>lectionnez l'une des deux options):</w:t>
            </w:r>
          </w:p>
          <w:p w14:paraId="474109D4" w14:textId="77777777" w:rsidR="00736618" w:rsidRPr="00052C53" w:rsidRDefault="00736618" w:rsidP="00534B46">
            <w:pPr>
              <w:keepNext/>
              <w:keepLines/>
              <w:spacing w:before="60"/>
              <w:ind w:left="595"/>
            </w:pPr>
            <w:r w:rsidRPr="00052C53">
              <w:rPr>
                <w:rFonts w:ascii="Segoe UI Symbol" w:hAnsi="Segoe UI Symbol" w:cs="Segoe UI Symbol"/>
              </w:rPr>
              <w:t>☐</w:t>
            </w:r>
            <w:r w:rsidRPr="00052C53">
              <w:tab/>
              <w:t>Pas de commentaire ou de proposition de modification.</w:t>
            </w:r>
          </w:p>
          <w:p w14:paraId="2522E68E" w14:textId="77777777" w:rsidR="00736618" w:rsidRPr="00052C53" w:rsidRDefault="00736618" w:rsidP="00534B46">
            <w:pPr>
              <w:keepNext/>
              <w:keepLines/>
              <w:spacing w:before="60" w:after="120"/>
              <w:ind w:left="1224" w:hanging="629"/>
            </w:pPr>
            <w:r w:rsidRPr="00052C53">
              <w:rPr>
                <w:rFonts w:ascii="Segoe UI Symbol" w:hAnsi="Segoe UI Symbol" w:cs="Segoe UI Symbol"/>
              </w:rPr>
              <w:t>☐</w:t>
            </w:r>
            <w:r w:rsidRPr="00052C53">
              <w:tab/>
              <w:t xml:space="preserve">Des commentaires ou propositions de modification sont joints </w:t>
            </w:r>
            <w:r w:rsidRPr="00052C53">
              <w:rPr>
                <w:rFonts w:cs="Calibri"/>
              </w:rPr>
              <w:t>à</w:t>
            </w:r>
            <w:r w:rsidRPr="00052C53">
              <w:t xml:space="preserve"> la pr</w:t>
            </w:r>
            <w:r w:rsidRPr="00052C53">
              <w:rPr>
                <w:rFonts w:cs="Calibri"/>
              </w:rPr>
              <w:t>é</w:t>
            </w:r>
            <w:r w:rsidRPr="00052C53">
              <w:t>sente.</w:t>
            </w:r>
          </w:p>
        </w:tc>
      </w:tr>
      <w:tr w:rsidR="00736618" w:rsidRPr="00052C53" w14:paraId="5AFBBAC6" w14:textId="77777777" w:rsidTr="00AF3181">
        <w:trPr>
          <w:trHeight w:val="1349"/>
        </w:trPr>
        <w:tc>
          <w:tcPr>
            <w:tcW w:w="2067" w:type="dxa"/>
            <w:vMerge/>
            <w:shd w:val="clear" w:color="auto" w:fill="auto"/>
            <w:vAlign w:val="center"/>
          </w:tcPr>
          <w:p w14:paraId="09BE06E4" w14:textId="77777777" w:rsidR="00736618" w:rsidRPr="00052C53" w:rsidRDefault="00736618" w:rsidP="00534B46">
            <w:pPr>
              <w:keepNext/>
              <w:keepLines/>
            </w:pPr>
          </w:p>
        </w:tc>
        <w:tc>
          <w:tcPr>
            <w:tcW w:w="7652" w:type="dxa"/>
            <w:shd w:val="clear" w:color="auto" w:fill="auto"/>
            <w:vAlign w:val="center"/>
          </w:tcPr>
          <w:p w14:paraId="5A1B0E2D" w14:textId="77777777" w:rsidR="00736618" w:rsidRPr="00052C53" w:rsidRDefault="00736618" w:rsidP="00534B46">
            <w:pPr>
              <w:keepNext/>
              <w:keepLines/>
              <w:spacing w:after="120"/>
              <w:ind w:left="595" w:hanging="595"/>
            </w:pPr>
            <w:r w:rsidRPr="00052C53">
              <w:rPr>
                <w:rFonts w:ascii="Segoe UI Symbol" w:hAnsi="Segoe UI Symbol" w:cs="Segoe UI Symbol"/>
              </w:rPr>
              <w:t>☐</w:t>
            </w:r>
            <w:r w:rsidRPr="00052C53">
              <w:tab/>
            </w:r>
            <w:r w:rsidRPr="00052C53">
              <w:rPr>
                <w:b/>
                <w:bCs/>
              </w:rPr>
              <w:t>N'autorise</w:t>
            </w:r>
            <w:r w:rsidRPr="00052C53">
              <w:t xml:space="preserve"> </w:t>
            </w:r>
            <w:r w:rsidRPr="00052C53">
              <w:rPr>
                <w:b/>
                <w:bCs/>
              </w:rPr>
              <w:t>pas</w:t>
            </w:r>
            <w:r w:rsidRPr="00052C53">
              <w:t xml:space="preserve"> la CE 21 </w:t>
            </w:r>
            <w:r w:rsidRPr="00052C53">
              <w:rPr>
                <w:rFonts w:cs="Calibri"/>
              </w:rPr>
              <w:t>à</w:t>
            </w:r>
            <w:r w:rsidRPr="00052C53">
              <w:t xml:space="preserve"> proc</w:t>
            </w:r>
            <w:r w:rsidRPr="00052C53">
              <w:rPr>
                <w:rFonts w:cs="Calibri"/>
              </w:rPr>
              <w:t>é</w:t>
            </w:r>
            <w:r w:rsidRPr="00052C53">
              <w:t xml:space="preserve">der </w:t>
            </w:r>
            <w:r w:rsidRPr="00052C53">
              <w:rPr>
                <w:rFonts w:cs="Calibri"/>
              </w:rPr>
              <w:t>à</w:t>
            </w:r>
            <w:r w:rsidRPr="00052C53">
              <w:t xml:space="preserve"> l'examen de ce document en vue de son approbation (les motifs de cette d</w:t>
            </w:r>
            <w:r w:rsidRPr="00052C53">
              <w:rPr>
                <w:rFonts w:cs="Calibri"/>
              </w:rPr>
              <w:t>é</w:t>
            </w:r>
            <w:r w:rsidRPr="00052C53">
              <w:t xml:space="preserve">cision et une description des </w:t>
            </w:r>
            <w:r w:rsidRPr="00052C53">
              <w:rPr>
                <w:rFonts w:cs="Calibri"/>
              </w:rPr>
              <w:t>é</w:t>
            </w:r>
            <w:r w:rsidRPr="00052C53">
              <w:t xml:space="preserve">ventuelles modifications qui permettraient la poursuite des travaux sont joints </w:t>
            </w:r>
            <w:r w:rsidRPr="00052C53">
              <w:rPr>
                <w:rFonts w:cs="Calibri"/>
              </w:rPr>
              <w:t>à</w:t>
            </w:r>
            <w:r w:rsidRPr="00052C53">
              <w:t xml:space="preserve"> la pr</w:t>
            </w:r>
            <w:r w:rsidRPr="00052C53">
              <w:rPr>
                <w:rFonts w:cs="Calibri"/>
              </w:rPr>
              <w:t>é</w:t>
            </w:r>
            <w:r w:rsidRPr="00052C53">
              <w:t>sente).</w:t>
            </w:r>
          </w:p>
        </w:tc>
      </w:tr>
      <w:tr w:rsidR="008F4794" w:rsidRPr="00052C53" w14:paraId="4A4AFE20" w14:textId="77777777" w:rsidTr="005F2B7C">
        <w:trPr>
          <w:trHeight w:val="1574"/>
        </w:trPr>
        <w:tc>
          <w:tcPr>
            <w:tcW w:w="2067" w:type="dxa"/>
            <w:vMerge w:val="restart"/>
            <w:shd w:val="clear" w:color="auto" w:fill="auto"/>
            <w:vAlign w:val="center"/>
          </w:tcPr>
          <w:p w14:paraId="4302177F" w14:textId="5CA9D749" w:rsidR="008F4794" w:rsidRPr="00052C53" w:rsidRDefault="008F4794" w:rsidP="00534B46">
            <w:pPr>
              <w:keepNext/>
              <w:keepLines/>
              <w:jc w:val="center"/>
              <w:rPr>
                <w:b/>
                <w:bCs/>
              </w:rPr>
            </w:pPr>
            <w:r w:rsidRPr="00052C53">
              <w:rPr>
                <w:b/>
                <w:bCs/>
              </w:rPr>
              <w:t>Projet de nouvelle Recommandation</w:t>
            </w:r>
            <w:r w:rsidRPr="00052C53">
              <w:rPr>
                <w:b/>
                <w:bCs/>
              </w:rPr>
              <w:br/>
            </w:r>
            <w:r w:rsidR="00A15A38" w:rsidRPr="00052C53">
              <w:rPr>
                <w:b/>
                <w:bCs/>
              </w:rPr>
              <w:t>UIT</w:t>
            </w:r>
            <w:r w:rsidRPr="00052C53">
              <w:rPr>
                <w:b/>
                <w:bCs/>
              </w:rPr>
              <w:t xml:space="preserve">-T </w:t>
            </w:r>
            <w:r w:rsidR="00736618" w:rsidRPr="00052C53">
              <w:rPr>
                <w:b/>
                <w:bCs/>
              </w:rPr>
              <w:t>J.1043 (anciennement J.DRMVA-rbst)</w:t>
            </w:r>
          </w:p>
        </w:tc>
        <w:tc>
          <w:tcPr>
            <w:tcW w:w="7652" w:type="dxa"/>
            <w:shd w:val="clear" w:color="auto" w:fill="auto"/>
            <w:vAlign w:val="center"/>
          </w:tcPr>
          <w:p w14:paraId="424C437F" w14:textId="20DECFD8" w:rsidR="008F4794" w:rsidRPr="00052C53" w:rsidRDefault="008F4794" w:rsidP="00534B46">
            <w:pPr>
              <w:keepNext/>
              <w:keepLines/>
              <w:ind w:left="567" w:hanging="567"/>
            </w:pPr>
            <w:r w:rsidRPr="00052C53">
              <w:rPr>
                <w:rFonts w:ascii="Segoe UI Symbol" w:hAnsi="Segoe UI Symbol" w:cs="Segoe UI Symbol"/>
              </w:rPr>
              <w:t>☐</w:t>
            </w:r>
            <w:r w:rsidRPr="00052C53">
              <w:tab/>
            </w:r>
            <w:r w:rsidRPr="00052C53">
              <w:rPr>
                <w:b/>
                <w:bCs/>
              </w:rPr>
              <w:t>Autorise</w:t>
            </w:r>
            <w:r w:rsidRPr="00052C53">
              <w:t xml:space="preserve"> la CE </w:t>
            </w:r>
            <w:r w:rsidR="00736618" w:rsidRPr="00052C53">
              <w:t>2</w:t>
            </w:r>
            <w:r w:rsidRPr="00052C53">
              <w:t xml:space="preserve">1 </w:t>
            </w:r>
            <w:r w:rsidRPr="00052C53">
              <w:rPr>
                <w:rFonts w:ascii="Calibri" w:hAnsi="Calibri" w:cs="Calibri"/>
              </w:rPr>
              <w:t>à</w:t>
            </w:r>
            <w:r w:rsidRPr="00052C53">
              <w:t xml:space="preserve"> proc</w:t>
            </w:r>
            <w:r w:rsidRPr="00052C53">
              <w:rPr>
                <w:rFonts w:ascii="Calibri" w:hAnsi="Calibri" w:cs="Calibri"/>
              </w:rPr>
              <w:t>é</w:t>
            </w:r>
            <w:r w:rsidRPr="00052C53">
              <w:t xml:space="preserve">der </w:t>
            </w:r>
            <w:r w:rsidRPr="00052C53">
              <w:rPr>
                <w:rFonts w:ascii="Calibri" w:hAnsi="Calibri" w:cs="Calibri"/>
              </w:rPr>
              <w:t>à</w:t>
            </w:r>
            <w:r w:rsidRPr="00052C53">
              <w:t xml:space="preserve"> l'examen de ce document en vue de son approbation (dans ce cas, s</w:t>
            </w:r>
            <w:r w:rsidRPr="00052C53">
              <w:rPr>
                <w:rFonts w:ascii="Calibri" w:hAnsi="Calibri" w:cs="Calibri"/>
              </w:rPr>
              <w:t>é</w:t>
            </w:r>
            <w:r w:rsidRPr="00052C53">
              <w:t>lectionnez l'une des deux options):</w:t>
            </w:r>
          </w:p>
          <w:p w14:paraId="02C6293F" w14:textId="77777777" w:rsidR="008F4794" w:rsidRPr="00052C53" w:rsidRDefault="008F4794" w:rsidP="00534B46">
            <w:pPr>
              <w:keepNext/>
              <w:keepLines/>
              <w:spacing w:before="60"/>
              <w:ind w:left="595"/>
            </w:pPr>
            <w:r w:rsidRPr="00052C53">
              <w:rPr>
                <w:rFonts w:ascii="Segoe UI Symbol" w:hAnsi="Segoe UI Symbol" w:cs="Segoe UI Symbol"/>
              </w:rPr>
              <w:t>☐</w:t>
            </w:r>
            <w:r w:rsidRPr="00052C53">
              <w:tab/>
              <w:t>Pas de commentaire ou de proposition de modification.</w:t>
            </w:r>
          </w:p>
          <w:p w14:paraId="0728FBA8" w14:textId="03049A72" w:rsidR="008F4794" w:rsidRPr="00052C53" w:rsidRDefault="008F4794" w:rsidP="00534B46">
            <w:pPr>
              <w:keepNext/>
              <w:keepLines/>
              <w:spacing w:before="60" w:after="120"/>
              <w:ind w:left="1224" w:hanging="629"/>
            </w:pPr>
            <w:r w:rsidRPr="00052C53">
              <w:rPr>
                <w:rFonts w:ascii="Segoe UI Symbol" w:hAnsi="Segoe UI Symbol" w:cs="Segoe UI Symbol"/>
              </w:rPr>
              <w:t>☐</w:t>
            </w:r>
            <w:r w:rsidRPr="00052C53">
              <w:tab/>
              <w:t xml:space="preserve">Des commentaires ou propositions de modification sont joints </w:t>
            </w:r>
            <w:r w:rsidRPr="00052C53">
              <w:rPr>
                <w:rFonts w:cs="Calibri"/>
              </w:rPr>
              <w:t>à</w:t>
            </w:r>
            <w:r w:rsidRPr="00052C53">
              <w:t xml:space="preserve"> la pr</w:t>
            </w:r>
            <w:r w:rsidRPr="00052C53">
              <w:rPr>
                <w:rFonts w:cs="Calibri"/>
              </w:rPr>
              <w:t>é</w:t>
            </w:r>
            <w:r w:rsidRPr="00052C53">
              <w:t>sente</w:t>
            </w:r>
            <w:r w:rsidR="003F6FC4" w:rsidRPr="00052C53">
              <w:t>.</w:t>
            </w:r>
          </w:p>
        </w:tc>
      </w:tr>
      <w:tr w:rsidR="008F4794" w:rsidRPr="00052C53" w14:paraId="01668559" w14:textId="77777777" w:rsidTr="005F2B7C">
        <w:trPr>
          <w:trHeight w:val="1349"/>
        </w:trPr>
        <w:tc>
          <w:tcPr>
            <w:tcW w:w="2067" w:type="dxa"/>
            <w:vMerge/>
            <w:shd w:val="clear" w:color="auto" w:fill="auto"/>
            <w:vAlign w:val="center"/>
          </w:tcPr>
          <w:p w14:paraId="3A03F4E5" w14:textId="77777777" w:rsidR="008F4794" w:rsidRPr="00052C53" w:rsidRDefault="008F4794" w:rsidP="00534B46">
            <w:pPr>
              <w:keepNext/>
              <w:keepLines/>
            </w:pPr>
          </w:p>
        </w:tc>
        <w:tc>
          <w:tcPr>
            <w:tcW w:w="7652" w:type="dxa"/>
            <w:shd w:val="clear" w:color="auto" w:fill="auto"/>
            <w:vAlign w:val="center"/>
          </w:tcPr>
          <w:p w14:paraId="44D6D998" w14:textId="6F2C4C48" w:rsidR="008F4794" w:rsidRPr="00052C53" w:rsidRDefault="008F4794" w:rsidP="00534B46">
            <w:pPr>
              <w:keepNext/>
              <w:keepLines/>
              <w:spacing w:after="120"/>
              <w:ind w:left="595" w:hanging="595"/>
            </w:pPr>
            <w:r w:rsidRPr="00052C53">
              <w:rPr>
                <w:rFonts w:ascii="Segoe UI Symbol" w:hAnsi="Segoe UI Symbol" w:cs="Segoe UI Symbol"/>
              </w:rPr>
              <w:t>☐</w:t>
            </w:r>
            <w:r w:rsidRPr="00052C53">
              <w:tab/>
            </w:r>
            <w:r w:rsidRPr="00052C53">
              <w:rPr>
                <w:b/>
                <w:bCs/>
              </w:rPr>
              <w:t>N'autorise</w:t>
            </w:r>
            <w:r w:rsidRPr="00052C53">
              <w:t xml:space="preserve"> </w:t>
            </w:r>
            <w:r w:rsidRPr="00052C53">
              <w:rPr>
                <w:b/>
                <w:bCs/>
              </w:rPr>
              <w:t>pas</w:t>
            </w:r>
            <w:r w:rsidRPr="00052C53">
              <w:t xml:space="preserve"> la CE </w:t>
            </w:r>
            <w:r w:rsidR="00736618" w:rsidRPr="00052C53">
              <w:t>2</w:t>
            </w:r>
            <w:r w:rsidRPr="00052C53">
              <w:t xml:space="preserve">1 </w:t>
            </w:r>
            <w:r w:rsidRPr="00052C53">
              <w:rPr>
                <w:rFonts w:cs="Calibri"/>
              </w:rPr>
              <w:t>à</w:t>
            </w:r>
            <w:r w:rsidRPr="00052C53">
              <w:t xml:space="preserve"> proc</w:t>
            </w:r>
            <w:r w:rsidRPr="00052C53">
              <w:rPr>
                <w:rFonts w:cs="Calibri"/>
              </w:rPr>
              <w:t>é</w:t>
            </w:r>
            <w:r w:rsidRPr="00052C53">
              <w:t xml:space="preserve">der </w:t>
            </w:r>
            <w:r w:rsidRPr="00052C53">
              <w:rPr>
                <w:rFonts w:cs="Calibri"/>
              </w:rPr>
              <w:t>à</w:t>
            </w:r>
            <w:r w:rsidRPr="00052C53">
              <w:t xml:space="preserve"> l'examen de ce document en vue de son approbation (les motifs de cette d</w:t>
            </w:r>
            <w:r w:rsidRPr="00052C53">
              <w:rPr>
                <w:rFonts w:cs="Calibri"/>
              </w:rPr>
              <w:t>é</w:t>
            </w:r>
            <w:r w:rsidRPr="00052C53">
              <w:t xml:space="preserve">cision et une description des </w:t>
            </w:r>
            <w:r w:rsidRPr="00052C53">
              <w:rPr>
                <w:rFonts w:cs="Calibri"/>
              </w:rPr>
              <w:t>é</w:t>
            </w:r>
            <w:r w:rsidRPr="00052C53">
              <w:t xml:space="preserve">ventuelles modifications qui permettraient la poursuite des travaux sont joints </w:t>
            </w:r>
            <w:r w:rsidRPr="00052C53">
              <w:rPr>
                <w:rFonts w:cs="Calibri"/>
              </w:rPr>
              <w:t>à</w:t>
            </w:r>
            <w:r w:rsidRPr="00052C53">
              <w:t xml:space="preserve"> la pr</w:t>
            </w:r>
            <w:r w:rsidRPr="00052C53">
              <w:rPr>
                <w:rFonts w:cs="Calibri"/>
              </w:rPr>
              <w:t>é</w:t>
            </w:r>
            <w:r w:rsidRPr="00052C53">
              <w:t>sente).</w:t>
            </w:r>
          </w:p>
        </w:tc>
      </w:tr>
    </w:tbl>
    <w:p w14:paraId="2CCA6387" w14:textId="1B0814FF" w:rsidR="003F6FC4" w:rsidRPr="00052C53" w:rsidRDefault="003F6FC4" w:rsidP="00534B46">
      <w:pPr>
        <w:keepNext/>
        <w:keepLines/>
        <w:spacing w:before="240"/>
      </w:pPr>
      <w:r w:rsidRPr="00052C53">
        <w:t>Je vous prie d'agréer, Madame, Monsieur, l'expression de ma considération distinguée</w:t>
      </w:r>
      <w:r w:rsidR="00A15A38" w:rsidRPr="00052C53">
        <w:t>.</w:t>
      </w:r>
    </w:p>
    <w:p w14:paraId="4E9A77C5" w14:textId="77777777" w:rsidR="003F6FC4" w:rsidRPr="00052C53" w:rsidRDefault="003F6FC4" w:rsidP="00534B46">
      <w:pPr>
        <w:spacing w:before="840"/>
        <w:rPr>
          <w:highlight w:val="green"/>
        </w:rPr>
      </w:pPr>
      <w:r w:rsidRPr="00052C53">
        <w:rPr>
          <w:highlight w:val="green"/>
        </w:rPr>
        <w:t>[Nom]</w:t>
      </w:r>
    </w:p>
    <w:p w14:paraId="16F19C0F" w14:textId="77777777" w:rsidR="003F6FC4" w:rsidRPr="00052C53" w:rsidRDefault="003F6FC4" w:rsidP="00534B46">
      <w:r w:rsidRPr="00052C53">
        <w:rPr>
          <w:highlight w:val="green"/>
        </w:rPr>
        <w:t>[Rôle/titre officiel]</w:t>
      </w:r>
    </w:p>
    <w:p w14:paraId="22CB5A66" w14:textId="79679EEA" w:rsidR="008F4794" w:rsidRPr="00052C53" w:rsidRDefault="003F6FC4" w:rsidP="00534B46">
      <w:r w:rsidRPr="00052C53">
        <w:t xml:space="preserve">Administration de </w:t>
      </w:r>
      <w:r w:rsidRPr="00052C53">
        <w:rPr>
          <w:highlight w:val="green"/>
        </w:rPr>
        <w:t>[État Membre]</w:t>
      </w:r>
    </w:p>
    <w:sectPr w:rsidR="008F4794" w:rsidRPr="00052C53" w:rsidSect="00A15179">
      <w:headerReference w:type="default" r:id="rId16"/>
      <w:footerReference w:type="first" r:id="rId17"/>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71EC" w14:textId="77777777" w:rsidR="004B016A" w:rsidRDefault="004B016A">
      <w:r>
        <w:separator/>
      </w:r>
    </w:p>
  </w:endnote>
  <w:endnote w:type="continuationSeparator" w:id="0">
    <w:p w14:paraId="6FE9C74F" w14:textId="77777777" w:rsidR="004B016A" w:rsidRDefault="004B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F402" w14:textId="06769540"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w:t>
    </w:r>
    <w:r w:rsidR="00ED1ECF">
      <w:rPr>
        <w:color w:val="0070C0"/>
        <w:sz w:val="18"/>
        <w:szCs w:val="18"/>
        <w:lang w:val="fr-CH"/>
      </w:rPr>
      <w:t>Télécopie</w:t>
    </w:r>
    <w:r w:rsidRPr="003E66AD">
      <w:rPr>
        <w:color w:val="0070C0"/>
        <w:sz w:val="18"/>
        <w:szCs w:val="18"/>
        <w:lang w:val="fr-CH"/>
      </w:rPr>
      <w:t xml:space="preserve">: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6D16" w14:textId="77777777" w:rsidR="004B016A" w:rsidRDefault="004B016A">
      <w:r>
        <w:t>____________________</w:t>
      </w:r>
    </w:p>
  </w:footnote>
  <w:footnote w:type="continuationSeparator" w:id="0">
    <w:p w14:paraId="26365EAB" w14:textId="77777777" w:rsidR="004B016A" w:rsidRDefault="004B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1D81" w14:textId="3F9FCDC4" w:rsidR="000D451C" w:rsidRPr="00697BC1" w:rsidRDefault="00052C53" w:rsidP="00697BC1">
    <w:pPr>
      <w:pStyle w:val="Header"/>
      <w:rPr>
        <w:noProof/>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0D451C">
      <w:rPr>
        <w:noProof/>
        <w:sz w:val="18"/>
        <w:szCs w:val="16"/>
      </w:rPr>
      <w:t>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52C53"/>
    <w:rsid w:val="00053BC1"/>
    <w:rsid w:val="000758B3"/>
    <w:rsid w:val="00085F5A"/>
    <w:rsid w:val="000B0D96"/>
    <w:rsid w:val="000B59D8"/>
    <w:rsid w:val="000C1F6B"/>
    <w:rsid w:val="000C25CC"/>
    <w:rsid w:val="000C56BE"/>
    <w:rsid w:val="000D451C"/>
    <w:rsid w:val="000D5457"/>
    <w:rsid w:val="000F0EBF"/>
    <w:rsid w:val="001026FD"/>
    <w:rsid w:val="001077FD"/>
    <w:rsid w:val="00115DD7"/>
    <w:rsid w:val="00167472"/>
    <w:rsid w:val="00167F92"/>
    <w:rsid w:val="00171996"/>
    <w:rsid w:val="00173738"/>
    <w:rsid w:val="001B79A3"/>
    <w:rsid w:val="001E54A9"/>
    <w:rsid w:val="002152A3"/>
    <w:rsid w:val="0023667A"/>
    <w:rsid w:val="002937DB"/>
    <w:rsid w:val="002E395D"/>
    <w:rsid w:val="00307FB4"/>
    <w:rsid w:val="003131F0"/>
    <w:rsid w:val="0032254E"/>
    <w:rsid w:val="00327691"/>
    <w:rsid w:val="00333A80"/>
    <w:rsid w:val="00341117"/>
    <w:rsid w:val="00364E95"/>
    <w:rsid w:val="00372875"/>
    <w:rsid w:val="003742F8"/>
    <w:rsid w:val="00376493"/>
    <w:rsid w:val="003B1E80"/>
    <w:rsid w:val="003B66E8"/>
    <w:rsid w:val="003E66AD"/>
    <w:rsid w:val="003F6FC4"/>
    <w:rsid w:val="004033F1"/>
    <w:rsid w:val="00414B0C"/>
    <w:rsid w:val="00414F29"/>
    <w:rsid w:val="00423C21"/>
    <w:rsid w:val="004257AC"/>
    <w:rsid w:val="0043711B"/>
    <w:rsid w:val="004419E9"/>
    <w:rsid w:val="00445B68"/>
    <w:rsid w:val="00473143"/>
    <w:rsid w:val="0048088B"/>
    <w:rsid w:val="004977C9"/>
    <w:rsid w:val="004B016A"/>
    <w:rsid w:val="004B732E"/>
    <w:rsid w:val="004D51F4"/>
    <w:rsid w:val="004D64E0"/>
    <w:rsid w:val="004F6701"/>
    <w:rsid w:val="004F76F9"/>
    <w:rsid w:val="00501655"/>
    <w:rsid w:val="00504888"/>
    <w:rsid w:val="005120A2"/>
    <w:rsid w:val="0051210D"/>
    <w:rsid w:val="005136D2"/>
    <w:rsid w:val="00517A03"/>
    <w:rsid w:val="00534B46"/>
    <w:rsid w:val="005A3DD9"/>
    <w:rsid w:val="005B1DFC"/>
    <w:rsid w:val="005C1C7C"/>
    <w:rsid w:val="00601682"/>
    <w:rsid w:val="00603470"/>
    <w:rsid w:val="00625E79"/>
    <w:rsid w:val="006333F7"/>
    <w:rsid w:val="006427A1"/>
    <w:rsid w:val="00644741"/>
    <w:rsid w:val="00697BC1"/>
    <w:rsid w:val="006A6FFE"/>
    <w:rsid w:val="006C53C2"/>
    <w:rsid w:val="006C5A91"/>
    <w:rsid w:val="006F52F7"/>
    <w:rsid w:val="006F6D3E"/>
    <w:rsid w:val="00706E1A"/>
    <w:rsid w:val="00716BBC"/>
    <w:rsid w:val="007321BC"/>
    <w:rsid w:val="00736618"/>
    <w:rsid w:val="007378B0"/>
    <w:rsid w:val="00753D27"/>
    <w:rsid w:val="00760063"/>
    <w:rsid w:val="00775E4B"/>
    <w:rsid w:val="0079553B"/>
    <w:rsid w:val="00795679"/>
    <w:rsid w:val="007A40FE"/>
    <w:rsid w:val="007C46FF"/>
    <w:rsid w:val="00804DA4"/>
    <w:rsid w:val="00810105"/>
    <w:rsid w:val="008157E0"/>
    <w:rsid w:val="00850477"/>
    <w:rsid w:val="00854E1D"/>
    <w:rsid w:val="00887FA6"/>
    <w:rsid w:val="008C4397"/>
    <w:rsid w:val="008C465A"/>
    <w:rsid w:val="008F2C9B"/>
    <w:rsid w:val="008F4794"/>
    <w:rsid w:val="009148EC"/>
    <w:rsid w:val="00923CD6"/>
    <w:rsid w:val="00925ED3"/>
    <w:rsid w:val="00935AA8"/>
    <w:rsid w:val="00936046"/>
    <w:rsid w:val="00971C9A"/>
    <w:rsid w:val="00982D95"/>
    <w:rsid w:val="009A1344"/>
    <w:rsid w:val="009D51FA"/>
    <w:rsid w:val="009E3A34"/>
    <w:rsid w:val="009F1E23"/>
    <w:rsid w:val="00A01F4D"/>
    <w:rsid w:val="00A15179"/>
    <w:rsid w:val="00A15A38"/>
    <w:rsid w:val="00A51537"/>
    <w:rsid w:val="00A5280F"/>
    <w:rsid w:val="00A555D5"/>
    <w:rsid w:val="00A5645A"/>
    <w:rsid w:val="00A60FC1"/>
    <w:rsid w:val="00A97C37"/>
    <w:rsid w:val="00AA131B"/>
    <w:rsid w:val="00AC37B5"/>
    <w:rsid w:val="00AD752F"/>
    <w:rsid w:val="00AF08A4"/>
    <w:rsid w:val="00AF0D7D"/>
    <w:rsid w:val="00B27B41"/>
    <w:rsid w:val="00B42659"/>
    <w:rsid w:val="00B45FD4"/>
    <w:rsid w:val="00B46F2D"/>
    <w:rsid w:val="00B60868"/>
    <w:rsid w:val="00B714ED"/>
    <w:rsid w:val="00B8573E"/>
    <w:rsid w:val="00BB094B"/>
    <w:rsid w:val="00BB24C0"/>
    <w:rsid w:val="00BC451E"/>
    <w:rsid w:val="00BD6ECF"/>
    <w:rsid w:val="00BE40A2"/>
    <w:rsid w:val="00BF47AA"/>
    <w:rsid w:val="00C26F2E"/>
    <w:rsid w:val="00C302E3"/>
    <w:rsid w:val="00C41B89"/>
    <w:rsid w:val="00C45376"/>
    <w:rsid w:val="00C46F5E"/>
    <w:rsid w:val="00C8591D"/>
    <w:rsid w:val="00C9028F"/>
    <w:rsid w:val="00C918BB"/>
    <w:rsid w:val="00CA0416"/>
    <w:rsid w:val="00CB1125"/>
    <w:rsid w:val="00CB4E80"/>
    <w:rsid w:val="00CD042E"/>
    <w:rsid w:val="00CF2560"/>
    <w:rsid w:val="00CF5B46"/>
    <w:rsid w:val="00D4652B"/>
    <w:rsid w:val="00D46B68"/>
    <w:rsid w:val="00D542A5"/>
    <w:rsid w:val="00D5577F"/>
    <w:rsid w:val="00D9218A"/>
    <w:rsid w:val="00DC3D47"/>
    <w:rsid w:val="00DD77DA"/>
    <w:rsid w:val="00E06C61"/>
    <w:rsid w:val="00E13DB3"/>
    <w:rsid w:val="00E21B7F"/>
    <w:rsid w:val="00E22B86"/>
    <w:rsid w:val="00E2408B"/>
    <w:rsid w:val="00E62CEA"/>
    <w:rsid w:val="00E72AE1"/>
    <w:rsid w:val="00ED1ECF"/>
    <w:rsid w:val="00ED6A7A"/>
    <w:rsid w:val="00EE4C36"/>
    <w:rsid w:val="00EF6A23"/>
    <w:rsid w:val="00F24C90"/>
    <w:rsid w:val="00F346CE"/>
    <w:rsid w:val="00F34F98"/>
    <w:rsid w:val="00F40540"/>
    <w:rsid w:val="00F67402"/>
    <w:rsid w:val="00F74D9D"/>
    <w:rsid w:val="00F766A2"/>
    <w:rsid w:val="00F9451D"/>
    <w:rsid w:val="00FF5C16"/>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A1D1"/>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NormalBold">
    <w:name w:val="Normal + Bold"/>
    <w:basedOn w:val="Normal"/>
    <w:rsid w:val="00982D95"/>
    <w:pPr>
      <w:tabs>
        <w:tab w:val="clear" w:pos="794"/>
        <w:tab w:val="clear" w:pos="1191"/>
        <w:tab w:val="clear" w:pos="1588"/>
        <w:tab w:val="clear" w:pos="1985"/>
      </w:tabs>
      <w:spacing w:after="120"/>
      <w:ind w:left="939" w:hanging="459"/>
      <w:jc w:val="center"/>
    </w:pPr>
    <w:rPr>
      <w:rFonts w:cstheme="minorHAnsi"/>
      <w:b/>
      <w:bCs/>
      <w:color w:val="000000"/>
      <w:szCs w:val="24"/>
    </w:rPr>
  </w:style>
  <w:style w:type="paragraph" w:customStyle="1" w:styleId="Reasons">
    <w:name w:val="Reasons"/>
    <w:basedOn w:val="Normal"/>
    <w:qFormat/>
    <w:rsid w:val="003F6FC4"/>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Bote">
    <w:name w:val="Bote"/>
    <w:basedOn w:val="Normal"/>
    <w:rsid w:val="00ED1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21-R-0018/en"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itu.int/md/T25-SG21-R-0017/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21-R-0016/en" TargetMode="External"/><Relationship Id="rId5" Type="http://schemas.openxmlformats.org/officeDocument/2006/relationships/webSettings" Target="webSettings.xml"/><Relationship Id="rId15" Type="http://schemas.openxmlformats.org/officeDocument/2006/relationships/hyperlink" Target="mailto:mtsbdir@itu.int" TargetMode="External"/><Relationship Id="rId10" Type="http://schemas.openxmlformats.org/officeDocument/2006/relationships/hyperlink" Target="https://www.itu.int/md/T25-SG21-R-0015/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hyperlink" Target="https://www.itu.int/md/T25-SG21-R-0019/en"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customXml/itemProps2.xml><?xml version="1.0" encoding="utf-8"?>
<ds:datastoreItem xmlns:ds="http://schemas.openxmlformats.org/officeDocument/2006/customXml" ds:itemID="{095ACB29-CA07-473C-A9C0-F4EA06FA6453}"/>
</file>

<file path=customXml/itemProps3.xml><?xml version="1.0" encoding="utf-8"?>
<ds:datastoreItem xmlns:ds="http://schemas.openxmlformats.org/officeDocument/2006/customXml" ds:itemID="{92660B27-E13C-4785-A0C1-05DDE1C4F8FF}"/>
</file>

<file path=customXml/itemProps4.xml><?xml version="1.0" encoding="utf-8"?>
<ds:datastoreItem xmlns:ds="http://schemas.openxmlformats.org/officeDocument/2006/customXml" ds:itemID="{4BFD2B92-1EDB-4F74-8C16-E88E0BB7429A}"/>
</file>

<file path=docProps/app.xml><?xml version="1.0" encoding="utf-8"?>
<Properties xmlns="http://schemas.openxmlformats.org/officeDocument/2006/extended-properties" xmlns:vt="http://schemas.openxmlformats.org/officeDocument/2006/docPropsVTypes">
  <Template>PF_TSB_Circular.dotx</Template>
  <TotalTime>16</TotalTime>
  <Pages>7</Pages>
  <Words>2456</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17089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French</cp:lastModifiedBy>
  <cp:revision>5</cp:revision>
  <cp:lastPrinted>2011-04-15T08:01:00Z</cp:lastPrinted>
  <dcterms:created xsi:type="dcterms:W3CDTF">2026-01-26T13:49:00Z</dcterms:created>
  <dcterms:modified xsi:type="dcterms:W3CDTF">2026-01-26T14:05:00Z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