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595437" w14:paraId="2A2EC958" w14:textId="77777777" w:rsidTr="00D517B2">
        <w:trPr>
          <w:cantSplit/>
          <w:trHeight w:val="1134"/>
        </w:trPr>
        <w:tc>
          <w:tcPr>
            <w:tcW w:w="798" w:type="pct"/>
          </w:tcPr>
          <w:p w14:paraId="6B63F5E6" w14:textId="77777777" w:rsidR="00D517B2" w:rsidRPr="00595437" w:rsidRDefault="00D517B2" w:rsidP="00D517B2">
            <w:pPr>
              <w:spacing w:before="0" w:line="240" w:lineRule="auto"/>
              <w:rPr>
                <w:b/>
                <w:bCs/>
                <w:rtl/>
                <w:lang w:bidi="ar-EG"/>
              </w:rPr>
            </w:pPr>
            <w:r w:rsidRPr="00595437">
              <w:rPr>
                <w:noProof/>
              </w:rPr>
              <w:drawing>
                <wp:inline distT="0" distB="0" distL="0" distR="0" wp14:anchorId="43AF36B8" wp14:editId="33D3061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4DD6DBD" w14:textId="77777777" w:rsidR="00D517B2" w:rsidRPr="00595437" w:rsidRDefault="00D517B2" w:rsidP="00D517B2">
            <w:pPr>
              <w:spacing w:before="200"/>
              <w:rPr>
                <w:b/>
                <w:bCs/>
                <w:sz w:val="36"/>
                <w:szCs w:val="36"/>
                <w:rtl/>
              </w:rPr>
            </w:pPr>
            <w:r w:rsidRPr="00595437">
              <w:rPr>
                <w:rFonts w:hint="cs"/>
                <w:b/>
                <w:bCs/>
                <w:sz w:val="36"/>
                <w:szCs w:val="36"/>
                <w:rtl/>
              </w:rPr>
              <w:t>الاتحـاد الدولـي للاتصـالات</w:t>
            </w:r>
          </w:p>
          <w:p w14:paraId="6DC7EF28" w14:textId="77777777" w:rsidR="00D517B2" w:rsidRPr="00595437" w:rsidRDefault="00D517B2" w:rsidP="00D517B2">
            <w:pPr>
              <w:spacing w:before="60"/>
              <w:rPr>
                <w:b/>
                <w:bCs/>
                <w:sz w:val="28"/>
                <w:szCs w:val="28"/>
                <w:rtl/>
                <w:lang w:bidi="ar-EG"/>
              </w:rPr>
            </w:pPr>
            <w:r w:rsidRPr="00595437">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595437" w14:paraId="395E4422" w14:textId="77777777" w:rsidTr="001E2788">
        <w:trPr>
          <w:cantSplit/>
          <w:jc w:val="center"/>
        </w:trPr>
        <w:tc>
          <w:tcPr>
            <w:tcW w:w="810" w:type="pct"/>
          </w:tcPr>
          <w:p w14:paraId="5FEEF987" w14:textId="77777777" w:rsidR="00D517B2" w:rsidRPr="00595437" w:rsidRDefault="00D517B2" w:rsidP="00BB0F08">
            <w:pPr>
              <w:spacing w:line="300" w:lineRule="exact"/>
              <w:jc w:val="left"/>
              <w:rPr>
                <w:position w:val="2"/>
              </w:rPr>
            </w:pPr>
          </w:p>
        </w:tc>
        <w:tc>
          <w:tcPr>
            <w:tcW w:w="1984" w:type="pct"/>
          </w:tcPr>
          <w:p w14:paraId="6DE79199" w14:textId="77777777" w:rsidR="00D517B2" w:rsidRPr="00595437" w:rsidRDefault="00D517B2" w:rsidP="00BB0F08">
            <w:pPr>
              <w:spacing w:line="300" w:lineRule="exact"/>
              <w:jc w:val="left"/>
              <w:rPr>
                <w:position w:val="2"/>
              </w:rPr>
            </w:pPr>
          </w:p>
        </w:tc>
        <w:tc>
          <w:tcPr>
            <w:tcW w:w="2206" w:type="pct"/>
          </w:tcPr>
          <w:p w14:paraId="67C98773" w14:textId="77777777" w:rsidR="00D517B2" w:rsidRPr="00595437" w:rsidRDefault="00D517B2" w:rsidP="00BB0F08">
            <w:pPr>
              <w:spacing w:line="300" w:lineRule="exact"/>
              <w:jc w:val="left"/>
              <w:rPr>
                <w:position w:val="2"/>
                <w:lang w:bidi="ar-EG"/>
              </w:rPr>
            </w:pPr>
          </w:p>
        </w:tc>
      </w:tr>
      <w:tr w:rsidR="00D517B2" w:rsidRPr="00595437" w14:paraId="4DDE268A" w14:textId="77777777" w:rsidTr="001E2788">
        <w:trPr>
          <w:cantSplit/>
          <w:jc w:val="center"/>
        </w:trPr>
        <w:tc>
          <w:tcPr>
            <w:tcW w:w="810" w:type="pct"/>
          </w:tcPr>
          <w:p w14:paraId="7068A1C4" w14:textId="77777777" w:rsidR="00D517B2" w:rsidRPr="00595437" w:rsidRDefault="00D517B2" w:rsidP="006019C6">
            <w:pPr>
              <w:spacing w:before="80" w:line="300" w:lineRule="exact"/>
              <w:jc w:val="left"/>
              <w:rPr>
                <w:position w:val="2"/>
              </w:rPr>
            </w:pPr>
          </w:p>
        </w:tc>
        <w:tc>
          <w:tcPr>
            <w:tcW w:w="1984" w:type="pct"/>
          </w:tcPr>
          <w:p w14:paraId="7912DF1A" w14:textId="77777777" w:rsidR="00D517B2" w:rsidRPr="00595437" w:rsidRDefault="00D517B2" w:rsidP="006019C6">
            <w:pPr>
              <w:spacing w:before="80" w:line="300" w:lineRule="exact"/>
              <w:jc w:val="left"/>
              <w:rPr>
                <w:position w:val="2"/>
                <w:lang w:bidi="ar-EG"/>
              </w:rPr>
            </w:pPr>
          </w:p>
        </w:tc>
        <w:tc>
          <w:tcPr>
            <w:tcW w:w="2206" w:type="pct"/>
          </w:tcPr>
          <w:p w14:paraId="6405CEDF" w14:textId="10336467" w:rsidR="00D517B2" w:rsidRPr="00595437" w:rsidRDefault="00873469" w:rsidP="006019C6">
            <w:pPr>
              <w:spacing w:before="80" w:line="300" w:lineRule="exact"/>
              <w:jc w:val="left"/>
              <w:rPr>
                <w:position w:val="2"/>
                <w:rtl/>
                <w:lang w:bidi="ar-EG"/>
              </w:rPr>
            </w:pPr>
            <w:r w:rsidRPr="00595437">
              <w:rPr>
                <w:rFonts w:hint="cs"/>
                <w:position w:val="2"/>
                <w:rtl/>
              </w:rPr>
              <w:t xml:space="preserve">جنيف، </w:t>
            </w:r>
            <w:r w:rsidR="00595437" w:rsidRPr="00595437">
              <w:rPr>
                <w:position w:val="2"/>
              </w:rPr>
              <w:t>21</w:t>
            </w:r>
            <w:r w:rsidR="00595437" w:rsidRPr="00595437">
              <w:rPr>
                <w:rFonts w:hint="cs"/>
                <w:position w:val="2"/>
                <w:rtl/>
                <w:lang w:bidi="ar-EG"/>
              </w:rPr>
              <w:t xml:space="preserve"> يناير</w:t>
            </w:r>
            <w:r w:rsidR="007139D8" w:rsidRPr="00595437">
              <w:rPr>
                <w:rFonts w:hint="cs"/>
                <w:position w:val="2"/>
                <w:rtl/>
              </w:rPr>
              <w:t xml:space="preserve"> </w:t>
            </w:r>
            <w:r w:rsidR="007139D8" w:rsidRPr="00595437">
              <w:rPr>
                <w:position w:val="2"/>
              </w:rPr>
              <w:t>202</w:t>
            </w:r>
            <w:r w:rsidR="00595437" w:rsidRPr="00595437">
              <w:rPr>
                <w:position w:val="2"/>
              </w:rPr>
              <w:t>6</w:t>
            </w:r>
          </w:p>
        </w:tc>
      </w:tr>
      <w:tr w:rsidR="00372F67" w:rsidRPr="00595437" w14:paraId="6AAEEE53" w14:textId="77777777" w:rsidTr="001E2788">
        <w:trPr>
          <w:cantSplit/>
          <w:jc w:val="center"/>
        </w:trPr>
        <w:tc>
          <w:tcPr>
            <w:tcW w:w="810" w:type="pct"/>
          </w:tcPr>
          <w:p w14:paraId="5E795AB1" w14:textId="77777777" w:rsidR="00372F67" w:rsidRPr="00595437" w:rsidRDefault="00372F67" w:rsidP="00D517B2">
            <w:pPr>
              <w:spacing w:before="80" w:after="60" w:line="300" w:lineRule="exact"/>
              <w:jc w:val="left"/>
              <w:rPr>
                <w:b/>
                <w:bCs/>
                <w:position w:val="2"/>
              </w:rPr>
            </w:pPr>
            <w:r w:rsidRPr="00595437">
              <w:rPr>
                <w:rFonts w:hint="cs"/>
                <w:b/>
                <w:bCs/>
                <w:position w:val="2"/>
                <w:rtl/>
              </w:rPr>
              <w:t>المرجع:</w:t>
            </w:r>
          </w:p>
        </w:tc>
        <w:tc>
          <w:tcPr>
            <w:tcW w:w="1984" w:type="pct"/>
          </w:tcPr>
          <w:p w14:paraId="70991AFB" w14:textId="61F988F0" w:rsidR="00372F67" w:rsidRPr="00595437" w:rsidRDefault="00372F67" w:rsidP="00595437">
            <w:pPr>
              <w:spacing w:before="80" w:after="60" w:line="300" w:lineRule="exact"/>
              <w:jc w:val="left"/>
              <w:rPr>
                <w:b/>
                <w:position w:val="2"/>
              </w:rPr>
            </w:pPr>
            <w:r w:rsidRPr="00595437">
              <w:rPr>
                <w:b/>
                <w:position w:val="2"/>
              </w:rPr>
              <w:t xml:space="preserve">TSB Circular </w:t>
            </w:r>
            <w:r w:rsidR="00595437" w:rsidRPr="00595437">
              <w:rPr>
                <w:b/>
                <w:position w:val="2"/>
              </w:rPr>
              <w:t>108</w:t>
            </w:r>
            <w:r w:rsidRPr="00595437">
              <w:rPr>
                <w:b/>
                <w:position w:val="2"/>
              </w:rPr>
              <w:br/>
            </w:r>
            <w:r w:rsidR="00595437" w:rsidRPr="00595437">
              <w:rPr>
                <w:bCs/>
                <w:position w:val="2"/>
                <w:lang w:val="pt-PT"/>
              </w:rPr>
              <w:t>SG21/SP</w:t>
            </w:r>
          </w:p>
        </w:tc>
        <w:tc>
          <w:tcPr>
            <w:tcW w:w="2206" w:type="pct"/>
            <w:vMerge w:val="restart"/>
          </w:tcPr>
          <w:p w14:paraId="3CACF17D" w14:textId="77777777" w:rsidR="00372F67" w:rsidRPr="00595437" w:rsidRDefault="00372F67" w:rsidP="001F4353">
            <w:pPr>
              <w:tabs>
                <w:tab w:val="clear" w:pos="794"/>
                <w:tab w:val="left" w:pos="284"/>
              </w:tabs>
              <w:spacing w:before="80" w:after="60" w:line="300" w:lineRule="exact"/>
              <w:jc w:val="left"/>
              <w:rPr>
                <w:b/>
                <w:bCs/>
                <w:position w:val="2"/>
                <w:rtl/>
                <w:lang w:bidi="ar-EG"/>
              </w:rPr>
            </w:pPr>
            <w:r w:rsidRPr="00595437">
              <w:rPr>
                <w:rFonts w:hint="cs"/>
                <w:b/>
                <w:bCs/>
                <w:position w:val="2"/>
                <w:rtl/>
              </w:rPr>
              <w:t>إلى:</w:t>
            </w:r>
          </w:p>
          <w:p w14:paraId="51B92E3D" w14:textId="77777777" w:rsidR="00372F67" w:rsidRPr="00595437" w:rsidRDefault="00372F67" w:rsidP="001F4353">
            <w:pPr>
              <w:tabs>
                <w:tab w:val="clear" w:pos="794"/>
                <w:tab w:val="left" w:pos="284"/>
              </w:tabs>
              <w:spacing w:before="80" w:after="60" w:line="300" w:lineRule="exact"/>
              <w:ind w:left="284" w:hanging="284"/>
              <w:jc w:val="left"/>
              <w:rPr>
                <w:position w:val="2"/>
                <w:rtl/>
              </w:rPr>
            </w:pPr>
            <w:r w:rsidRPr="00595437">
              <w:rPr>
                <w:rFonts w:hint="cs"/>
                <w:position w:val="2"/>
                <w:rtl/>
              </w:rPr>
              <w:t>-</w:t>
            </w:r>
            <w:r w:rsidRPr="00595437">
              <w:rPr>
                <w:position w:val="2"/>
                <w:rtl/>
              </w:rPr>
              <w:tab/>
            </w:r>
            <w:r w:rsidRPr="00595437">
              <w:rPr>
                <w:rFonts w:hint="cs"/>
                <w:position w:val="2"/>
                <w:rtl/>
              </w:rPr>
              <w:t>إدارات الدول الأعضاء في الاتحاد؛</w:t>
            </w:r>
          </w:p>
          <w:p w14:paraId="02007BD0" w14:textId="57C01FAD" w:rsidR="00595437" w:rsidRPr="00595437" w:rsidRDefault="00595437" w:rsidP="00EF39D1">
            <w:pPr>
              <w:tabs>
                <w:tab w:val="left" w:pos="284"/>
                <w:tab w:val="left" w:pos="4111"/>
              </w:tabs>
              <w:spacing w:before="80" w:after="60" w:line="300" w:lineRule="exact"/>
              <w:ind w:left="284" w:hanging="284"/>
              <w:rPr>
                <w:position w:val="2"/>
                <w:rtl/>
                <w:lang w:bidi="ar-EG"/>
              </w:rPr>
            </w:pPr>
            <w:r w:rsidRPr="00595437">
              <w:rPr>
                <w:position w:val="2"/>
                <w:rtl/>
              </w:rPr>
              <w:t>-</w:t>
            </w:r>
            <w:r w:rsidRPr="00595437">
              <w:rPr>
                <w:position w:val="2"/>
                <w:rtl/>
              </w:rPr>
              <w:tab/>
              <w:t>دولة فلسطين (القرار. 99 (المراج</w:t>
            </w:r>
            <w:r w:rsidR="00EF39D1">
              <w:rPr>
                <w:rFonts w:hint="cs"/>
                <w:position w:val="2"/>
                <w:rtl/>
              </w:rPr>
              <w:t>َ</w:t>
            </w:r>
            <w:r w:rsidRPr="00595437">
              <w:rPr>
                <w:position w:val="2"/>
                <w:rtl/>
              </w:rPr>
              <w:t>ع في دبي، 2018))</w:t>
            </w:r>
          </w:p>
          <w:p w14:paraId="61C79FFC" w14:textId="77777777" w:rsidR="00372F67" w:rsidRPr="00595437" w:rsidRDefault="00372F67" w:rsidP="001F4353">
            <w:pPr>
              <w:tabs>
                <w:tab w:val="clear" w:pos="794"/>
                <w:tab w:val="left" w:pos="284"/>
              </w:tabs>
              <w:spacing w:before="80" w:after="60" w:line="300" w:lineRule="exact"/>
              <w:ind w:left="284" w:hanging="284"/>
              <w:jc w:val="left"/>
              <w:rPr>
                <w:b/>
                <w:bCs/>
                <w:position w:val="2"/>
                <w:rtl/>
              </w:rPr>
            </w:pPr>
            <w:r w:rsidRPr="00595437">
              <w:rPr>
                <w:rFonts w:hint="cs"/>
                <w:b/>
                <w:bCs/>
                <w:position w:val="2"/>
                <w:rtl/>
              </w:rPr>
              <w:t>نسخة إلى:</w:t>
            </w:r>
          </w:p>
          <w:p w14:paraId="71388518" w14:textId="77777777" w:rsidR="00595437" w:rsidRPr="00595437" w:rsidRDefault="00595437" w:rsidP="00595437">
            <w:pPr>
              <w:tabs>
                <w:tab w:val="left" w:pos="284"/>
                <w:tab w:val="left" w:pos="4111"/>
              </w:tabs>
              <w:spacing w:before="80" w:after="60" w:line="300" w:lineRule="exact"/>
              <w:ind w:left="284" w:hanging="284"/>
              <w:rPr>
                <w:position w:val="2"/>
                <w:rtl/>
                <w:lang w:bidi="ar-EG"/>
              </w:rPr>
            </w:pPr>
            <w:r w:rsidRPr="00595437">
              <w:rPr>
                <w:position w:val="2"/>
                <w:rtl/>
              </w:rPr>
              <w:t>-</w:t>
            </w:r>
            <w:r w:rsidRPr="00595437">
              <w:rPr>
                <w:position w:val="2"/>
                <w:rtl/>
              </w:rPr>
              <w:tab/>
            </w:r>
            <w:r w:rsidRPr="00595437">
              <w:rPr>
                <w:position w:val="2"/>
                <w:rtl/>
                <w:lang w:bidi="ar-EG"/>
              </w:rPr>
              <w:t>أعضاء قطاع تقييس الاتصالات بالاتحاد؛</w:t>
            </w:r>
          </w:p>
          <w:p w14:paraId="2056D11F" w14:textId="2EB3BC53" w:rsidR="00595437" w:rsidRPr="00595437" w:rsidRDefault="00595437" w:rsidP="00595437">
            <w:pPr>
              <w:tabs>
                <w:tab w:val="left" w:pos="284"/>
                <w:tab w:val="left" w:pos="4111"/>
              </w:tabs>
              <w:spacing w:before="80" w:after="60" w:line="300" w:lineRule="exact"/>
              <w:ind w:left="284" w:hanging="284"/>
              <w:rPr>
                <w:position w:val="2"/>
                <w:rtl/>
                <w:lang w:bidi="ar-EG"/>
              </w:rPr>
            </w:pPr>
            <w:r w:rsidRPr="00595437">
              <w:rPr>
                <w:position w:val="2"/>
                <w:rtl/>
              </w:rPr>
              <w:t>-</w:t>
            </w:r>
            <w:r w:rsidRPr="00595437">
              <w:rPr>
                <w:position w:val="2"/>
                <w:rtl/>
              </w:rPr>
              <w:tab/>
              <w:t>المنتسبين إلى قطاع تقييس الاتصالات</w:t>
            </w:r>
            <w:r w:rsidRPr="00595437">
              <w:rPr>
                <w:rFonts w:hint="cs"/>
                <w:position w:val="2"/>
                <w:rtl/>
              </w:rPr>
              <w:t xml:space="preserve"> </w:t>
            </w:r>
            <w:r w:rsidRPr="00595437">
              <w:rPr>
                <w:position w:val="2"/>
                <w:rtl/>
              </w:rPr>
              <w:t xml:space="preserve">المشاركين في أعمال لجنة الدراسات </w:t>
            </w:r>
            <w:r w:rsidRPr="00595437">
              <w:rPr>
                <w:position w:val="2"/>
              </w:rPr>
              <w:t>21</w:t>
            </w:r>
            <w:r w:rsidRPr="00595437">
              <w:rPr>
                <w:position w:val="2"/>
                <w:rtl/>
              </w:rPr>
              <w:t>؛</w:t>
            </w:r>
          </w:p>
          <w:p w14:paraId="4EBFF47A" w14:textId="3DA15F37" w:rsidR="00595437" w:rsidRPr="00595437" w:rsidRDefault="00595437" w:rsidP="00595437">
            <w:pPr>
              <w:tabs>
                <w:tab w:val="left" w:pos="284"/>
                <w:tab w:val="left" w:pos="4111"/>
              </w:tabs>
              <w:spacing w:before="80" w:after="60" w:line="300" w:lineRule="exact"/>
              <w:ind w:left="284" w:hanging="284"/>
              <w:rPr>
                <w:position w:val="2"/>
                <w:rtl/>
              </w:rPr>
            </w:pPr>
            <w:r w:rsidRPr="00595437">
              <w:rPr>
                <w:position w:val="2"/>
                <w:rtl/>
              </w:rPr>
              <w:t>-</w:t>
            </w:r>
            <w:r w:rsidRPr="00595437">
              <w:rPr>
                <w:position w:val="2"/>
                <w:rtl/>
              </w:rPr>
              <w:tab/>
              <w:t>الهيئات الأكاديمية المنضمة إلى</w:t>
            </w:r>
            <w:r w:rsidRPr="00595437">
              <w:rPr>
                <w:position w:val="2"/>
                <w:rtl/>
                <w:lang w:bidi="ar-EG"/>
              </w:rPr>
              <w:t xml:space="preserve"> الاتحاد</w:t>
            </w:r>
          </w:p>
          <w:p w14:paraId="42517B49" w14:textId="0035E7F7" w:rsidR="00372F67" w:rsidRPr="00595437" w:rsidRDefault="00372F67" w:rsidP="00595437">
            <w:pPr>
              <w:tabs>
                <w:tab w:val="left" w:pos="284"/>
                <w:tab w:val="left" w:pos="4111"/>
              </w:tabs>
              <w:spacing w:before="80" w:after="60" w:line="300" w:lineRule="exact"/>
              <w:ind w:left="284" w:hanging="284"/>
              <w:rPr>
                <w:rFonts w:eastAsia="Times New Roman"/>
                <w:position w:val="2"/>
                <w:rtl/>
                <w:lang w:eastAsia="en-US"/>
              </w:rPr>
            </w:pPr>
            <w:r w:rsidRPr="00595437">
              <w:rPr>
                <w:rFonts w:hint="cs"/>
                <w:position w:val="2"/>
                <w:rtl/>
              </w:rPr>
              <w:t>-</w:t>
            </w:r>
            <w:r w:rsidRPr="00595437">
              <w:rPr>
                <w:position w:val="2"/>
                <w:rtl/>
              </w:rPr>
              <w:tab/>
            </w:r>
            <w:r w:rsidR="00595437" w:rsidRPr="00595437">
              <w:rPr>
                <w:rFonts w:eastAsia="Times New Roman"/>
                <w:color w:val="000000"/>
                <w:rtl/>
                <w:lang w:val="en-GB"/>
              </w:rPr>
              <w:t xml:space="preserve"> </w:t>
            </w:r>
            <w:r w:rsidR="00595437" w:rsidRPr="00595437">
              <w:rPr>
                <w:rFonts w:eastAsia="Times New Roman"/>
                <w:position w:val="2"/>
                <w:rtl/>
                <w:lang w:eastAsia="en-US"/>
              </w:rPr>
              <w:t xml:space="preserve">رئيس لجنة الدراسات </w:t>
            </w:r>
            <w:r w:rsidR="00595437" w:rsidRPr="00595437">
              <w:rPr>
                <w:rFonts w:eastAsia="Times New Roman"/>
                <w:position w:val="2"/>
                <w:lang w:eastAsia="en-US"/>
              </w:rPr>
              <w:t>21</w:t>
            </w:r>
            <w:r w:rsidR="00595437" w:rsidRPr="00595437">
              <w:rPr>
                <w:rFonts w:eastAsia="Times New Roman"/>
                <w:position w:val="2"/>
                <w:rtl/>
                <w:lang w:eastAsia="en-US"/>
              </w:rPr>
              <w:t xml:space="preserve"> لقطاع تقييس الاتصالات ونوابه؛</w:t>
            </w:r>
          </w:p>
          <w:p w14:paraId="4AF37935" w14:textId="77777777" w:rsidR="00372F67" w:rsidRPr="0059543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595437">
              <w:rPr>
                <w:rFonts w:eastAsia="Times New Roman" w:hint="cs"/>
                <w:position w:val="2"/>
                <w:rtl/>
                <w:lang w:eastAsia="en-US"/>
              </w:rPr>
              <w:t>-</w:t>
            </w:r>
            <w:r w:rsidRPr="00595437">
              <w:rPr>
                <w:rFonts w:eastAsia="Times New Roman"/>
                <w:position w:val="2"/>
                <w:rtl/>
                <w:lang w:eastAsia="en-US"/>
              </w:rPr>
              <w:tab/>
              <w:t>مدير مكتب تنمية الاتصالات</w:t>
            </w:r>
            <w:r w:rsidRPr="00595437">
              <w:rPr>
                <w:rFonts w:eastAsia="Times New Roman" w:hint="cs"/>
                <w:position w:val="2"/>
                <w:rtl/>
                <w:lang w:eastAsia="en-US"/>
              </w:rPr>
              <w:t>؛</w:t>
            </w:r>
          </w:p>
          <w:p w14:paraId="797DD059" w14:textId="77777777" w:rsidR="00372F67" w:rsidRPr="00595437" w:rsidRDefault="00372F67" w:rsidP="00E02440">
            <w:pPr>
              <w:tabs>
                <w:tab w:val="left" w:pos="284"/>
                <w:tab w:val="left" w:pos="4111"/>
              </w:tabs>
              <w:spacing w:before="80" w:after="60" w:line="300" w:lineRule="exact"/>
              <w:ind w:left="284" w:hanging="284"/>
              <w:rPr>
                <w:position w:val="2"/>
                <w:rtl/>
              </w:rPr>
            </w:pPr>
            <w:r w:rsidRPr="00595437">
              <w:rPr>
                <w:rFonts w:eastAsia="Times New Roman" w:hint="cs"/>
                <w:position w:val="2"/>
                <w:rtl/>
                <w:lang w:eastAsia="en-US"/>
              </w:rPr>
              <w:t>-</w:t>
            </w:r>
            <w:r w:rsidRPr="00595437">
              <w:rPr>
                <w:rFonts w:eastAsia="Times New Roman"/>
                <w:position w:val="2"/>
                <w:rtl/>
                <w:lang w:eastAsia="en-US"/>
              </w:rPr>
              <w:tab/>
              <w:t>مدير مكتب الاتصالات الراديوية</w:t>
            </w:r>
          </w:p>
        </w:tc>
      </w:tr>
      <w:tr w:rsidR="00105255" w:rsidRPr="00595437" w14:paraId="3A237220" w14:textId="77777777" w:rsidTr="00105255">
        <w:trPr>
          <w:cantSplit/>
          <w:trHeight w:val="483"/>
          <w:jc w:val="center"/>
        </w:trPr>
        <w:tc>
          <w:tcPr>
            <w:tcW w:w="810" w:type="pct"/>
          </w:tcPr>
          <w:p w14:paraId="53F9DA11" w14:textId="5DF3A86A" w:rsidR="00105255" w:rsidRPr="00595437" w:rsidRDefault="00105255" w:rsidP="003635B8">
            <w:pPr>
              <w:spacing w:before="80" w:after="60" w:line="300" w:lineRule="exact"/>
              <w:jc w:val="left"/>
              <w:rPr>
                <w:b/>
                <w:bCs/>
                <w:position w:val="2"/>
                <w:lang w:bidi="ar-EG"/>
              </w:rPr>
            </w:pPr>
            <w:r w:rsidRPr="00595437">
              <w:rPr>
                <w:rFonts w:hint="cs"/>
                <w:b/>
                <w:bCs/>
                <w:position w:val="2"/>
                <w:rtl/>
                <w:lang w:bidi="ar-EG"/>
              </w:rPr>
              <w:t>ال</w:t>
            </w:r>
            <w:r w:rsidRPr="00595437">
              <w:rPr>
                <w:rFonts w:hint="cs"/>
                <w:b/>
                <w:bCs/>
                <w:position w:val="2"/>
                <w:rtl/>
                <w:lang w:bidi="ar-SY"/>
              </w:rPr>
              <w:t>هاتف</w:t>
            </w:r>
            <w:r w:rsidRPr="00595437">
              <w:rPr>
                <w:rFonts w:hint="cs"/>
                <w:b/>
                <w:bCs/>
                <w:position w:val="2"/>
                <w:rtl/>
              </w:rPr>
              <w:t>:</w:t>
            </w:r>
          </w:p>
        </w:tc>
        <w:tc>
          <w:tcPr>
            <w:tcW w:w="1984" w:type="pct"/>
          </w:tcPr>
          <w:p w14:paraId="332F97F1" w14:textId="5CB3D367" w:rsidR="00105255" w:rsidRPr="00595437" w:rsidRDefault="00105255" w:rsidP="007320AA">
            <w:pPr>
              <w:spacing w:before="80" w:after="60" w:line="300" w:lineRule="exact"/>
              <w:jc w:val="left"/>
              <w:rPr>
                <w:b/>
                <w:position w:val="2"/>
              </w:rPr>
            </w:pPr>
            <w:r w:rsidRPr="00595437">
              <w:rPr>
                <w:position w:val="2"/>
                <w:lang w:val="en-GB"/>
              </w:rPr>
              <w:t>+41 22 730 5858</w:t>
            </w:r>
          </w:p>
        </w:tc>
        <w:tc>
          <w:tcPr>
            <w:tcW w:w="2206" w:type="pct"/>
            <w:vMerge/>
          </w:tcPr>
          <w:p w14:paraId="43E4C341" w14:textId="77777777" w:rsidR="00105255" w:rsidRPr="00595437" w:rsidRDefault="00105255" w:rsidP="00E02440">
            <w:pPr>
              <w:tabs>
                <w:tab w:val="left" w:pos="284"/>
                <w:tab w:val="left" w:pos="4111"/>
              </w:tabs>
              <w:spacing w:before="80" w:after="60" w:line="300" w:lineRule="exact"/>
              <w:ind w:left="284" w:hanging="284"/>
              <w:rPr>
                <w:position w:val="2"/>
                <w:rtl/>
              </w:rPr>
            </w:pPr>
          </w:p>
        </w:tc>
      </w:tr>
      <w:tr w:rsidR="00372F67" w:rsidRPr="00595437" w14:paraId="1711549A" w14:textId="77777777" w:rsidTr="001E2788">
        <w:trPr>
          <w:cantSplit/>
          <w:jc w:val="center"/>
        </w:trPr>
        <w:tc>
          <w:tcPr>
            <w:tcW w:w="810" w:type="pct"/>
          </w:tcPr>
          <w:p w14:paraId="7440E876" w14:textId="77777777" w:rsidR="00372F67" w:rsidRPr="00595437" w:rsidRDefault="00372F67" w:rsidP="001E2788">
            <w:pPr>
              <w:spacing w:before="80" w:after="60" w:line="300" w:lineRule="exact"/>
              <w:jc w:val="left"/>
              <w:rPr>
                <w:b/>
                <w:bCs/>
                <w:position w:val="2"/>
                <w:rtl/>
              </w:rPr>
            </w:pPr>
            <w:r w:rsidRPr="00595437">
              <w:rPr>
                <w:rFonts w:hint="cs"/>
                <w:b/>
                <w:bCs/>
                <w:position w:val="2"/>
                <w:rtl/>
              </w:rPr>
              <w:t>الفاكس:</w:t>
            </w:r>
          </w:p>
        </w:tc>
        <w:tc>
          <w:tcPr>
            <w:tcW w:w="1984" w:type="pct"/>
          </w:tcPr>
          <w:p w14:paraId="7922E36F" w14:textId="63F07C30" w:rsidR="00372F67" w:rsidRPr="00595437" w:rsidRDefault="00595437" w:rsidP="00595437">
            <w:pPr>
              <w:spacing w:before="80" w:after="60" w:line="300" w:lineRule="exact"/>
              <w:jc w:val="left"/>
              <w:rPr>
                <w:position w:val="2"/>
              </w:rPr>
            </w:pPr>
            <w:r w:rsidRPr="00595437">
              <w:rPr>
                <w:position w:val="2"/>
                <w:lang w:val="en-GB"/>
              </w:rPr>
              <w:t>+41 22 730 5853</w:t>
            </w:r>
          </w:p>
        </w:tc>
        <w:tc>
          <w:tcPr>
            <w:tcW w:w="2206" w:type="pct"/>
            <w:vMerge/>
          </w:tcPr>
          <w:p w14:paraId="4A7C212B" w14:textId="77777777" w:rsidR="00372F67" w:rsidRPr="00595437" w:rsidRDefault="00372F67" w:rsidP="00E02440">
            <w:pPr>
              <w:tabs>
                <w:tab w:val="left" w:pos="284"/>
                <w:tab w:val="left" w:pos="4111"/>
              </w:tabs>
              <w:spacing w:before="80" w:after="60" w:line="300" w:lineRule="exact"/>
              <w:ind w:left="284" w:hanging="284"/>
              <w:rPr>
                <w:position w:val="2"/>
                <w:rtl/>
              </w:rPr>
            </w:pPr>
          </w:p>
        </w:tc>
      </w:tr>
      <w:tr w:rsidR="00372F67" w:rsidRPr="00595437" w14:paraId="75203ACF" w14:textId="77777777" w:rsidTr="001E2788">
        <w:trPr>
          <w:cantSplit/>
          <w:jc w:val="center"/>
        </w:trPr>
        <w:tc>
          <w:tcPr>
            <w:tcW w:w="810" w:type="pct"/>
          </w:tcPr>
          <w:p w14:paraId="0EE75397" w14:textId="77777777" w:rsidR="00372F67" w:rsidRPr="00595437" w:rsidRDefault="00372F67" w:rsidP="00CE1C08">
            <w:pPr>
              <w:spacing w:before="80" w:after="60" w:line="300" w:lineRule="exact"/>
              <w:jc w:val="left"/>
              <w:rPr>
                <w:b/>
                <w:bCs/>
                <w:position w:val="2"/>
                <w:rtl/>
              </w:rPr>
            </w:pPr>
            <w:r w:rsidRPr="00595437">
              <w:rPr>
                <w:rFonts w:hint="cs"/>
                <w:b/>
                <w:bCs/>
                <w:position w:val="2"/>
                <w:rtl/>
              </w:rPr>
              <w:t>البريد الإلكتروني:</w:t>
            </w:r>
          </w:p>
        </w:tc>
        <w:tc>
          <w:tcPr>
            <w:tcW w:w="1984" w:type="pct"/>
          </w:tcPr>
          <w:p w14:paraId="5B7E91CF" w14:textId="1A8ABE91" w:rsidR="00372F67" w:rsidRPr="00595437" w:rsidRDefault="00A07557" w:rsidP="00595437">
            <w:pPr>
              <w:spacing w:before="80" w:after="60" w:line="300" w:lineRule="exact"/>
              <w:jc w:val="left"/>
              <w:rPr>
                <w:position w:val="2"/>
                <w:rtl/>
                <w:lang w:bidi="ar-EG"/>
              </w:rPr>
            </w:pPr>
            <w:hyperlink r:id="rId9" w:history="1">
              <w:r w:rsidR="00595437" w:rsidRPr="00595437">
                <w:rPr>
                  <w:rStyle w:val="Hyperlink"/>
                  <w:position w:val="2"/>
                  <w:lang w:val="en-GB" w:bidi="ar-EG"/>
                </w:rPr>
                <w:t>tsbsg21@itu.int</w:t>
              </w:r>
            </w:hyperlink>
          </w:p>
        </w:tc>
        <w:tc>
          <w:tcPr>
            <w:tcW w:w="2206" w:type="pct"/>
            <w:vMerge/>
          </w:tcPr>
          <w:p w14:paraId="21AC96C1" w14:textId="77777777" w:rsidR="00372F67" w:rsidRPr="00595437" w:rsidRDefault="00372F67" w:rsidP="001F4353">
            <w:pPr>
              <w:tabs>
                <w:tab w:val="left" w:pos="284"/>
                <w:tab w:val="left" w:pos="4111"/>
              </w:tabs>
              <w:spacing w:before="80" w:after="60" w:line="300" w:lineRule="exact"/>
              <w:ind w:left="284" w:hanging="284"/>
              <w:rPr>
                <w:position w:val="2"/>
                <w:rtl/>
              </w:rPr>
            </w:pPr>
          </w:p>
        </w:tc>
      </w:tr>
      <w:tr w:rsidR="00CE1C08" w:rsidRPr="00595437" w14:paraId="6ADF31C0" w14:textId="77777777" w:rsidTr="001E2788">
        <w:trPr>
          <w:cantSplit/>
          <w:jc w:val="center"/>
        </w:trPr>
        <w:tc>
          <w:tcPr>
            <w:tcW w:w="810" w:type="pct"/>
          </w:tcPr>
          <w:p w14:paraId="707D0916" w14:textId="77777777" w:rsidR="00CE1C08" w:rsidRPr="00595437" w:rsidRDefault="00CE1C08" w:rsidP="00CE1C08">
            <w:pPr>
              <w:spacing w:before="80" w:after="60" w:line="300" w:lineRule="exact"/>
              <w:jc w:val="left"/>
              <w:rPr>
                <w:b/>
                <w:bCs/>
                <w:position w:val="2"/>
                <w:rtl/>
                <w:lang w:bidi="ar-EG"/>
              </w:rPr>
            </w:pPr>
          </w:p>
        </w:tc>
        <w:tc>
          <w:tcPr>
            <w:tcW w:w="1984" w:type="pct"/>
          </w:tcPr>
          <w:p w14:paraId="07D294CB" w14:textId="77777777" w:rsidR="00CE1C08" w:rsidRPr="00595437" w:rsidRDefault="00CE1C08" w:rsidP="00CE1C08">
            <w:pPr>
              <w:spacing w:before="80" w:after="60" w:line="300" w:lineRule="exact"/>
              <w:jc w:val="left"/>
              <w:rPr>
                <w:position w:val="2"/>
              </w:rPr>
            </w:pPr>
          </w:p>
        </w:tc>
        <w:tc>
          <w:tcPr>
            <w:tcW w:w="2206" w:type="pct"/>
          </w:tcPr>
          <w:p w14:paraId="34A2F6B4" w14:textId="77777777" w:rsidR="00CE1C08" w:rsidRPr="00595437" w:rsidRDefault="00CE1C08" w:rsidP="00CE1C08">
            <w:pPr>
              <w:spacing w:before="80" w:after="60" w:line="300" w:lineRule="exact"/>
              <w:jc w:val="left"/>
              <w:rPr>
                <w:position w:val="2"/>
                <w:rtl/>
              </w:rPr>
            </w:pPr>
          </w:p>
        </w:tc>
      </w:tr>
      <w:tr w:rsidR="00CE1C08" w:rsidRPr="00595437" w14:paraId="39B95B0B" w14:textId="77777777" w:rsidTr="001E2788">
        <w:trPr>
          <w:cantSplit/>
          <w:jc w:val="center"/>
        </w:trPr>
        <w:tc>
          <w:tcPr>
            <w:tcW w:w="810" w:type="pct"/>
          </w:tcPr>
          <w:p w14:paraId="0F849534" w14:textId="77777777" w:rsidR="00CE1C08" w:rsidRPr="00595437" w:rsidRDefault="00CE1C08" w:rsidP="00CE1C08">
            <w:pPr>
              <w:spacing w:before="80" w:after="60" w:line="300" w:lineRule="exact"/>
              <w:jc w:val="left"/>
              <w:rPr>
                <w:b/>
                <w:bCs/>
                <w:position w:val="2"/>
                <w:rtl/>
                <w:lang w:bidi="ar-SY"/>
              </w:rPr>
            </w:pPr>
            <w:r w:rsidRPr="00595437">
              <w:rPr>
                <w:rFonts w:hint="cs"/>
                <w:b/>
                <w:bCs/>
                <w:position w:val="2"/>
                <w:rtl/>
              </w:rPr>
              <w:t>الموضوع:</w:t>
            </w:r>
          </w:p>
        </w:tc>
        <w:tc>
          <w:tcPr>
            <w:tcW w:w="4190" w:type="pct"/>
            <w:gridSpan w:val="2"/>
          </w:tcPr>
          <w:p w14:paraId="6C5CA881" w14:textId="4B0F5D7C" w:rsidR="00CE1C08" w:rsidRPr="00595437" w:rsidRDefault="00595437" w:rsidP="00EF39D1">
            <w:pPr>
              <w:spacing w:before="80" w:after="60" w:line="300" w:lineRule="exact"/>
              <w:rPr>
                <w:position w:val="2"/>
                <w:rtl/>
              </w:rPr>
            </w:pPr>
            <w:r w:rsidRPr="00595437">
              <w:rPr>
                <w:b/>
                <w:bCs/>
                <w:position w:val="2"/>
                <w:rtl/>
              </w:rPr>
              <w:t>مشاورة الدول الأعضاء بشأن مشاريع التوصيات المحددة ITU-T H.862.9 (F.HR-AP سابقاً)، وF.748.39 (F.AICP-FRRC سابقاً) وF.748.75 (F.MTTIR سابقاً)</w:t>
            </w:r>
            <w:r w:rsidR="00105255">
              <w:rPr>
                <w:rFonts w:hint="cs"/>
                <w:b/>
                <w:bCs/>
                <w:position w:val="2"/>
                <w:rtl/>
              </w:rPr>
              <w:t xml:space="preserve"> </w:t>
            </w:r>
            <w:r w:rsidRPr="00595437">
              <w:rPr>
                <w:b/>
                <w:bCs/>
                <w:position w:val="2"/>
                <w:rtl/>
              </w:rPr>
              <w:t>وF.748.76 (F.AI-RFSSMA سابقاً) وJ.1043 (J.DRMVA-</w:t>
            </w:r>
            <w:proofErr w:type="spellStart"/>
            <w:r w:rsidRPr="00595437">
              <w:rPr>
                <w:b/>
                <w:bCs/>
                <w:position w:val="2"/>
                <w:rtl/>
              </w:rPr>
              <w:t>rbst</w:t>
            </w:r>
            <w:proofErr w:type="spellEnd"/>
            <w:r w:rsidRPr="00595437">
              <w:rPr>
                <w:b/>
                <w:bCs/>
                <w:position w:val="2"/>
                <w:rtl/>
              </w:rPr>
              <w:t xml:space="preserve"> سابقاً) المقترح الموافقة عليها في اجتماع لجنة الدراسات 21 لقطاع تقييس الاتصالات (المقرر عقده في جنيف، 6-17 يوليو 2026)</w:t>
            </w:r>
          </w:p>
        </w:tc>
      </w:tr>
    </w:tbl>
    <w:p w14:paraId="16E68A58" w14:textId="77777777" w:rsidR="00D517B2" w:rsidRPr="00595437" w:rsidRDefault="00D517B2" w:rsidP="006635B2">
      <w:pPr>
        <w:spacing w:before="600"/>
        <w:rPr>
          <w:lang w:bidi="ar-SY"/>
        </w:rPr>
      </w:pPr>
      <w:r w:rsidRPr="00595437">
        <w:rPr>
          <w:rFonts w:hint="cs"/>
          <w:rtl/>
          <w:lang w:bidi="ar-SY"/>
        </w:rPr>
        <w:t>حضرات السادة والسيدات،</w:t>
      </w:r>
    </w:p>
    <w:p w14:paraId="2556012D" w14:textId="77777777" w:rsidR="00D517B2" w:rsidRPr="00595437" w:rsidRDefault="00D517B2" w:rsidP="00D517B2">
      <w:pPr>
        <w:rPr>
          <w:rtl/>
          <w:lang w:bidi="ar-EG"/>
        </w:rPr>
      </w:pPr>
      <w:r w:rsidRPr="00595437">
        <w:rPr>
          <w:rFonts w:hint="cs"/>
          <w:rtl/>
        </w:rPr>
        <w:t>تحية طيبة وبعد،</w:t>
      </w:r>
    </w:p>
    <w:p w14:paraId="6BD980FA" w14:textId="77777777" w:rsidR="00595437" w:rsidRPr="00595437" w:rsidRDefault="00595437" w:rsidP="00595437">
      <w:pPr>
        <w:rPr>
          <w:lang w:val="ar-SA" w:bidi="ar-SY"/>
        </w:rPr>
      </w:pPr>
      <w:r w:rsidRPr="00595437">
        <w:rPr>
          <w:rtl/>
        </w:rPr>
        <w:t>1</w:t>
      </w:r>
      <w:r w:rsidRPr="00595437">
        <w:rPr>
          <w:rtl/>
        </w:rPr>
        <w:tab/>
        <w:t xml:space="preserve">تعتزم لجنة الدراسات 21 بقطاع تقييس الاتصالات (تكنولوجيات الوسائط المتعددة وإيصال المحتوى والتلفزيون </w:t>
      </w:r>
      <w:proofErr w:type="spellStart"/>
      <w:r w:rsidRPr="00595437">
        <w:rPr>
          <w:rtl/>
        </w:rPr>
        <w:t>الكبلي</w:t>
      </w:r>
      <w:proofErr w:type="spellEnd"/>
      <w:r w:rsidRPr="00595437">
        <w:rPr>
          <w:rtl/>
        </w:rPr>
        <w:t>) تطبيق إجراء الموافقة التقليدي على النحو المبين في القسم 9 من القرار 1 (المراجَع في جنيف، 2022) للجمعية العالمية لتقييس الاتصالات للموافقة على مشاريع التوصيات المذكورة أعلاه في اجتماعها المقبل المقرر عقده في جنيف في الفترة من 6 إلى 17 يوليو</w:t>
      </w:r>
      <w:r w:rsidRPr="00595437">
        <w:rPr>
          <w:lang w:val="en-GB" w:bidi="ar-SY"/>
        </w:rPr>
        <w:t xml:space="preserve"> </w:t>
      </w:r>
      <w:r w:rsidRPr="00595437">
        <w:rPr>
          <w:rtl/>
        </w:rPr>
        <w:t>2026. وسيتاح جدول الأعمال وجميع المعلومات ذات الصلة المتعلقة باجتماع لجنة الدراسات 21 بقطاع تقييس الاتصالات في الرسالة الجماعية للجنة الدراسات 21 التي ستصدر قريباً.</w:t>
      </w:r>
    </w:p>
    <w:p w14:paraId="1235FAB2" w14:textId="77777777" w:rsidR="00595437" w:rsidRPr="00595437" w:rsidRDefault="00595437" w:rsidP="00595437">
      <w:pPr>
        <w:rPr>
          <w:lang w:val="ar-SA" w:bidi="ar-SY"/>
        </w:rPr>
      </w:pPr>
      <w:r w:rsidRPr="00595437">
        <w:rPr>
          <w:rtl/>
        </w:rPr>
        <w:t>2</w:t>
      </w:r>
      <w:r w:rsidRPr="00595437">
        <w:rPr>
          <w:rtl/>
        </w:rPr>
        <w:tab/>
        <w:t xml:space="preserve">ويمكن الاطلاع على عناوين مشاريع توصيات قطاع تقييس الاتصالات المقترح الموافقة عليها وعلى ملخصها ومكانها في </w:t>
      </w:r>
      <w:r w:rsidRPr="00595437">
        <w:rPr>
          <w:b/>
          <w:bCs/>
          <w:rtl/>
        </w:rPr>
        <w:t>الملحق</w:t>
      </w:r>
      <w:r w:rsidRPr="00595437">
        <w:rPr>
          <w:rtl/>
        </w:rPr>
        <w:t xml:space="preserve"> </w:t>
      </w:r>
      <w:r w:rsidRPr="00EF39D1">
        <w:rPr>
          <w:b/>
          <w:bCs/>
          <w:rtl/>
        </w:rPr>
        <w:t>1</w:t>
      </w:r>
      <w:r w:rsidRPr="00595437">
        <w:rPr>
          <w:rtl/>
        </w:rPr>
        <w:t>.</w:t>
      </w:r>
    </w:p>
    <w:p w14:paraId="3BDF4C84" w14:textId="77777777" w:rsidR="00595437" w:rsidRPr="00595437" w:rsidRDefault="00595437" w:rsidP="00595437">
      <w:pPr>
        <w:pStyle w:val="Note"/>
        <w:rPr>
          <w:lang w:val="ar-SA" w:bidi="ar-SY"/>
        </w:rPr>
      </w:pPr>
      <w:r w:rsidRPr="00595437">
        <w:rPr>
          <w:b/>
          <w:bCs/>
          <w:rtl/>
        </w:rPr>
        <w:t>الملاحظة 1</w:t>
      </w:r>
      <w:r w:rsidRPr="00595437">
        <w:rPr>
          <w:rtl/>
        </w:rPr>
        <w:t xml:space="preserve"> - لا حاجة حالياً إلى تبرير وفق التوصية ITU-T A.5 لأي من مشروعي التوصيتين هاتين.</w:t>
      </w:r>
    </w:p>
    <w:p w14:paraId="0087333B" w14:textId="08D4E5C5" w:rsidR="00595437" w:rsidRPr="00595437" w:rsidRDefault="00595437" w:rsidP="00595437">
      <w:pPr>
        <w:rPr>
          <w:lang w:val="ar-SA" w:bidi="ar-SY"/>
        </w:rPr>
      </w:pPr>
      <w:r w:rsidRPr="00595437">
        <w:rPr>
          <w:rtl/>
        </w:rPr>
        <w:t>3</w:t>
      </w:r>
      <w:r w:rsidRPr="00595437">
        <w:rPr>
          <w:rtl/>
        </w:rPr>
        <w:tab/>
        <w:t>وتستهل هذه الرسالة المعممة المشاورة الرسمية مع الدول الأعضاء في الاتحاد بشأن ما إذا كان يمكن النظر في هذه النصوص للموافقة عليها في الاجتماع المقبل، وفقاً للفقرة 4.9 من القرار 1. ويرجى من الدول الأعضاء ملء الاستمارة الواردة في</w:t>
      </w:r>
      <w:r w:rsidR="00EF39D1">
        <w:rPr>
          <w:rFonts w:hint="cs"/>
          <w:rtl/>
        </w:rPr>
        <w:t> </w:t>
      </w:r>
      <w:r w:rsidRPr="00595437">
        <w:rPr>
          <w:b/>
          <w:bCs/>
          <w:rtl/>
        </w:rPr>
        <w:t>الملحق 2 وإعادتها</w:t>
      </w:r>
      <w:r w:rsidRPr="00595437">
        <w:rPr>
          <w:rtl/>
        </w:rPr>
        <w:t xml:space="preserve"> </w:t>
      </w:r>
      <w:r w:rsidRPr="00595437">
        <w:rPr>
          <w:b/>
          <w:bCs/>
          <w:rtl/>
        </w:rPr>
        <w:t>في موعد أقصاه 24 يونيو</w:t>
      </w:r>
      <w:r w:rsidRPr="00595437">
        <w:rPr>
          <w:b/>
          <w:bCs/>
          <w:lang w:val="en-GB" w:bidi="ar-SY"/>
        </w:rPr>
        <w:t xml:space="preserve"> </w:t>
      </w:r>
      <w:r w:rsidRPr="00595437">
        <w:rPr>
          <w:b/>
          <w:bCs/>
          <w:rtl/>
        </w:rPr>
        <w:t>2026،</w:t>
      </w:r>
      <w:r w:rsidRPr="00595437">
        <w:rPr>
          <w:rtl/>
        </w:rPr>
        <w:t xml:space="preserve"> الساعة 23:59 بالتوقيت العالمي المنسق.</w:t>
      </w:r>
    </w:p>
    <w:p w14:paraId="6F77DF74" w14:textId="5DC518A7" w:rsidR="00D517B2" w:rsidRPr="00595437" w:rsidRDefault="00595437" w:rsidP="00595437">
      <w:pPr>
        <w:rPr>
          <w:rtl/>
          <w:lang w:bidi="ar-SY"/>
        </w:rPr>
      </w:pPr>
      <w:r w:rsidRPr="00595437">
        <w:rPr>
          <w:rtl/>
        </w:rPr>
        <w:lastRenderedPageBreak/>
        <w:t>4</w:t>
      </w:r>
      <w:r w:rsidRPr="00595437">
        <w:rPr>
          <w:rtl/>
        </w:rPr>
        <w:tab/>
        <w:t>وإذا أيد 70 في المائة أو أكثر من الردود الواردة من الدول الأعضاء النظر في الموافقة عليها، تخصَص جلسة عامة واحدة لتطبيق إجراء الموافقة. وينبغي للدول الأعضاء التي لا تفوض سلطة المضي قدماً أن تبلغ مدير مكتب تقييس الاتصالات بأسباب هذا الرأي وأن تشير إلى التغييرات الممكنة التي من شأنها أن تمكن من إحراز تقدم في العمل.</w:t>
      </w:r>
    </w:p>
    <w:p w14:paraId="64C4699D" w14:textId="77777777" w:rsidR="00E84438" w:rsidRPr="00595437" w:rsidRDefault="00E84438" w:rsidP="00891703">
      <w:pPr>
        <w:spacing w:before="240"/>
        <w:jc w:val="left"/>
        <w:rPr>
          <w:rtl/>
          <w:lang w:bidi="ar-EG"/>
        </w:rPr>
      </w:pPr>
      <w:r w:rsidRPr="00595437">
        <w:rPr>
          <w:rFonts w:hint="cs"/>
          <w:rtl/>
          <w:lang w:bidi="ar-EG"/>
        </w:rPr>
        <w:t>وتفضلوا بقبول فائق التقدير والاحترام.</w:t>
      </w:r>
    </w:p>
    <w:p w14:paraId="5E148B44" w14:textId="77777777" w:rsidR="00E84438" w:rsidRPr="00D517B2" w:rsidRDefault="00E84438" w:rsidP="00891703">
      <w:pPr>
        <w:spacing w:before="720" w:after="720"/>
        <w:jc w:val="left"/>
        <w:rPr>
          <w:i/>
          <w:iCs/>
          <w:rtl/>
          <w:lang w:bidi="ar-SY"/>
        </w:rPr>
      </w:pPr>
      <w:r w:rsidRPr="00595437">
        <w:rPr>
          <w:rFonts w:hint="cs"/>
          <w:rtl/>
          <w:lang w:bidi="ar-SY"/>
        </w:rPr>
        <w:t>(</w:t>
      </w:r>
      <w:r w:rsidR="001E2788" w:rsidRPr="00595437">
        <w:rPr>
          <w:rFonts w:hint="eastAsia"/>
          <w:rtl/>
          <w:lang w:bidi="ar-SY"/>
        </w:rPr>
        <w:t> </w:t>
      </w:r>
      <w:r w:rsidRPr="00595437">
        <w:rPr>
          <w:rFonts w:hint="cs"/>
          <w:i/>
          <w:iCs/>
          <w:rtl/>
          <w:lang w:bidi="ar-SY"/>
        </w:rPr>
        <w:t>توقيع</w:t>
      </w:r>
      <w:r w:rsidRPr="00595437">
        <w:rPr>
          <w:rFonts w:hint="cs"/>
          <w:rtl/>
          <w:lang w:bidi="ar-SY"/>
        </w:rPr>
        <w:t>)</w:t>
      </w:r>
    </w:p>
    <w:p w14:paraId="552FAABC" w14:textId="77777777" w:rsidR="00E84438" w:rsidRDefault="00807031" w:rsidP="00E84438">
      <w:pPr>
        <w:jc w:val="left"/>
        <w:rPr>
          <w:rtl/>
          <w:lang w:bidi="ar-SY"/>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0639614E" w14:textId="671EE54E" w:rsidR="00595437" w:rsidRPr="00D517B2" w:rsidRDefault="00595437" w:rsidP="00595437">
      <w:pPr>
        <w:spacing w:before="720"/>
        <w:jc w:val="left"/>
        <w:rPr>
          <w:rtl/>
        </w:rPr>
      </w:pPr>
      <w:r w:rsidRPr="00595437">
        <w:rPr>
          <w:b/>
          <w:bCs/>
          <w:rtl/>
        </w:rPr>
        <w:t>الملحقات:</w:t>
      </w:r>
      <w:r w:rsidRPr="00595437">
        <w:rPr>
          <w:rtl/>
        </w:rPr>
        <w:tab/>
        <w:t>2</w:t>
      </w:r>
    </w:p>
    <w:p w14:paraId="20B5D1E1" w14:textId="77777777" w:rsidR="00596808" w:rsidRDefault="00596808" w:rsidP="00E84438">
      <w:pPr>
        <w:rPr>
          <w:rtl/>
          <w:lang w:bidi="ar-EG"/>
        </w:rPr>
      </w:pPr>
      <w:r>
        <w:rPr>
          <w:rtl/>
          <w:lang w:bidi="ar-EG"/>
        </w:rPr>
        <w:br w:type="page"/>
      </w:r>
    </w:p>
    <w:p w14:paraId="6D8696B4" w14:textId="21370A8D" w:rsidR="00595437" w:rsidRPr="00595437" w:rsidRDefault="00595437" w:rsidP="00595437">
      <w:pPr>
        <w:pStyle w:val="Annextitle"/>
        <w:rPr>
          <w:lang w:val="ar-SA" w:bidi="ar-EG"/>
        </w:rPr>
      </w:pPr>
      <w:r w:rsidRPr="00595437">
        <w:rPr>
          <w:rtl/>
        </w:rPr>
        <w:lastRenderedPageBreak/>
        <w:t>الملحق 1</w:t>
      </w:r>
      <w:r>
        <w:br/>
      </w:r>
      <w:r w:rsidRPr="00595437">
        <w:rPr>
          <w:rtl/>
        </w:rPr>
        <w:t xml:space="preserve">ملخصات مشاريع التوصيات الجديدة المحددة </w:t>
      </w:r>
      <w:r w:rsidRPr="00595437">
        <w:rPr>
          <w:lang w:val="en-GB"/>
        </w:rPr>
        <w:t>ITU-T H.862.9</w:t>
      </w:r>
      <w:r w:rsidRPr="00595437">
        <w:rPr>
          <w:rtl/>
        </w:rPr>
        <w:t xml:space="preserve"> (</w:t>
      </w:r>
      <w:r w:rsidRPr="00595437">
        <w:rPr>
          <w:lang w:val="en-GB"/>
        </w:rPr>
        <w:t>F.HR-AP</w:t>
      </w:r>
      <w:r w:rsidRPr="00595437">
        <w:rPr>
          <w:rtl/>
        </w:rPr>
        <w:t xml:space="preserve"> سابقاً)، و</w:t>
      </w:r>
      <w:r w:rsidRPr="00595437">
        <w:rPr>
          <w:lang w:val="en-GB"/>
        </w:rPr>
        <w:t>F.748.39</w:t>
      </w:r>
      <w:r w:rsidRPr="00595437">
        <w:rPr>
          <w:rtl/>
        </w:rPr>
        <w:t xml:space="preserve"> (</w:t>
      </w:r>
      <w:r w:rsidRPr="00595437">
        <w:rPr>
          <w:lang w:val="en-GB"/>
        </w:rPr>
        <w:t>F.AICP-FRRC</w:t>
      </w:r>
      <w:r w:rsidRPr="00595437">
        <w:rPr>
          <w:rtl/>
        </w:rPr>
        <w:t xml:space="preserve"> سابقاً)، و</w:t>
      </w:r>
      <w:r w:rsidRPr="00595437">
        <w:rPr>
          <w:lang w:val="en-GB"/>
        </w:rPr>
        <w:t>F.748.75</w:t>
      </w:r>
      <w:r w:rsidRPr="00595437">
        <w:rPr>
          <w:rtl/>
        </w:rPr>
        <w:t xml:space="preserve"> (</w:t>
      </w:r>
      <w:r w:rsidRPr="00595437">
        <w:rPr>
          <w:lang w:val="en-GB"/>
        </w:rPr>
        <w:t>F.MTTIR</w:t>
      </w:r>
      <w:r w:rsidRPr="00595437">
        <w:rPr>
          <w:rtl/>
        </w:rPr>
        <w:t xml:space="preserve"> سابقاً)،</w:t>
      </w:r>
      <w:r w:rsidR="00EF39D1">
        <w:rPr>
          <w:rtl/>
        </w:rPr>
        <w:br/>
      </w:r>
      <w:r w:rsidRPr="00595437">
        <w:rPr>
          <w:rtl/>
        </w:rPr>
        <w:t>و</w:t>
      </w:r>
      <w:r w:rsidRPr="00595437">
        <w:rPr>
          <w:lang w:val="en-GB"/>
        </w:rPr>
        <w:t>F.748.76</w:t>
      </w:r>
      <w:r w:rsidRPr="00595437">
        <w:rPr>
          <w:rtl/>
        </w:rPr>
        <w:t xml:space="preserve"> (</w:t>
      </w:r>
      <w:r w:rsidRPr="00595437">
        <w:rPr>
          <w:lang w:val="en-GB"/>
        </w:rPr>
        <w:t>F.AI-RFSSMA</w:t>
      </w:r>
      <w:r w:rsidRPr="00595437">
        <w:rPr>
          <w:rtl/>
        </w:rPr>
        <w:t xml:space="preserve"> سابقاً) و</w:t>
      </w:r>
      <w:r w:rsidRPr="00595437">
        <w:rPr>
          <w:lang w:val="en-GB"/>
        </w:rPr>
        <w:t>J.1043</w:t>
      </w:r>
      <w:r w:rsidRPr="00595437">
        <w:rPr>
          <w:rtl/>
        </w:rPr>
        <w:t xml:space="preserve"> (</w:t>
      </w:r>
      <w:r w:rsidRPr="00595437">
        <w:rPr>
          <w:lang w:val="en-GB"/>
        </w:rPr>
        <w:t>J.DRMVA-</w:t>
      </w:r>
      <w:proofErr w:type="spellStart"/>
      <w:r w:rsidRPr="00595437">
        <w:rPr>
          <w:lang w:val="en-GB"/>
        </w:rPr>
        <w:t>rbst</w:t>
      </w:r>
      <w:proofErr w:type="spellEnd"/>
      <w:r w:rsidRPr="00595437">
        <w:rPr>
          <w:rtl/>
        </w:rPr>
        <w:t xml:space="preserve"> سابقاً)،</w:t>
      </w:r>
      <w:r w:rsidR="00EF39D1">
        <w:rPr>
          <w:rtl/>
        </w:rPr>
        <w:br/>
      </w:r>
      <w:r w:rsidRPr="00595437">
        <w:rPr>
          <w:rtl/>
        </w:rPr>
        <w:t>والوثائق التي ترد</w:t>
      </w:r>
      <w:r w:rsidR="00EF39D1">
        <w:rPr>
          <w:rFonts w:hint="cs"/>
          <w:rtl/>
        </w:rPr>
        <w:t> </w:t>
      </w:r>
      <w:r w:rsidRPr="00595437">
        <w:rPr>
          <w:rtl/>
        </w:rPr>
        <w:t>فيها</w:t>
      </w:r>
    </w:p>
    <w:p w14:paraId="5F5066BC" w14:textId="573232FF" w:rsidR="00595437" w:rsidRPr="00595437" w:rsidRDefault="00595437" w:rsidP="00595437">
      <w:pPr>
        <w:pStyle w:val="Heading1"/>
        <w:rPr>
          <w:lang w:val="ar-SA" w:bidi="ar-EG"/>
        </w:rPr>
      </w:pPr>
      <w:r w:rsidRPr="00595437">
        <w:rPr>
          <w:rtl/>
        </w:rPr>
        <w:t>1</w:t>
      </w:r>
      <w:r w:rsidRPr="00595437">
        <w:rPr>
          <w:rtl/>
        </w:rPr>
        <w:tab/>
        <w:t xml:space="preserve">مشروع التوصية الجديدة </w:t>
      </w:r>
      <w:r w:rsidRPr="00595437">
        <w:rPr>
          <w:lang w:val="fr-CH"/>
        </w:rPr>
        <w:t>ITU-T H.862.9</w:t>
      </w:r>
      <w:r w:rsidRPr="00595437">
        <w:rPr>
          <w:rtl/>
        </w:rPr>
        <w:t xml:space="preserve"> (</w:t>
      </w:r>
      <w:r w:rsidRPr="00595437">
        <w:rPr>
          <w:lang w:val="fr-CH"/>
        </w:rPr>
        <w:t>F.HR-AP</w:t>
      </w:r>
      <w:r w:rsidRPr="00595437">
        <w:rPr>
          <w:rtl/>
        </w:rPr>
        <w:t xml:space="preserve"> سابقاً) </w:t>
      </w:r>
      <w:r w:rsidRPr="00595437">
        <w:t>[</w:t>
      </w:r>
      <w:hyperlink r:id="rId10" w:history="1">
        <w:r w:rsidRPr="00595437">
          <w:rPr>
            <w:rStyle w:val="Hyperlink"/>
            <w:lang w:val="fr-CH"/>
          </w:rPr>
          <w:t>SG21-R15</w:t>
        </w:r>
      </w:hyperlink>
      <w:r w:rsidRPr="00595437">
        <w:t>]</w:t>
      </w:r>
      <w:hyperlink r:id="rId11" w:history="1"/>
    </w:p>
    <w:p w14:paraId="2A821124" w14:textId="77777777" w:rsidR="00595437" w:rsidRPr="00595437" w:rsidRDefault="00595437" w:rsidP="00595437">
      <w:pPr>
        <w:rPr>
          <w:b/>
          <w:bCs/>
          <w:lang w:val="ar-SA" w:bidi="ar-EG"/>
        </w:rPr>
      </w:pPr>
      <w:r w:rsidRPr="00595437">
        <w:rPr>
          <w:b/>
          <w:bCs/>
          <w:rtl/>
        </w:rPr>
        <w:t>إطار أذونات النفاذ إلى البيانات الصحية في منصات الصحة الرقمية</w:t>
      </w:r>
    </w:p>
    <w:p w14:paraId="5AD8598F" w14:textId="77777777" w:rsidR="00595437" w:rsidRPr="00595437" w:rsidRDefault="00595437" w:rsidP="00595437">
      <w:pPr>
        <w:pStyle w:val="Headingb"/>
        <w:rPr>
          <w:lang w:val="ar-SA" w:bidi="ar-EG"/>
        </w:rPr>
      </w:pPr>
      <w:r w:rsidRPr="00595437">
        <w:rPr>
          <w:rtl/>
        </w:rPr>
        <w:t>ملخص</w:t>
      </w:r>
    </w:p>
    <w:p w14:paraId="38F0A7BB" w14:textId="77777777" w:rsidR="00595437" w:rsidRPr="00595437" w:rsidRDefault="00595437" w:rsidP="00595437">
      <w:pPr>
        <w:rPr>
          <w:bCs/>
          <w:lang w:val="ar-SA" w:bidi="ar-EG"/>
        </w:rPr>
      </w:pPr>
      <w:r w:rsidRPr="00595437">
        <w:rPr>
          <w:rtl/>
        </w:rPr>
        <w:t xml:space="preserve">في مجال الصحة الرقمية، تُجمع طائفة واسعة من البيانات الصحية عبر وسائل متعددة، تشمل الأجهزة القابلة للارتداء، وأجهزة الاستشعار البيئية، وتطبيقات الأجهزة المتنقلة. وتشمل البيانات الصحية المتولدة من الأجهزة القابلة للارتداء وأجهزة الاستشعار قياسات السمات </w:t>
      </w:r>
      <w:proofErr w:type="spellStart"/>
      <w:r w:rsidRPr="00595437">
        <w:rPr>
          <w:rtl/>
        </w:rPr>
        <w:t>البيومترية</w:t>
      </w:r>
      <w:proofErr w:type="spellEnd"/>
      <w:r w:rsidRPr="00595437">
        <w:rPr>
          <w:rtl/>
        </w:rPr>
        <w:t>، وسجلات الأنشطة، والأنماط السلوكية، وغيرها من البيانات الصحية الشخصية التي تُجمع تلقائياً بدون تدخلٍ بشري. كما تجمع تطبيقات الأجهزة المتنقلة البيانات المُبلَّغ عنها ذاتياً، مثل الحالة الصحية، والأهداف الشخصية، والجرعات الدوائية المقررة. ويمكن تخزين هذه الفئات من البيانات الصحية في منصات الصحة الرقمية واستخدامها لدعم خدمات الرعاية الصحية، ورصد العافية، وغيرها من أنشطة تعزيز الصحة المكيّفة وفق الاحتياجات الشخصية.</w:t>
      </w:r>
    </w:p>
    <w:p w14:paraId="035F702D" w14:textId="0C65645D" w:rsidR="00595437" w:rsidRPr="00595437" w:rsidRDefault="00595437" w:rsidP="00595437">
      <w:pPr>
        <w:rPr>
          <w:bCs/>
          <w:lang w:val="ar-SA" w:bidi="ar-EG"/>
        </w:rPr>
      </w:pPr>
      <w:r w:rsidRPr="00595437">
        <w:rPr>
          <w:rtl/>
        </w:rPr>
        <w:t>وفي الآونة الأخيرة، شهدت بيانات الرصد التي تُقاس بواسطة أجهزة الصحة الشخصية في الحياة اليومية زيادة كبيرة. ويُعد هذا النوع من البيانات ذا قيمة لتقييم الأوضاع الصحية للفرد، كما يمكن أن يشكّل مرجعاً مفيداً في اللقاءات وجهاً لوجه مع المتخصصين في الرعاية الصحية.</w:t>
      </w:r>
    </w:p>
    <w:p w14:paraId="7F5F2D82" w14:textId="28C7F324" w:rsidR="00595437" w:rsidRPr="00595437" w:rsidRDefault="00595437" w:rsidP="00595437">
      <w:pPr>
        <w:rPr>
          <w:bCs/>
          <w:lang w:val="ar-SA" w:bidi="ar-EG"/>
        </w:rPr>
      </w:pPr>
      <w:r w:rsidRPr="00595437">
        <w:rPr>
          <w:rtl/>
        </w:rPr>
        <w:t>وتكفل السياسات التنظيمية حماية البيانات الصحية المتولدة داخل مؤسسات الرعاية الصحية، ولا يُسمح بالنفاذ إليها إلا وفق أذونات صارمة. غير أنه لا توجد حتى الآن آلية معيارية موحّدة لحماية البيانات الصحية التي تُجمع خارج مرافق الرعاية الصحية وإدارة النفاذ إليها.  ولا تزال بيانات مثل الوزن، والنشاط البدني، والعادات الغذائية تُعتبر بيانات حساسة، ويجب التعامل معها من خلال عناصر التحكم في النفاذ الملائمة. ومن الضروري اعتماد نهج معياري لمنح أذونات النفاذ إلى البيانات الصحية، بما يتيح استخدامها في تطبيقات متعددة، بما في ذلك إدارة الصحة الشخصية، وتحسين أنماط الحياة، والبحوث المتعلقة بالصحة.</w:t>
      </w:r>
    </w:p>
    <w:p w14:paraId="0161D927" w14:textId="320F34B2" w:rsidR="00595437" w:rsidRPr="00595437" w:rsidRDefault="00595437" w:rsidP="00595437">
      <w:pPr>
        <w:rPr>
          <w:bCs/>
          <w:lang w:val="ar-SA" w:bidi="ar-EG"/>
        </w:rPr>
      </w:pPr>
      <w:r w:rsidRPr="00595437">
        <w:rPr>
          <w:rtl/>
        </w:rPr>
        <w:t>ويتيح إطار أذونات النفاذ لمنصة الصحة الرقمية منح النفاذ إلى البيانات الصحية استناداً إلى جملة من العوامل، من بينها الغرض المقصود من الاستخدام، ودور متلقي البيانات، وطبيعة العلاقة مع مالك البيانات، وموافقة صاحب البيانات، والسياق الذي تُستخدم فيه البيانات. ويهدف هذا الإطار إلى كفالة النفاذ إلى البيانات الصحية واستخدامها بصورة آمنة، مع إيلاء أولوية لاحترام الخصوصية وحماية البيانات.</w:t>
      </w:r>
    </w:p>
    <w:p w14:paraId="21D469A3" w14:textId="1E976BCC" w:rsidR="00595437" w:rsidRPr="00595437" w:rsidRDefault="00595437" w:rsidP="00595437">
      <w:pPr>
        <w:rPr>
          <w:bCs/>
          <w:lang w:val="ar-SA" w:bidi="ar-EG"/>
        </w:rPr>
      </w:pPr>
      <w:r w:rsidRPr="00595437">
        <w:rPr>
          <w:rtl/>
        </w:rPr>
        <w:t xml:space="preserve">يقدّم مشروع هذه التوصية مبادئ توجيهية وإطاراً لإدارة أذونات النفاذ إلى البيانات الصحية ضمن منصات الصحة الرقمية. ويهدف هذا الإطار إلى التحكم في النفاذ إلى البيانات الصحية وإدارته. ويمكن تحقيق تبادل المعلومات المتعلقة بطلب أذونات النفاذ ومنحها باستخدام معايير تكنولوجيا المعلومات الصحية القائمة، مثل معيار موارد قابلية التشغيل البيني السريعة في الرعاية الصحة </w:t>
      </w:r>
      <w:r w:rsidRPr="00595437">
        <w:rPr>
          <w:lang w:val="en-GB" w:bidi="ar-EG"/>
        </w:rPr>
        <w:t>(</w:t>
      </w:r>
      <w:r w:rsidRPr="00595437">
        <w:t>HL7 FHIR)</w:t>
      </w:r>
      <w:r w:rsidRPr="00595437">
        <w:rPr>
          <w:rtl/>
        </w:rPr>
        <w:t>، بما يكفل المعالجة الفعالة للجوانب العملية المتصلة بقابلية التشغيل البيني.</w:t>
      </w:r>
    </w:p>
    <w:p w14:paraId="6CE55C18" w14:textId="6B834892" w:rsidR="00595437" w:rsidRPr="00C20419" w:rsidRDefault="00595437" w:rsidP="00C20419">
      <w:pPr>
        <w:pStyle w:val="Heading1"/>
        <w:rPr>
          <w:lang w:val="ar-SA" w:bidi="ar-EG"/>
        </w:rPr>
      </w:pPr>
      <w:r w:rsidRPr="00595437">
        <w:rPr>
          <w:rtl/>
        </w:rPr>
        <w:t>2</w:t>
      </w:r>
      <w:r w:rsidRPr="00595437">
        <w:rPr>
          <w:rtl/>
        </w:rPr>
        <w:tab/>
        <w:t xml:space="preserve">مشروع التوصية الجديدة </w:t>
      </w:r>
      <w:r w:rsidR="00C20419" w:rsidRPr="00C20419">
        <w:rPr>
          <w:lang w:val="fr-CH"/>
        </w:rPr>
        <w:t xml:space="preserve">ITU-T </w:t>
      </w:r>
      <w:r w:rsidR="00C20419" w:rsidRPr="00C20419">
        <w:rPr>
          <w:lang w:val="fr-FR"/>
        </w:rPr>
        <w:t>F.748.39</w:t>
      </w:r>
      <w:r w:rsidRPr="00595437">
        <w:rPr>
          <w:rtl/>
        </w:rPr>
        <w:t xml:space="preserve"> (</w:t>
      </w:r>
      <w:r w:rsidR="00C20419" w:rsidRPr="00C20419">
        <w:rPr>
          <w:lang w:val="fr-FR"/>
        </w:rPr>
        <w:t>F.AICP-FRRC</w:t>
      </w:r>
      <w:r w:rsidRPr="00595437">
        <w:rPr>
          <w:rtl/>
        </w:rPr>
        <w:t xml:space="preserve"> سابقاً) </w:t>
      </w:r>
      <w:r w:rsidRPr="00C20419">
        <w:t>[</w:t>
      </w:r>
      <w:hyperlink r:id="rId12" w:history="1">
        <w:r w:rsidR="00C20419" w:rsidRPr="00C20419">
          <w:rPr>
            <w:rStyle w:val="Hyperlink"/>
            <w:lang w:val="fr-CH"/>
          </w:rPr>
          <w:t>SG21-R16</w:t>
        </w:r>
      </w:hyperlink>
      <w:r w:rsidRPr="00C20419">
        <w:t>]</w:t>
      </w:r>
      <w:hyperlink r:id="rId13" w:history="1"/>
    </w:p>
    <w:p w14:paraId="360AEDCE" w14:textId="2A822BAE" w:rsidR="00595437" w:rsidRPr="00595437" w:rsidRDefault="00595437" w:rsidP="00595437">
      <w:pPr>
        <w:rPr>
          <w:lang w:val="ar-SA" w:bidi="ar-EG"/>
        </w:rPr>
      </w:pPr>
      <w:bookmarkStart w:id="0" w:name="_Hlk161339353"/>
      <w:r w:rsidRPr="00595437">
        <w:rPr>
          <w:b/>
          <w:bCs/>
          <w:rtl/>
        </w:rPr>
        <w:t>المتطلبات الوظيفية والمعمارية المرجعية لمنصة سحابية للذكاء الاصطناعي من أجل صيانة مرافق شبكة قدرة كهربائية</w:t>
      </w:r>
      <w:r w:rsidR="00EF39D1">
        <w:rPr>
          <w:rFonts w:hint="cs"/>
          <w:b/>
          <w:bCs/>
          <w:rtl/>
        </w:rPr>
        <w:t> </w:t>
      </w:r>
      <w:r w:rsidRPr="00595437">
        <w:rPr>
          <w:b/>
          <w:bCs/>
          <w:rtl/>
        </w:rPr>
        <w:t>ذكية</w:t>
      </w:r>
      <w:bookmarkEnd w:id="0"/>
    </w:p>
    <w:p w14:paraId="5C51DB6A" w14:textId="77777777" w:rsidR="00595437" w:rsidRPr="00595437" w:rsidRDefault="00595437" w:rsidP="00595437">
      <w:pPr>
        <w:pStyle w:val="Headingb"/>
        <w:rPr>
          <w:lang w:val="ar-SA" w:bidi="ar-EG"/>
        </w:rPr>
      </w:pPr>
      <w:r w:rsidRPr="00595437">
        <w:rPr>
          <w:rtl/>
        </w:rPr>
        <w:t>ملخص</w:t>
      </w:r>
    </w:p>
    <w:p w14:paraId="4B5B5AB5" w14:textId="0B10F10E" w:rsidR="00595437" w:rsidRPr="00595437" w:rsidRDefault="00595437" w:rsidP="00C20419">
      <w:pPr>
        <w:rPr>
          <w:bCs/>
          <w:lang w:val="ar-SA" w:bidi="ar-EG"/>
        </w:rPr>
      </w:pPr>
      <w:r w:rsidRPr="00595437">
        <w:rPr>
          <w:rtl/>
        </w:rPr>
        <w:t>يمكن لشركات شبكات القدرة الكهربائية، من خلال تطبيقات الوسائط المتعددة المدعومة بالذكاء الاصطناعي</w:t>
      </w:r>
      <w:r w:rsidR="00A07557">
        <w:rPr>
          <w:rFonts w:hint="cs"/>
          <w:rtl/>
        </w:rPr>
        <w:t xml:space="preserve"> </w:t>
      </w:r>
      <w:r w:rsidR="00A07557">
        <w:t>(AI)</w:t>
      </w:r>
      <w:r w:rsidRPr="00595437">
        <w:rPr>
          <w:rtl/>
        </w:rPr>
        <w:t xml:space="preserve">، تقييم الحالة التشغيلية للمعدات بصورة آلية ودقيقة، والكشف عن الأعطال. وتكتسي هذه القدرات أهمية حاسمة في تقليص حجم القوى العاملة المطلوبة لصيانة مرافق شبكات القدرة الكهربائية. وتعرض هذه التوصية معمارية مرجعية تُبيّن بالتفصيل المتطلبات </w:t>
      </w:r>
      <w:r w:rsidRPr="00595437">
        <w:rPr>
          <w:rtl/>
        </w:rPr>
        <w:lastRenderedPageBreak/>
        <w:t xml:space="preserve">الوظيفية لإنشاء منصة سحابية للذكاء الاصطناعي من أجل صيانة مرافق شبكة قدرة كهربائية ذكية </w:t>
      </w:r>
      <w:r w:rsidR="00C20419" w:rsidRPr="00C20419">
        <w:rPr>
          <w:bCs/>
          <w:lang w:val="en-GB" w:bidi="ar-EG"/>
        </w:rPr>
        <w:t>(AICP-IPGFM)</w:t>
      </w:r>
      <w:r w:rsidRPr="00595437">
        <w:rPr>
          <w:rtl/>
        </w:rPr>
        <w:t>. وتنطبق هذه التوصية على تصميم المعمارية لمنصة سحابية للذكاء الاصطناعي من أجل صيانة مرافق شبكة قدرة كهربائية ذكية.</w:t>
      </w:r>
    </w:p>
    <w:p w14:paraId="0AB3AC7F" w14:textId="5ED286F4" w:rsidR="00595437" w:rsidRPr="00595437" w:rsidRDefault="00595437" w:rsidP="00C20419">
      <w:pPr>
        <w:pStyle w:val="Heading1"/>
        <w:rPr>
          <w:lang w:val="ar-SA" w:bidi="ar-EG"/>
        </w:rPr>
      </w:pPr>
      <w:r w:rsidRPr="00595437">
        <w:rPr>
          <w:rtl/>
        </w:rPr>
        <w:t>3</w:t>
      </w:r>
      <w:r w:rsidRPr="00595437">
        <w:rPr>
          <w:rtl/>
        </w:rPr>
        <w:tab/>
        <w:t xml:space="preserve">مشروع التوصية الجديدة </w:t>
      </w:r>
      <w:r w:rsidR="00C20419" w:rsidRPr="00C20419">
        <w:rPr>
          <w:lang w:val="fr-CH"/>
        </w:rPr>
        <w:t xml:space="preserve">ITU-T </w:t>
      </w:r>
      <w:r w:rsidR="00C20419" w:rsidRPr="00C20419">
        <w:rPr>
          <w:lang w:val="fr-FR"/>
        </w:rPr>
        <w:t>F.748.75</w:t>
      </w:r>
      <w:r w:rsidRPr="00595437">
        <w:rPr>
          <w:rtl/>
        </w:rPr>
        <w:t xml:space="preserve"> (</w:t>
      </w:r>
      <w:r w:rsidR="00C20419" w:rsidRPr="00C20419">
        <w:rPr>
          <w:lang w:val="fr-FR"/>
        </w:rPr>
        <w:t>F.MTTIR</w:t>
      </w:r>
      <w:r w:rsidRPr="00595437">
        <w:rPr>
          <w:rtl/>
        </w:rPr>
        <w:t xml:space="preserve"> سابقاً) </w:t>
      </w:r>
      <w:r w:rsidR="00C20419" w:rsidRPr="00C20419">
        <w:rPr>
          <w:lang w:val="fr-CH"/>
        </w:rPr>
        <w:t>[</w:t>
      </w:r>
      <w:hyperlink r:id="rId14" w:history="1">
        <w:r w:rsidR="00C20419" w:rsidRPr="00C20419">
          <w:rPr>
            <w:rStyle w:val="Hyperlink"/>
            <w:lang w:val="fr-CH"/>
          </w:rPr>
          <w:t>SG21-R17</w:t>
        </w:r>
      </w:hyperlink>
      <w:r w:rsidR="00C20419" w:rsidRPr="00C20419">
        <w:rPr>
          <w:lang w:val="fr-CH"/>
        </w:rPr>
        <w:t>]</w:t>
      </w:r>
    </w:p>
    <w:p w14:paraId="29ED3657" w14:textId="77777777" w:rsidR="00595437" w:rsidRPr="00595437" w:rsidRDefault="00595437" w:rsidP="00595437">
      <w:pPr>
        <w:rPr>
          <w:lang w:val="ar-SA" w:bidi="ar-EG"/>
        </w:rPr>
      </w:pPr>
      <w:r w:rsidRPr="00595437">
        <w:rPr>
          <w:b/>
          <w:bCs/>
          <w:rtl/>
        </w:rPr>
        <w:t>متطلبات وإطار عمل الأنظمة الروبوتية لفحص أنفاق النقل القائمة على تقنيات الرؤية والسمع الحاسوبية</w:t>
      </w:r>
    </w:p>
    <w:p w14:paraId="0C4A75E9" w14:textId="77777777" w:rsidR="00595437" w:rsidRPr="00595437" w:rsidRDefault="00595437" w:rsidP="00595437">
      <w:pPr>
        <w:pStyle w:val="Headingb"/>
        <w:rPr>
          <w:lang w:val="ar-SA" w:bidi="ar-EG"/>
        </w:rPr>
      </w:pPr>
      <w:r w:rsidRPr="00595437">
        <w:rPr>
          <w:rtl/>
        </w:rPr>
        <w:t>ملخص</w:t>
      </w:r>
    </w:p>
    <w:p w14:paraId="1F9A1801" w14:textId="19C77E21" w:rsidR="00595437" w:rsidRPr="00595437" w:rsidRDefault="00595437" w:rsidP="00595437">
      <w:pPr>
        <w:rPr>
          <w:bCs/>
          <w:lang w:val="ar-SA" w:bidi="ar-EG"/>
        </w:rPr>
      </w:pPr>
      <w:r w:rsidRPr="00595437">
        <w:rPr>
          <w:rtl/>
        </w:rPr>
        <w:t>تتعرض أنفاق النقل، على امتداد عمرها التشغيلي، لمختلف العيوب والكوارث التي قد تمس سلامتها الهيكلية وكفاءتها التشغيلية. وكثيراً ما تواجه أساليب الفحص اليدوي التقليدية تحديات تتصل بالسلامة والدقة والفعالية من حيث التكلفة. ويمثل تكامل الأنظمة الروبوتية مع تكنولوجيات الذكاء الاصطناعي المتقدمة، ولا سيما تقنيات الرؤية والسمع الحاسوبية، نهجاً تحويلياً لتعزيز مستوى الذكاء والقدرات التحليلية في عمليات فحص الأنفاق.</w:t>
      </w:r>
    </w:p>
    <w:p w14:paraId="7597A637" w14:textId="2E88FB84" w:rsidR="00595437" w:rsidRPr="00595437" w:rsidRDefault="00595437" w:rsidP="00595437">
      <w:pPr>
        <w:rPr>
          <w:bCs/>
          <w:lang w:val="ar-SA" w:bidi="ar-EG"/>
        </w:rPr>
      </w:pPr>
      <w:r w:rsidRPr="00595437">
        <w:rPr>
          <w:rtl/>
        </w:rPr>
        <w:t>وتحدد هذه التوصية متطلبات وإطار عمل الأنظمة الروبوتية لفحص أنفاق النقل القائمة على تقنيات الرؤية والسمع الحاسوبية. وتوفّر هذه التوصية إطاراً مرجعياً متعدد الطبقات يتألف من طبقة الأجهزة، وطبقة الشبكة، وطبقة دعم الخدمات والتطبيقات، وطبقة التطبيقات، على أن تُدعَم جميعها بقدرات الإدارة والأمن عبر مختلف الطبقات. وعلاوة على ذلك، تحدد التوصية المتطلبات الوظيفية لكل مكوّن، مع التركيز على توظيف الذكاء الاصطناعي لتحقيق عمليات فحص للأنفاق تتسم بالذكاء والكفاءة</w:t>
      </w:r>
      <w:r w:rsidR="00EF39D1">
        <w:rPr>
          <w:rFonts w:hint="cs"/>
          <w:rtl/>
        </w:rPr>
        <w:t> </w:t>
      </w:r>
      <w:r w:rsidRPr="00595437">
        <w:rPr>
          <w:rtl/>
        </w:rPr>
        <w:t>والشمولية.</w:t>
      </w:r>
    </w:p>
    <w:p w14:paraId="55D0939A" w14:textId="73253B5C" w:rsidR="00595437" w:rsidRPr="00595437" w:rsidRDefault="00595437" w:rsidP="00C20419">
      <w:pPr>
        <w:pStyle w:val="Heading1"/>
        <w:rPr>
          <w:lang w:val="ar-SA" w:bidi="ar-EG"/>
        </w:rPr>
      </w:pPr>
      <w:r w:rsidRPr="00595437">
        <w:rPr>
          <w:rtl/>
        </w:rPr>
        <w:t>4</w:t>
      </w:r>
      <w:r w:rsidRPr="00595437">
        <w:rPr>
          <w:rtl/>
        </w:rPr>
        <w:tab/>
        <w:t xml:space="preserve">مشروع التوصية الجديدة </w:t>
      </w:r>
      <w:r w:rsidR="00C20419" w:rsidRPr="00C20419">
        <w:rPr>
          <w:lang w:val="fr-CH"/>
        </w:rPr>
        <w:t xml:space="preserve">ITU-T </w:t>
      </w:r>
      <w:r w:rsidR="00C20419" w:rsidRPr="00C20419">
        <w:rPr>
          <w:lang w:val="fr-FR"/>
        </w:rPr>
        <w:t>F.748.76</w:t>
      </w:r>
      <w:r w:rsidRPr="00595437">
        <w:rPr>
          <w:rtl/>
        </w:rPr>
        <w:t xml:space="preserve"> (</w:t>
      </w:r>
      <w:r w:rsidR="00C20419" w:rsidRPr="00C20419">
        <w:rPr>
          <w:lang w:val="fr-FR"/>
        </w:rPr>
        <w:t>F.AI-RFSSMA</w:t>
      </w:r>
      <w:r w:rsidRPr="00595437">
        <w:rPr>
          <w:rtl/>
        </w:rPr>
        <w:t xml:space="preserve"> سابقاً) </w:t>
      </w:r>
      <w:r w:rsidR="00C20419" w:rsidRPr="00C20419">
        <w:rPr>
          <w:lang w:val="fr-CH"/>
        </w:rPr>
        <w:t>[</w:t>
      </w:r>
      <w:hyperlink r:id="rId15" w:history="1">
        <w:r w:rsidR="00C20419" w:rsidRPr="00C20419">
          <w:rPr>
            <w:rStyle w:val="Hyperlink"/>
            <w:lang w:val="fr-CH"/>
          </w:rPr>
          <w:t>SG21-R18</w:t>
        </w:r>
      </w:hyperlink>
      <w:r w:rsidR="00C20419" w:rsidRPr="00C20419">
        <w:rPr>
          <w:lang w:val="fr-CH"/>
        </w:rPr>
        <w:t>]</w:t>
      </w:r>
    </w:p>
    <w:p w14:paraId="3DBB4C18" w14:textId="77777777" w:rsidR="00595437" w:rsidRPr="00595437" w:rsidRDefault="00595437" w:rsidP="00595437">
      <w:pPr>
        <w:rPr>
          <w:lang w:val="ar-SA" w:bidi="ar-EG"/>
        </w:rPr>
      </w:pPr>
      <w:r w:rsidRPr="00595437">
        <w:rPr>
          <w:b/>
          <w:bCs/>
          <w:rtl/>
        </w:rPr>
        <w:t>متطلبات وإطار إدارة الإشارات الصوتية وتحليلها بالاعتماد على تقنية الذكاء الاصطناعي للمعدات الكهربائية</w:t>
      </w:r>
    </w:p>
    <w:p w14:paraId="556303B1" w14:textId="77777777" w:rsidR="00595437" w:rsidRPr="00595437" w:rsidRDefault="00595437" w:rsidP="00595437">
      <w:pPr>
        <w:pStyle w:val="Headingb"/>
        <w:rPr>
          <w:lang w:val="ar-SA" w:bidi="ar-EG"/>
        </w:rPr>
      </w:pPr>
      <w:r w:rsidRPr="00595437">
        <w:rPr>
          <w:rtl/>
        </w:rPr>
        <w:t>ملخص</w:t>
      </w:r>
    </w:p>
    <w:p w14:paraId="5291885F" w14:textId="77777777" w:rsidR="00595437" w:rsidRPr="00595437" w:rsidRDefault="00595437" w:rsidP="00595437">
      <w:pPr>
        <w:rPr>
          <w:bCs/>
          <w:lang w:val="ar-SA" w:bidi="ar-EG"/>
        </w:rPr>
      </w:pPr>
      <w:r w:rsidRPr="00595437">
        <w:rPr>
          <w:rtl/>
        </w:rPr>
        <w:t>تنطوي الإشارات الصوتية الصادرة عن المعدات الكهربائية على معلومات غنية؛ يمكن الاستفادة منها في التصدي للتحديات المزدوجة المتمثلة في السلامة التشغيلية وتحقيق الأداء العالي في الزمن الفعلي. ويسهم توظيف تقنيات الذكاء الاصطناعي في إدارة الإشارات الصوتية وتحليلها في تحسين كفاءة رصد حالة المعدات الكهربائية وضمان سلامة تشغيلها بصورة دقيقة وفي الوقت الفعلي.</w:t>
      </w:r>
    </w:p>
    <w:p w14:paraId="34299402" w14:textId="77777777" w:rsidR="00595437" w:rsidRPr="00595437" w:rsidRDefault="00595437" w:rsidP="00595437">
      <w:pPr>
        <w:rPr>
          <w:bCs/>
          <w:lang w:val="ar-SA" w:bidi="ar-EG"/>
        </w:rPr>
      </w:pPr>
      <w:r w:rsidRPr="00595437">
        <w:rPr>
          <w:rtl/>
        </w:rPr>
        <w:t>تحدّد هذه التوصية متطلبات وإطاراً لإدارة الإشارات الصوتية وتحليلها للمعدات الكهربائية، وتوفّر إطاراً مرجعياً لوضع معايير المراقبة الإلكترونية عن بُعد بالاستناد إلى الإشارات الصوتية. كما تقدم المتطلبات الواردة في هذه التوصية، مثل تحصيل الإشارات الصوتية وإرسالها ونموذج التحليل القائم على الذكاء الاصطناعي، توجيهات لتطبيق التكنولوجيات ذات الصلة.</w:t>
      </w:r>
    </w:p>
    <w:p w14:paraId="3A1FCEFE" w14:textId="38ABC38D" w:rsidR="00595437" w:rsidRPr="00595437" w:rsidRDefault="00595437" w:rsidP="00C20419">
      <w:pPr>
        <w:pStyle w:val="Heading1"/>
        <w:rPr>
          <w:lang w:val="ar-SA" w:bidi="ar-EG"/>
        </w:rPr>
      </w:pPr>
      <w:r w:rsidRPr="00595437">
        <w:rPr>
          <w:rtl/>
        </w:rPr>
        <w:t>5</w:t>
      </w:r>
      <w:r w:rsidRPr="00595437">
        <w:rPr>
          <w:rtl/>
        </w:rPr>
        <w:tab/>
        <w:t xml:space="preserve">مشروع التوصية الجديدة </w:t>
      </w:r>
      <w:r w:rsidR="00C20419" w:rsidRPr="00C20419">
        <w:rPr>
          <w:lang w:val="fr-CH"/>
        </w:rPr>
        <w:t xml:space="preserve">ITU-T </w:t>
      </w:r>
      <w:r w:rsidR="00C20419" w:rsidRPr="00C20419">
        <w:rPr>
          <w:lang w:val="fr-FR"/>
        </w:rPr>
        <w:t>J.1043</w:t>
      </w:r>
      <w:r w:rsidRPr="00595437">
        <w:rPr>
          <w:rtl/>
        </w:rPr>
        <w:t xml:space="preserve"> (</w:t>
      </w:r>
      <w:r w:rsidR="00C20419" w:rsidRPr="00C20419">
        <w:rPr>
          <w:lang w:val="fr-FR"/>
        </w:rPr>
        <w:t>J.DRMVA-</w:t>
      </w:r>
      <w:proofErr w:type="spellStart"/>
      <w:r w:rsidR="00C20419" w:rsidRPr="00C20419">
        <w:rPr>
          <w:lang w:val="fr-FR"/>
        </w:rPr>
        <w:t>rbst</w:t>
      </w:r>
      <w:proofErr w:type="spellEnd"/>
      <w:r w:rsidRPr="00595437">
        <w:rPr>
          <w:rtl/>
        </w:rPr>
        <w:t xml:space="preserve"> سابقاً) </w:t>
      </w:r>
      <w:r w:rsidR="00C20419" w:rsidRPr="00C20419">
        <w:rPr>
          <w:lang w:val="fr-CH"/>
        </w:rPr>
        <w:t>[</w:t>
      </w:r>
      <w:hyperlink r:id="rId16" w:history="1">
        <w:r w:rsidR="00C20419" w:rsidRPr="00C20419">
          <w:rPr>
            <w:rStyle w:val="Hyperlink"/>
            <w:lang w:val="fr-CH"/>
          </w:rPr>
          <w:t>SG21-R19</w:t>
        </w:r>
      </w:hyperlink>
      <w:r w:rsidR="00C20419" w:rsidRPr="00C20419">
        <w:rPr>
          <w:lang w:val="fr-CH"/>
        </w:rPr>
        <w:t>]</w:t>
      </w:r>
    </w:p>
    <w:p w14:paraId="7154BDF0" w14:textId="77777777" w:rsidR="00595437" w:rsidRPr="00595437" w:rsidRDefault="00595437" w:rsidP="00595437">
      <w:pPr>
        <w:rPr>
          <w:lang w:val="ar-SA" w:bidi="ar-EG"/>
        </w:rPr>
      </w:pPr>
      <w:r w:rsidRPr="00595437">
        <w:rPr>
          <w:b/>
          <w:bCs/>
          <w:rtl/>
        </w:rPr>
        <w:t xml:space="preserve">إدارة الحقوق الرقمية لتوزيع المحتوى </w:t>
      </w:r>
      <w:proofErr w:type="spellStart"/>
      <w:r w:rsidRPr="00595437">
        <w:rPr>
          <w:b/>
          <w:bCs/>
          <w:rtl/>
        </w:rPr>
        <w:t>الفيديوي</w:t>
      </w:r>
      <w:proofErr w:type="spellEnd"/>
      <w:r w:rsidRPr="00595437">
        <w:rPr>
          <w:b/>
          <w:bCs/>
          <w:rtl/>
        </w:rPr>
        <w:t xml:space="preserve"> والمحتوى السمعي - قواعد الامتثال والمتانة</w:t>
      </w:r>
    </w:p>
    <w:p w14:paraId="5B078DF5" w14:textId="77777777" w:rsidR="00595437" w:rsidRPr="00595437" w:rsidRDefault="00595437" w:rsidP="00595437">
      <w:pPr>
        <w:pStyle w:val="Headingb"/>
        <w:rPr>
          <w:lang w:val="ar-SA" w:bidi="ar-EG"/>
        </w:rPr>
      </w:pPr>
      <w:r w:rsidRPr="00595437">
        <w:rPr>
          <w:rtl/>
        </w:rPr>
        <w:t>ملخص</w:t>
      </w:r>
    </w:p>
    <w:p w14:paraId="4BDDCDE3" w14:textId="25F5D91A" w:rsidR="00595437" w:rsidRPr="00595437" w:rsidRDefault="00595437" w:rsidP="00C20419">
      <w:pPr>
        <w:rPr>
          <w:bCs/>
          <w:lang w:val="ar-SA" w:bidi="ar-EG"/>
        </w:rPr>
      </w:pPr>
      <w:r w:rsidRPr="00595437">
        <w:rPr>
          <w:rtl/>
        </w:rPr>
        <w:t xml:space="preserve">تجلب متطلبات الخدمة المرتبطة بتطبيق الجيل الجديد من التكنولوجيات الفيديوية والسمعية، إلى جانب نماذج الخدمة الفيديوية الجديدة المقترنة بمجموعة متنوعة من الأجهزة الاستهلاكية المستخدمة في استقبال المحتوى، طلبات وفرصاً جديدة لصناعة الفيديو، ولا سيما فيما يتعلق بالخدمات الفيديوية الإذاعية والتلفزيونية، كما تعزز متطلبات إدارة الحقوق الرقمية (انظر التوصية </w:t>
      </w:r>
      <w:r w:rsidR="00C20419" w:rsidRPr="00C20419">
        <w:rPr>
          <w:bCs/>
          <w:lang w:val="en-GB" w:bidi="ar-EG"/>
        </w:rPr>
        <w:t>ITU-T J.1040 (2024)</w:t>
      </w:r>
      <w:r w:rsidRPr="00595437">
        <w:rPr>
          <w:rtl/>
        </w:rPr>
        <w:t xml:space="preserve">، </w:t>
      </w:r>
      <w:r w:rsidRPr="00A07557">
        <w:rPr>
          <w:i/>
          <w:iCs/>
          <w:rtl/>
        </w:rPr>
        <w:t xml:space="preserve">"إدارة الحقوق الرقمية لتوزيع المحتوى </w:t>
      </w:r>
      <w:proofErr w:type="spellStart"/>
      <w:r w:rsidRPr="00A07557">
        <w:rPr>
          <w:i/>
          <w:iCs/>
          <w:rtl/>
        </w:rPr>
        <w:t>الفيديوي</w:t>
      </w:r>
      <w:proofErr w:type="spellEnd"/>
      <w:r w:rsidRPr="00A07557">
        <w:rPr>
          <w:i/>
          <w:iCs/>
          <w:rtl/>
        </w:rPr>
        <w:t xml:space="preserve"> والمحتوى السمعي – المتطلبات"</w:t>
      </w:r>
      <w:r w:rsidRPr="00595437">
        <w:rPr>
          <w:rtl/>
        </w:rPr>
        <w:t>. ولا</w:t>
      </w:r>
      <w:r w:rsidR="00A07557">
        <w:rPr>
          <w:rFonts w:hint="cs"/>
          <w:rtl/>
        </w:rPr>
        <w:t> </w:t>
      </w:r>
      <w:r w:rsidRPr="00595437">
        <w:rPr>
          <w:rtl/>
        </w:rPr>
        <w:t xml:space="preserve">يقتصر نظام إدارة الحقوق الرقمية </w:t>
      </w:r>
      <w:r w:rsidRPr="00595437">
        <w:rPr>
          <w:lang w:val="en-GB" w:bidi="ar-EG"/>
        </w:rPr>
        <w:t>(DRM)</w:t>
      </w:r>
      <w:r w:rsidRPr="00595437">
        <w:rPr>
          <w:rtl/>
        </w:rPr>
        <w:t xml:space="preserve"> على ضرورة توفير مستويات أمنية محددة بدقة لتلبية متطلبات حماية المحتوى وفق اختلاف الجودة وفترات نافذة التوزيع، بل يتطلّب أيضاً درجة كافية من توافق المنصة لضمان التغطية على مختلف الأجهزة الطرفية. وبالإضافة إلى ذلك، يلزم وجود كفاءة أعلى في التجفير/فك التجفير وأساليب تجفير/فك تجفير منفصلة عن تغليف المحتوى لمواكبة التطور والتحول السريعين للتكنولوجيات الفيديوية والسمعية. وبالإضافة إلى ذلك، يلزم وجود آلية للتشغيل البيني لتحقيق نظام إيكولوجي أكثر انفتاحاً لإدارة الحقوق الرقمية.‎</w:t>
      </w:r>
    </w:p>
    <w:p w14:paraId="17306E29" w14:textId="77777777" w:rsidR="00595437" w:rsidRPr="00C20419" w:rsidRDefault="00595437" w:rsidP="00595437">
      <w:pPr>
        <w:rPr>
          <w:lang w:val="ar-SA" w:bidi="ar-EG"/>
        </w:rPr>
      </w:pPr>
      <w:r w:rsidRPr="00C20419">
        <w:rPr>
          <w:rtl/>
          <w:lang w:bidi="ar-EG"/>
        </w:rPr>
        <w:lastRenderedPageBreak/>
        <w:t xml:space="preserve">تشكل هذه التوصية الجزء الرابع من ناتج متعدد الأجزاء يتألف من أربعة أجزاء. ويعرض الجزء الرابع قواعد الامتثال والمتانة الخاصة بإدارة الحقوق الرقمية لتوزيع المحتوى </w:t>
      </w:r>
      <w:proofErr w:type="spellStart"/>
      <w:r w:rsidRPr="00C20419">
        <w:rPr>
          <w:rtl/>
          <w:lang w:bidi="ar-EG"/>
        </w:rPr>
        <w:t>الفيديوي</w:t>
      </w:r>
      <w:proofErr w:type="spellEnd"/>
      <w:r w:rsidRPr="00C20419">
        <w:rPr>
          <w:rtl/>
          <w:lang w:bidi="ar-EG"/>
        </w:rPr>
        <w:t xml:space="preserve">/السمعي </w:t>
      </w:r>
      <w:r w:rsidRPr="00C20419">
        <w:rPr>
          <w:lang w:bidi="ar-EG"/>
        </w:rPr>
        <w:t>(</w:t>
      </w:r>
      <w:r w:rsidRPr="00C20419">
        <w:rPr>
          <w:lang w:val="ar-SA" w:bidi="ar-EG"/>
        </w:rPr>
        <w:t>DRMVACD</w:t>
      </w:r>
      <w:r w:rsidRPr="00C20419">
        <w:rPr>
          <w:lang w:bidi="ar-EG"/>
        </w:rPr>
        <w:t>)</w:t>
      </w:r>
      <w:r w:rsidRPr="00C20419">
        <w:rPr>
          <w:rtl/>
          <w:lang w:bidi="ar-EG"/>
        </w:rPr>
        <w:t xml:space="preserve">، بما في ذلك قواعد امتثال مخدّمات إدارة الحقوق الرقمية ومتانتها </w:t>
      </w:r>
      <w:r w:rsidRPr="00C20419">
        <w:rPr>
          <w:lang w:bidi="ar-EG"/>
        </w:rPr>
        <w:t>(</w:t>
      </w:r>
      <w:r w:rsidRPr="00C20419">
        <w:rPr>
          <w:lang w:val="en-GB" w:bidi="ar-EG"/>
        </w:rPr>
        <w:t>DRM</w:t>
      </w:r>
      <w:r w:rsidRPr="00C20419">
        <w:t>)</w:t>
      </w:r>
      <w:r w:rsidRPr="00C20419">
        <w:rPr>
          <w:rtl/>
          <w:lang w:bidi="ar-EG"/>
        </w:rPr>
        <w:t xml:space="preserve">، وقواعد امتثال ومتانة وسيط إدارة الحقوق الرقمية </w:t>
      </w:r>
      <w:r w:rsidRPr="00C20419">
        <w:rPr>
          <w:lang w:bidi="ar-EG"/>
        </w:rPr>
        <w:t>(</w:t>
      </w:r>
      <w:r w:rsidRPr="00C20419">
        <w:rPr>
          <w:lang w:val="en-GB" w:bidi="ar-EG"/>
        </w:rPr>
        <w:t>DRM</w:t>
      </w:r>
      <w:r w:rsidRPr="00C20419">
        <w:t>)</w:t>
      </w:r>
      <w:r w:rsidRPr="00C20419">
        <w:rPr>
          <w:rtl/>
          <w:lang w:bidi="ar-EG"/>
        </w:rPr>
        <w:t xml:space="preserve">، إلى جانب أفضل الممارسات المتعلقة بتنفيذ نظام إدارة الحقوق الرقمية </w:t>
      </w:r>
      <w:r w:rsidRPr="00C20419">
        <w:rPr>
          <w:lang w:bidi="ar-EG"/>
        </w:rPr>
        <w:t>(</w:t>
      </w:r>
      <w:r w:rsidRPr="00C20419">
        <w:rPr>
          <w:lang w:val="ar-SA" w:bidi="ar-EG"/>
        </w:rPr>
        <w:t>DRM</w:t>
      </w:r>
      <w:r w:rsidRPr="00C20419">
        <w:rPr>
          <w:lang w:bidi="ar-EG"/>
        </w:rPr>
        <w:t>)</w:t>
      </w:r>
      <w:r w:rsidRPr="00C20419">
        <w:rPr>
          <w:rtl/>
          <w:lang w:bidi="ar-EG"/>
        </w:rPr>
        <w:t>.</w:t>
      </w:r>
    </w:p>
    <w:p w14:paraId="37FED590" w14:textId="44C0D5DB" w:rsidR="00595437" w:rsidRDefault="00595437" w:rsidP="00595437">
      <w:pPr>
        <w:tabs>
          <w:tab w:val="clear" w:pos="794"/>
        </w:tabs>
        <w:spacing w:before="0" w:after="160" w:line="259" w:lineRule="auto"/>
        <w:jc w:val="left"/>
        <w:rPr>
          <w:bCs/>
          <w:rtl/>
          <w:lang w:val="en-GB" w:bidi="ar-EG"/>
        </w:rPr>
      </w:pPr>
      <w:r>
        <w:rPr>
          <w:bCs/>
          <w:rtl/>
          <w:lang w:val="en-GB" w:bidi="ar-EG"/>
        </w:rPr>
        <w:br w:type="page"/>
      </w:r>
    </w:p>
    <w:p w14:paraId="3C13C6AE" w14:textId="14C2F355" w:rsidR="00595437" w:rsidRPr="00595437" w:rsidRDefault="00595437" w:rsidP="00C20419">
      <w:pPr>
        <w:pStyle w:val="Annextitle"/>
        <w:rPr>
          <w:lang w:val="en-GB" w:bidi="ar-EG"/>
        </w:rPr>
      </w:pPr>
      <w:r w:rsidRPr="00595437">
        <w:rPr>
          <w:rtl/>
        </w:rPr>
        <w:lastRenderedPageBreak/>
        <w:t xml:space="preserve">الملحق </w:t>
      </w:r>
      <w:r w:rsidRPr="00595437">
        <w:t>2</w:t>
      </w:r>
      <w:r>
        <w:rPr>
          <w:rtl/>
        </w:rPr>
        <w:br/>
      </w:r>
      <w:r w:rsidRPr="00595437">
        <w:rPr>
          <w:rtl/>
        </w:rPr>
        <w:t xml:space="preserve">الموضوع: رد الدول الأعضاء على الرسالة المعممة </w:t>
      </w:r>
      <w:r w:rsidRPr="00595437">
        <w:t>108</w:t>
      </w:r>
      <w:r w:rsidRPr="00595437">
        <w:rPr>
          <w:rtl/>
        </w:rPr>
        <w:t xml:space="preserve"> لمكتب تقييس الاتصالات:</w:t>
      </w:r>
      <w:r w:rsidR="00C20419">
        <w:br/>
      </w:r>
      <w:r w:rsidRPr="00595437">
        <w:rPr>
          <w:rtl/>
          <w:lang w:bidi="ar-SA"/>
        </w:rPr>
        <w:t xml:space="preserve">المشاورة المتعلقة بمشروع التوصيات المحدَّدة </w:t>
      </w:r>
      <w:r w:rsidR="00C20419" w:rsidRPr="00C20419">
        <w:rPr>
          <w:lang w:val="en-GB" w:bidi="ar-SA"/>
        </w:rPr>
        <w:t>ITU-T H.862.9</w:t>
      </w:r>
      <w:r w:rsidRPr="00595437">
        <w:rPr>
          <w:rtl/>
          <w:lang w:bidi="ar-SA"/>
        </w:rPr>
        <w:t xml:space="preserve"> (</w:t>
      </w:r>
      <w:r w:rsidR="00C20419" w:rsidRPr="00C20419">
        <w:rPr>
          <w:lang w:val="en-GB" w:bidi="ar-SA"/>
        </w:rPr>
        <w:t>F.HR-AP</w:t>
      </w:r>
      <w:r w:rsidRPr="00595437">
        <w:rPr>
          <w:rtl/>
          <w:lang w:bidi="ar-SA"/>
        </w:rPr>
        <w:t xml:space="preserve"> سابقاً)، و</w:t>
      </w:r>
      <w:r w:rsidR="00C20419" w:rsidRPr="00C20419">
        <w:rPr>
          <w:lang w:val="en-GB" w:bidi="ar-SA"/>
        </w:rPr>
        <w:t>F.748.39</w:t>
      </w:r>
      <w:r w:rsidRPr="00595437">
        <w:rPr>
          <w:rtl/>
          <w:lang w:bidi="ar-SA"/>
        </w:rPr>
        <w:t xml:space="preserve"> (</w:t>
      </w:r>
      <w:r w:rsidR="00C20419" w:rsidRPr="00C20419">
        <w:rPr>
          <w:lang w:val="en-GB" w:bidi="ar-SA"/>
        </w:rPr>
        <w:t>F.AICP-FRRC</w:t>
      </w:r>
      <w:r w:rsidRPr="00595437">
        <w:rPr>
          <w:rtl/>
          <w:lang w:bidi="ar-SA"/>
        </w:rPr>
        <w:t xml:space="preserve"> سابقاً)، و</w:t>
      </w:r>
      <w:r w:rsidR="00C20419" w:rsidRPr="00C20419">
        <w:rPr>
          <w:lang w:val="en-GB" w:bidi="ar-SA"/>
        </w:rPr>
        <w:t>F.748.75</w:t>
      </w:r>
      <w:r w:rsidRPr="00595437">
        <w:rPr>
          <w:rtl/>
          <w:lang w:bidi="ar-SA"/>
        </w:rPr>
        <w:t xml:space="preserve"> (</w:t>
      </w:r>
      <w:r w:rsidR="00C20419" w:rsidRPr="00C20419">
        <w:rPr>
          <w:lang w:val="en-GB" w:bidi="ar-SA"/>
        </w:rPr>
        <w:t>F.MTTIR</w:t>
      </w:r>
      <w:r w:rsidR="00C20419" w:rsidRPr="00C20419">
        <w:rPr>
          <w:rtl/>
          <w:lang w:bidi="ar-SA"/>
        </w:rPr>
        <w:t xml:space="preserve"> </w:t>
      </w:r>
      <w:r w:rsidRPr="00595437">
        <w:rPr>
          <w:rtl/>
          <w:lang w:bidi="ar-SA"/>
        </w:rPr>
        <w:t>سابقاً)،</w:t>
      </w:r>
      <w:r w:rsidR="00F267A5">
        <w:rPr>
          <w:rtl/>
          <w:lang w:bidi="ar-SA"/>
        </w:rPr>
        <w:br/>
      </w:r>
      <w:r w:rsidRPr="00595437">
        <w:rPr>
          <w:rtl/>
          <w:lang w:bidi="ar-SA"/>
        </w:rPr>
        <w:t>و</w:t>
      </w:r>
      <w:r w:rsidR="00C20419" w:rsidRPr="00C20419">
        <w:rPr>
          <w:lang w:val="en-GB" w:bidi="ar-SA"/>
        </w:rPr>
        <w:t>F.748.76</w:t>
      </w:r>
      <w:r w:rsidRPr="00595437">
        <w:rPr>
          <w:rtl/>
          <w:lang w:bidi="ar-SA"/>
        </w:rPr>
        <w:t xml:space="preserve"> (</w:t>
      </w:r>
      <w:r w:rsidR="00C20419" w:rsidRPr="00C20419">
        <w:rPr>
          <w:lang w:val="en-GB" w:bidi="ar-SA"/>
        </w:rPr>
        <w:t>F.AI-RFSSMA</w:t>
      </w:r>
      <w:r w:rsidRPr="00595437">
        <w:rPr>
          <w:rtl/>
          <w:lang w:bidi="ar-SA"/>
        </w:rPr>
        <w:t xml:space="preserve"> سابقاً) و</w:t>
      </w:r>
      <w:r w:rsidR="00C20419" w:rsidRPr="00C20419">
        <w:rPr>
          <w:lang w:val="en-GB" w:bidi="ar-SA"/>
        </w:rPr>
        <w:t>J.1043</w:t>
      </w:r>
      <w:r w:rsidRPr="00595437">
        <w:rPr>
          <w:rtl/>
          <w:lang w:bidi="ar-SA"/>
        </w:rPr>
        <w:t xml:space="preserve"> (</w:t>
      </w:r>
      <w:r w:rsidR="00C20419" w:rsidRPr="00C20419">
        <w:rPr>
          <w:lang w:val="en-GB" w:bidi="ar-SA"/>
        </w:rPr>
        <w:t>J.DRMVA-</w:t>
      </w:r>
      <w:proofErr w:type="spellStart"/>
      <w:r w:rsidR="00C20419" w:rsidRPr="00C20419">
        <w:rPr>
          <w:lang w:val="en-GB" w:bidi="ar-SA"/>
        </w:rPr>
        <w:t>rbst</w:t>
      </w:r>
      <w:proofErr w:type="spellEnd"/>
      <w:r w:rsidRPr="00595437">
        <w:rPr>
          <w:rtl/>
          <w:lang w:bidi="ar-SA"/>
        </w:rPr>
        <w:t xml:space="preserve"> سابقاً)</w:t>
      </w:r>
    </w:p>
    <w:tbl>
      <w:tblPr>
        <w:bidiVisual/>
        <w:tblW w:w="5000" w:type="pct"/>
        <w:jc w:val="center"/>
        <w:tblLayout w:type="fixed"/>
        <w:tblLook w:val="04A0" w:firstRow="1" w:lastRow="0" w:firstColumn="1" w:lastColumn="0" w:noHBand="0" w:noVBand="1"/>
      </w:tblPr>
      <w:tblGrid>
        <w:gridCol w:w="1549"/>
        <w:gridCol w:w="3427"/>
        <w:gridCol w:w="1550"/>
        <w:gridCol w:w="3113"/>
      </w:tblGrid>
      <w:tr w:rsidR="00595437" w:rsidRPr="00C20419" w14:paraId="5AB928B7" w14:textId="77777777" w:rsidTr="00F267A5">
        <w:trPr>
          <w:jc w:val="center"/>
        </w:trPr>
        <w:tc>
          <w:tcPr>
            <w:tcW w:w="1549" w:type="dxa"/>
          </w:tcPr>
          <w:p w14:paraId="5DB9DDF8"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إلى:</w:t>
            </w:r>
          </w:p>
        </w:tc>
        <w:tc>
          <w:tcPr>
            <w:tcW w:w="3427" w:type="dxa"/>
            <w:tcBorders>
              <w:right w:val="single" w:sz="8" w:space="0" w:color="auto"/>
            </w:tcBorders>
          </w:tcPr>
          <w:p w14:paraId="0ED32EB5" w14:textId="2DA3E471" w:rsidR="00595437" w:rsidRPr="00C20419" w:rsidRDefault="00595437" w:rsidP="00F267A5">
            <w:pPr>
              <w:pStyle w:val="Tabletexte"/>
              <w:spacing w:before="0" w:after="120" w:line="280" w:lineRule="exact"/>
              <w:rPr>
                <w:position w:val="2"/>
                <w:sz w:val="22"/>
                <w:szCs w:val="22"/>
                <w:lang w:bidi="ar-EG"/>
              </w:rPr>
            </w:pPr>
            <w:r w:rsidRPr="00C20419">
              <w:rPr>
                <w:position w:val="2"/>
                <w:sz w:val="22"/>
                <w:szCs w:val="22"/>
                <w:rtl/>
              </w:rPr>
              <w:t>مدير مكتب تقييس الاتصالات،</w:t>
            </w:r>
            <w:r w:rsidR="00F267A5">
              <w:rPr>
                <w:position w:val="2"/>
                <w:sz w:val="22"/>
                <w:szCs w:val="22"/>
                <w:rtl/>
              </w:rPr>
              <w:tab/>
            </w:r>
            <w:r w:rsidR="00F267A5">
              <w:rPr>
                <w:position w:val="2"/>
                <w:sz w:val="22"/>
                <w:szCs w:val="22"/>
                <w:rtl/>
              </w:rPr>
              <w:br/>
            </w:r>
            <w:r w:rsidRPr="00C20419">
              <w:rPr>
                <w:position w:val="2"/>
                <w:sz w:val="22"/>
                <w:szCs w:val="22"/>
                <w:rtl/>
              </w:rPr>
              <w:t>الاتحاد الدولي للاتصالات،</w:t>
            </w:r>
            <w:r w:rsidR="00F267A5">
              <w:rPr>
                <w:position w:val="2"/>
                <w:sz w:val="22"/>
                <w:szCs w:val="22"/>
                <w:rtl/>
              </w:rPr>
              <w:tab/>
            </w:r>
            <w:r w:rsidR="00F267A5">
              <w:rPr>
                <w:position w:val="2"/>
                <w:sz w:val="22"/>
                <w:szCs w:val="22"/>
                <w:rtl/>
              </w:rPr>
              <w:br/>
            </w:r>
            <w:r w:rsidR="00F267A5" w:rsidRPr="00F267A5">
              <w:rPr>
                <w:position w:val="2"/>
                <w:lang w:val="fr-CH"/>
              </w:rPr>
              <w:t>Place des Nations</w:t>
            </w:r>
            <w:r w:rsidR="00F267A5">
              <w:rPr>
                <w:position w:val="2"/>
                <w:rtl/>
                <w:lang w:val="fr-CH"/>
              </w:rPr>
              <w:tab/>
            </w:r>
            <w:r w:rsidR="00F267A5">
              <w:rPr>
                <w:position w:val="2"/>
                <w:rtl/>
                <w:lang w:val="fr-CH"/>
              </w:rPr>
              <w:br/>
            </w:r>
            <w:r w:rsidR="00F267A5" w:rsidRPr="00F267A5">
              <w:rPr>
                <w:position w:val="2"/>
                <w:sz w:val="22"/>
                <w:szCs w:val="22"/>
                <w:lang w:val="en-GB"/>
              </w:rPr>
              <w:t>CH 1211 Geneva 20, Switzerland</w:t>
            </w:r>
          </w:p>
        </w:tc>
        <w:tc>
          <w:tcPr>
            <w:tcW w:w="1550" w:type="dxa"/>
            <w:tcBorders>
              <w:left w:val="single" w:sz="8" w:space="0" w:color="auto"/>
            </w:tcBorders>
          </w:tcPr>
          <w:p w14:paraId="56B37D64"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من:</w:t>
            </w:r>
          </w:p>
        </w:tc>
        <w:tc>
          <w:tcPr>
            <w:tcW w:w="3113" w:type="dxa"/>
          </w:tcPr>
          <w:p w14:paraId="3EDE428A" w14:textId="77777777" w:rsidR="00595437" w:rsidRPr="00EF39D1" w:rsidRDefault="00595437" w:rsidP="00EF39D1">
            <w:pPr>
              <w:pStyle w:val="Tabletexte"/>
              <w:spacing w:before="0" w:after="120" w:line="280" w:lineRule="exact"/>
              <w:rPr>
                <w:position w:val="2"/>
                <w:sz w:val="22"/>
                <w:szCs w:val="22"/>
                <w:highlight w:val="green"/>
                <w:lang w:val="ar-SA" w:bidi="ar-EG"/>
              </w:rPr>
            </w:pPr>
            <w:r w:rsidRPr="00EF39D1">
              <w:rPr>
                <w:position w:val="2"/>
                <w:sz w:val="22"/>
                <w:szCs w:val="22"/>
                <w:highlight w:val="green"/>
                <w:rtl/>
              </w:rPr>
              <w:t>[الاسم]</w:t>
            </w:r>
          </w:p>
          <w:p w14:paraId="6FAB8078" w14:textId="77777777" w:rsidR="00595437" w:rsidRPr="00EF39D1" w:rsidRDefault="00595437" w:rsidP="00EF39D1">
            <w:pPr>
              <w:pStyle w:val="Tabletexte"/>
              <w:spacing w:before="0" w:after="120" w:line="280" w:lineRule="exact"/>
              <w:rPr>
                <w:position w:val="2"/>
                <w:sz w:val="22"/>
                <w:szCs w:val="22"/>
                <w:highlight w:val="green"/>
                <w:lang w:val="ar-SA" w:bidi="ar-EG"/>
              </w:rPr>
            </w:pPr>
            <w:r w:rsidRPr="00EF39D1">
              <w:rPr>
                <w:position w:val="2"/>
                <w:sz w:val="22"/>
                <w:szCs w:val="22"/>
                <w:highlight w:val="green"/>
                <w:rtl/>
              </w:rPr>
              <w:t>[الدور/اللقب الرسمي]</w:t>
            </w:r>
          </w:p>
          <w:p w14:paraId="216C81B8" w14:textId="77777777" w:rsidR="00595437" w:rsidRPr="00EF39D1" w:rsidRDefault="00595437" w:rsidP="00EF39D1">
            <w:pPr>
              <w:pStyle w:val="Tabletexte"/>
              <w:spacing w:before="0" w:after="120" w:line="280" w:lineRule="exact"/>
              <w:rPr>
                <w:position w:val="2"/>
                <w:sz w:val="22"/>
                <w:szCs w:val="22"/>
                <w:highlight w:val="green"/>
                <w:lang w:val="ar-SA" w:bidi="ar-EG"/>
              </w:rPr>
            </w:pPr>
            <w:r w:rsidRPr="00EF39D1">
              <w:rPr>
                <w:position w:val="2"/>
                <w:sz w:val="22"/>
                <w:szCs w:val="22"/>
                <w:highlight w:val="green"/>
                <w:rtl/>
              </w:rPr>
              <w:t>[العنوان]</w:t>
            </w:r>
          </w:p>
        </w:tc>
      </w:tr>
      <w:tr w:rsidR="00595437" w:rsidRPr="00C20419" w14:paraId="0130B130" w14:textId="77777777" w:rsidTr="00F267A5">
        <w:trPr>
          <w:jc w:val="center"/>
        </w:trPr>
        <w:tc>
          <w:tcPr>
            <w:tcW w:w="1549" w:type="dxa"/>
          </w:tcPr>
          <w:p w14:paraId="0C5BC927"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الفاكس:</w:t>
            </w:r>
          </w:p>
        </w:tc>
        <w:tc>
          <w:tcPr>
            <w:tcW w:w="3427" w:type="dxa"/>
            <w:tcBorders>
              <w:right w:val="single" w:sz="8" w:space="0" w:color="auto"/>
            </w:tcBorders>
          </w:tcPr>
          <w:p w14:paraId="38409A63" w14:textId="7E358B6F" w:rsidR="00595437" w:rsidRPr="00C20419" w:rsidRDefault="00EF39D1" w:rsidP="00EF39D1">
            <w:pPr>
              <w:pStyle w:val="Tabletexte"/>
              <w:spacing w:before="0" w:after="120" w:line="280" w:lineRule="exact"/>
              <w:rPr>
                <w:position w:val="2"/>
                <w:sz w:val="22"/>
                <w:szCs w:val="22"/>
                <w:lang w:val="ar-SA" w:bidi="ar-EG"/>
              </w:rPr>
            </w:pPr>
            <w:r w:rsidRPr="00EF39D1">
              <w:rPr>
                <w:position w:val="2"/>
                <w:sz w:val="22"/>
                <w:szCs w:val="22"/>
                <w:lang w:val="en-GB"/>
              </w:rPr>
              <w:t>+41-22-730-5853</w:t>
            </w:r>
          </w:p>
        </w:tc>
        <w:tc>
          <w:tcPr>
            <w:tcW w:w="1550" w:type="dxa"/>
            <w:tcBorders>
              <w:left w:val="single" w:sz="8" w:space="0" w:color="auto"/>
            </w:tcBorders>
          </w:tcPr>
          <w:p w14:paraId="216F8ACE"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الفاكس:</w:t>
            </w:r>
          </w:p>
        </w:tc>
        <w:tc>
          <w:tcPr>
            <w:tcW w:w="3113" w:type="dxa"/>
          </w:tcPr>
          <w:p w14:paraId="4F2CB536" w14:textId="77777777" w:rsidR="00595437" w:rsidRPr="00C20419" w:rsidRDefault="00595437" w:rsidP="00EF39D1">
            <w:pPr>
              <w:pStyle w:val="Tabletexte"/>
              <w:spacing w:before="0" w:after="120" w:line="280" w:lineRule="exact"/>
              <w:rPr>
                <w:position w:val="2"/>
                <w:sz w:val="22"/>
                <w:szCs w:val="22"/>
                <w:lang w:val="en-GB" w:bidi="ar-EG"/>
              </w:rPr>
            </w:pPr>
          </w:p>
        </w:tc>
      </w:tr>
      <w:tr w:rsidR="00595437" w:rsidRPr="00C20419" w14:paraId="544FEF2F" w14:textId="77777777" w:rsidTr="00F267A5">
        <w:trPr>
          <w:jc w:val="center"/>
        </w:trPr>
        <w:tc>
          <w:tcPr>
            <w:tcW w:w="1549" w:type="dxa"/>
          </w:tcPr>
          <w:p w14:paraId="440A2660"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البريد الالكتروني:</w:t>
            </w:r>
          </w:p>
        </w:tc>
        <w:tc>
          <w:tcPr>
            <w:tcW w:w="3427" w:type="dxa"/>
            <w:tcBorders>
              <w:right w:val="single" w:sz="8" w:space="0" w:color="auto"/>
            </w:tcBorders>
          </w:tcPr>
          <w:p w14:paraId="546F0399" w14:textId="421825F1" w:rsidR="00595437" w:rsidRPr="00C20419" w:rsidRDefault="00A07557" w:rsidP="00EF39D1">
            <w:pPr>
              <w:pStyle w:val="Tabletexte"/>
              <w:spacing w:before="0" w:after="120" w:line="280" w:lineRule="exact"/>
              <w:rPr>
                <w:position w:val="2"/>
                <w:sz w:val="22"/>
                <w:szCs w:val="22"/>
                <w:lang w:val="ar-SA" w:bidi="ar-EG"/>
              </w:rPr>
            </w:pPr>
            <w:hyperlink r:id="rId17" w:history="1">
              <w:r w:rsidR="00EF39D1" w:rsidRPr="00EF39D1">
                <w:rPr>
                  <w:rStyle w:val="Hyperlink"/>
                  <w:position w:val="2"/>
                  <w:sz w:val="22"/>
                  <w:szCs w:val="22"/>
                  <w:lang w:val="en-GB" w:bidi="ar-EG"/>
                </w:rPr>
                <w:t>tsbdir@itu.int</w:t>
              </w:r>
            </w:hyperlink>
          </w:p>
        </w:tc>
        <w:tc>
          <w:tcPr>
            <w:tcW w:w="1550" w:type="dxa"/>
            <w:tcBorders>
              <w:left w:val="single" w:sz="8" w:space="0" w:color="auto"/>
            </w:tcBorders>
          </w:tcPr>
          <w:p w14:paraId="41E9D7E7"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البريد الالكتروني:</w:t>
            </w:r>
          </w:p>
        </w:tc>
        <w:tc>
          <w:tcPr>
            <w:tcW w:w="3113" w:type="dxa"/>
          </w:tcPr>
          <w:p w14:paraId="430C9228" w14:textId="77777777" w:rsidR="00595437" w:rsidRPr="00C20419" w:rsidRDefault="00595437" w:rsidP="00EF39D1">
            <w:pPr>
              <w:pStyle w:val="Tabletexte"/>
              <w:spacing w:before="0" w:after="120" w:line="280" w:lineRule="exact"/>
              <w:rPr>
                <w:position w:val="2"/>
                <w:sz w:val="22"/>
                <w:szCs w:val="22"/>
                <w:lang w:val="en-GB" w:bidi="ar-EG"/>
              </w:rPr>
            </w:pPr>
          </w:p>
        </w:tc>
      </w:tr>
      <w:tr w:rsidR="00595437" w:rsidRPr="00C20419" w14:paraId="6D71DBD3" w14:textId="77777777" w:rsidTr="00F267A5">
        <w:trPr>
          <w:jc w:val="center"/>
        </w:trPr>
        <w:tc>
          <w:tcPr>
            <w:tcW w:w="1549" w:type="dxa"/>
          </w:tcPr>
          <w:p w14:paraId="1997B212" w14:textId="77777777" w:rsidR="00595437" w:rsidRPr="00EF39D1" w:rsidRDefault="00595437" w:rsidP="00EF39D1">
            <w:pPr>
              <w:pStyle w:val="Tabletexte"/>
              <w:spacing w:before="0" w:after="120" w:line="280" w:lineRule="exact"/>
              <w:jc w:val="right"/>
              <w:rPr>
                <w:b/>
                <w:bCs/>
                <w:position w:val="2"/>
                <w:sz w:val="22"/>
                <w:szCs w:val="22"/>
                <w:lang w:val="en-GB" w:bidi="ar-EG"/>
              </w:rPr>
            </w:pPr>
          </w:p>
        </w:tc>
        <w:tc>
          <w:tcPr>
            <w:tcW w:w="3427" w:type="dxa"/>
            <w:tcBorders>
              <w:right w:val="single" w:sz="8" w:space="0" w:color="auto"/>
            </w:tcBorders>
          </w:tcPr>
          <w:p w14:paraId="6B9727C4" w14:textId="77777777" w:rsidR="00595437" w:rsidRPr="00C20419" w:rsidRDefault="00595437" w:rsidP="00EF39D1">
            <w:pPr>
              <w:pStyle w:val="Tabletexte"/>
              <w:spacing w:before="0" w:after="120" w:line="280" w:lineRule="exact"/>
              <w:rPr>
                <w:position w:val="2"/>
                <w:sz w:val="22"/>
                <w:szCs w:val="22"/>
                <w:lang w:val="en-GB" w:bidi="ar-EG"/>
              </w:rPr>
            </w:pPr>
          </w:p>
        </w:tc>
        <w:tc>
          <w:tcPr>
            <w:tcW w:w="1550" w:type="dxa"/>
            <w:tcBorders>
              <w:left w:val="single" w:sz="8" w:space="0" w:color="auto"/>
            </w:tcBorders>
          </w:tcPr>
          <w:p w14:paraId="20DD7222" w14:textId="77777777" w:rsidR="00595437" w:rsidRPr="00EF39D1" w:rsidRDefault="00595437" w:rsidP="00EF39D1">
            <w:pPr>
              <w:pStyle w:val="Tabletexte"/>
              <w:spacing w:before="0" w:after="120" w:line="280" w:lineRule="exact"/>
              <w:jc w:val="right"/>
              <w:rPr>
                <w:b/>
                <w:bCs/>
                <w:position w:val="2"/>
                <w:sz w:val="22"/>
                <w:szCs w:val="22"/>
                <w:lang w:val="ar-SA" w:bidi="ar-EG"/>
              </w:rPr>
            </w:pPr>
            <w:r w:rsidRPr="00EF39D1">
              <w:rPr>
                <w:b/>
                <w:bCs/>
                <w:position w:val="2"/>
                <w:sz w:val="22"/>
                <w:szCs w:val="22"/>
                <w:rtl/>
              </w:rPr>
              <w:t>التاريخ:</w:t>
            </w:r>
          </w:p>
        </w:tc>
        <w:tc>
          <w:tcPr>
            <w:tcW w:w="3113" w:type="dxa"/>
          </w:tcPr>
          <w:p w14:paraId="6A70336D" w14:textId="77777777" w:rsidR="00595437" w:rsidRPr="00EF39D1" w:rsidRDefault="00595437" w:rsidP="00EF39D1">
            <w:pPr>
              <w:pStyle w:val="Tabletexte"/>
              <w:spacing w:before="0" w:after="120" w:line="280" w:lineRule="exact"/>
              <w:rPr>
                <w:position w:val="2"/>
                <w:sz w:val="22"/>
                <w:szCs w:val="22"/>
                <w:highlight w:val="green"/>
                <w:lang w:val="ar-SA" w:bidi="ar-EG"/>
              </w:rPr>
            </w:pPr>
            <w:r w:rsidRPr="00EF39D1">
              <w:rPr>
                <w:position w:val="2"/>
                <w:sz w:val="22"/>
                <w:szCs w:val="22"/>
                <w:highlight w:val="green"/>
                <w:rtl/>
              </w:rPr>
              <w:t>[المكان،] [التاريخ]</w:t>
            </w:r>
          </w:p>
        </w:tc>
      </w:tr>
    </w:tbl>
    <w:p w14:paraId="440B17D3" w14:textId="77777777" w:rsidR="00595437" w:rsidRPr="00595437" w:rsidRDefault="00595437" w:rsidP="00F267A5">
      <w:pPr>
        <w:spacing w:before="360"/>
        <w:rPr>
          <w:lang w:val="ar-SA" w:bidi="ar-EG"/>
        </w:rPr>
      </w:pPr>
      <w:r w:rsidRPr="00595437">
        <w:rPr>
          <w:rtl/>
        </w:rPr>
        <w:t>حضرات السادة والسيدات،</w:t>
      </w:r>
    </w:p>
    <w:p w14:paraId="789DE253" w14:textId="77777777" w:rsidR="00595437" w:rsidRPr="00595437" w:rsidRDefault="00595437" w:rsidP="00595437">
      <w:pPr>
        <w:rPr>
          <w:lang w:val="ar-SA" w:bidi="ar-EG"/>
        </w:rPr>
      </w:pPr>
      <w:r w:rsidRPr="00595437">
        <w:rPr>
          <w:rtl/>
        </w:rPr>
        <w:t>تحية طيبة وبعد، فيما يتعلق بمشاورة الدول الأعضاء بشأن مشاريع النصوص المحددة المدرجة في الرسالة المعممة 108 من مكتب تقييس الاتصالات، أود أن أحيطكم علماً برأي هذه الإدارة الوارد في الجدول أدناه.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56"/>
      </w:tblGrid>
      <w:tr w:rsidR="00595437" w:rsidRPr="00C20419" w14:paraId="445CD535" w14:textId="77777777" w:rsidTr="009E3BE0">
        <w:trPr>
          <w:tblHeader/>
        </w:trPr>
        <w:tc>
          <w:tcPr>
            <w:tcW w:w="2263" w:type="dxa"/>
            <w:vAlign w:val="center"/>
          </w:tcPr>
          <w:p w14:paraId="5C0080D6" w14:textId="77777777" w:rsidR="00595437" w:rsidRPr="00F267A5" w:rsidRDefault="00595437" w:rsidP="00F267A5">
            <w:pPr>
              <w:pStyle w:val="TableHead"/>
              <w:spacing w:before="0" w:after="120" w:line="340" w:lineRule="exact"/>
              <w:rPr>
                <w:position w:val="2"/>
                <w:sz w:val="22"/>
                <w:szCs w:val="22"/>
                <w:lang w:val="en-GB"/>
              </w:rPr>
            </w:pPr>
          </w:p>
        </w:tc>
        <w:tc>
          <w:tcPr>
            <w:tcW w:w="7456" w:type="dxa"/>
            <w:vAlign w:val="center"/>
          </w:tcPr>
          <w:p w14:paraId="1A5B8728" w14:textId="77777777" w:rsidR="00595437" w:rsidRPr="00F267A5" w:rsidRDefault="00595437" w:rsidP="00F267A5">
            <w:pPr>
              <w:pStyle w:val="TableHead"/>
              <w:spacing w:before="0" w:after="120" w:line="340" w:lineRule="exact"/>
              <w:rPr>
                <w:position w:val="2"/>
                <w:sz w:val="22"/>
                <w:szCs w:val="22"/>
                <w:lang w:val="ar-SA"/>
              </w:rPr>
            </w:pPr>
            <w:r w:rsidRPr="00F267A5">
              <w:rPr>
                <w:position w:val="2"/>
                <w:sz w:val="22"/>
                <w:szCs w:val="22"/>
                <w:rtl/>
              </w:rPr>
              <w:t>حدد أحد المربعين</w:t>
            </w:r>
          </w:p>
        </w:tc>
      </w:tr>
      <w:tr w:rsidR="00595437" w:rsidRPr="00C20419" w14:paraId="1466D2A4" w14:textId="77777777" w:rsidTr="009E3BE0">
        <w:trPr>
          <w:trHeight w:val="748"/>
        </w:trPr>
        <w:tc>
          <w:tcPr>
            <w:tcW w:w="2263" w:type="dxa"/>
            <w:vMerge w:val="restart"/>
            <w:vAlign w:val="center"/>
          </w:tcPr>
          <w:p w14:paraId="386C3DA0" w14:textId="0893FAC2" w:rsidR="00595437" w:rsidRPr="00EF39D1" w:rsidRDefault="00595437" w:rsidP="00EF39D1">
            <w:pPr>
              <w:pStyle w:val="Tabletexte"/>
              <w:spacing w:before="0" w:after="120" w:line="340" w:lineRule="exact"/>
              <w:jc w:val="center"/>
              <w:rPr>
                <w:b/>
                <w:bCs/>
                <w:position w:val="2"/>
                <w:sz w:val="22"/>
                <w:szCs w:val="22"/>
                <w:rtl/>
                <w:lang w:val="ar-SA"/>
              </w:rPr>
            </w:pPr>
            <w:r w:rsidRPr="00EF39D1">
              <w:rPr>
                <w:b/>
                <w:bCs/>
                <w:position w:val="2"/>
                <w:sz w:val="22"/>
                <w:szCs w:val="22"/>
                <w:rtl/>
                <w:lang w:bidi="ar-SA"/>
              </w:rPr>
              <w:t xml:space="preserve">مشروع التوصية الجديدة </w:t>
            </w:r>
            <w:r w:rsidR="00EF39D1" w:rsidRPr="00EF39D1">
              <w:rPr>
                <w:b/>
                <w:bCs/>
                <w:position w:val="2"/>
                <w:sz w:val="22"/>
                <w:szCs w:val="22"/>
                <w:lang w:val="fr-CH" w:bidi="ar-SA"/>
              </w:rPr>
              <w:t xml:space="preserve">ITU-T </w:t>
            </w:r>
            <w:r w:rsidR="00EF39D1" w:rsidRPr="00EF39D1">
              <w:rPr>
                <w:b/>
                <w:bCs/>
                <w:position w:val="2"/>
                <w:sz w:val="22"/>
                <w:szCs w:val="22"/>
                <w:lang w:val="fr-FR" w:bidi="ar-SA"/>
              </w:rPr>
              <w:t>H.862.9</w:t>
            </w:r>
            <w:r w:rsidR="0019515D">
              <w:rPr>
                <w:b/>
                <w:bCs/>
                <w:position w:val="2"/>
                <w:sz w:val="22"/>
                <w:szCs w:val="22"/>
                <w:rtl/>
                <w:lang w:bidi="ar-SA"/>
              </w:rPr>
              <w:br/>
            </w:r>
            <w:r w:rsidRPr="00EF39D1">
              <w:rPr>
                <w:b/>
                <w:bCs/>
                <w:position w:val="2"/>
                <w:sz w:val="22"/>
                <w:szCs w:val="22"/>
                <w:rtl/>
                <w:lang w:bidi="ar-SA"/>
              </w:rPr>
              <w:t>(</w:t>
            </w:r>
            <w:r w:rsidR="00EF39D1" w:rsidRPr="00EF39D1">
              <w:rPr>
                <w:b/>
                <w:bCs/>
                <w:position w:val="2"/>
                <w:sz w:val="22"/>
                <w:szCs w:val="22"/>
                <w:lang w:val="fr-FR" w:bidi="ar-SA"/>
              </w:rPr>
              <w:t>F.HR-AP</w:t>
            </w:r>
            <w:r w:rsidRPr="00EF39D1">
              <w:rPr>
                <w:b/>
                <w:bCs/>
                <w:position w:val="2"/>
                <w:sz w:val="22"/>
                <w:szCs w:val="22"/>
                <w:rtl/>
                <w:lang w:bidi="ar-SA"/>
              </w:rPr>
              <w:t xml:space="preserve"> سابقاً)</w:t>
            </w:r>
          </w:p>
        </w:tc>
        <w:tc>
          <w:tcPr>
            <w:tcW w:w="7456" w:type="dxa"/>
            <w:vAlign w:val="center"/>
          </w:tcPr>
          <w:p w14:paraId="2B850821" w14:textId="36E8046D"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تخوِّل</w:t>
            </w:r>
            <w:r w:rsidR="00595437" w:rsidRPr="0019515D">
              <w:rPr>
                <w:position w:val="2"/>
                <w:sz w:val="22"/>
                <w:szCs w:val="22"/>
                <w:rtl/>
                <w:lang w:bidi="ar-SA"/>
              </w:rPr>
              <w:t xml:space="preserve"> للجنة الدراسات 21 النظر في هذا النص للموافقة عليه (وفي هذه الحالة، اختر أحد الخيارين):</w:t>
            </w:r>
          </w:p>
          <w:p w14:paraId="2995AE22" w14:textId="33A47E9C"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لا توجد تعليقات أو تغييرات مقترحة</w:t>
            </w:r>
          </w:p>
          <w:p w14:paraId="6E462784" w14:textId="1D1A79D4"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التعليقات والتغييرات المقترحة مرفَقة</w:t>
            </w:r>
          </w:p>
        </w:tc>
      </w:tr>
      <w:tr w:rsidR="00595437" w:rsidRPr="00C20419" w14:paraId="4B05AD45" w14:textId="77777777" w:rsidTr="009E3BE0">
        <w:trPr>
          <w:trHeight w:val="747"/>
        </w:trPr>
        <w:tc>
          <w:tcPr>
            <w:tcW w:w="2263" w:type="dxa"/>
            <w:vMerge/>
            <w:vAlign w:val="center"/>
          </w:tcPr>
          <w:p w14:paraId="47AB8F68" w14:textId="77777777" w:rsidR="00595437" w:rsidRPr="00EF39D1" w:rsidRDefault="00595437" w:rsidP="00EF39D1">
            <w:pPr>
              <w:pStyle w:val="Tabletexte"/>
              <w:spacing w:before="0" w:after="120" w:line="340" w:lineRule="exact"/>
              <w:jc w:val="center"/>
              <w:rPr>
                <w:b/>
                <w:bCs/>
                <w:position w:val="2"/>
                <w:sz w:val="22"/>
                <w:szCs w:val="22"/>
                <w:rtl/>
                <w:lang w:val="en-GB"/>
              </w:rPr>
            </w:pPr>
          </w:p>
        </w:tc>
        <w:tc>
          <w:tcPr>
            <w:tcW w:w="7456" w:type="dxa"/>
            <w:vAlign w:val="center"/>
          </w:tcPr>
          <w:p w14:paraId="1BA95A9B" w14:textId="20906CDE"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لا تخول</w:t>
            </w:r>
            <w:r w:rsidR="00595437" w:rsidRPr="0019515D">
              <w:rPr>
                <w:position w:val="2"/>
                <w:sz w:val="22"/>
                <w:szCs w:val="22"/>
                <w:rtl/>
                <w:lang w:bidi="ar-SA"/>
              </w:rPr>
              <w:t xml:space="preserve"> للجنة الدراسات 21 النظر في هذا النص للموافقة عليه (مرفق طيه أسباب هذا الرأي وموجز للتغييرات الممكنة التي من شأنها أن تمكن من إحراز تقدم في العمل)</w:t>
            </w:r>
          </w:p>
        </w:tc>
      </w:tr>
      <w:tr w:rsidR="00595437" w:rsidRPr="00C20419" w14:paraId="7E6D893E" w14:textId="77777777" w:rsidTr="009E3BE0">
        <w:trPr>
          <w:trHeight w:val="748"/>
        </w:trPr>
        <w:tc>
          <w:tcPr>
            <w:tcW w:w="2263" w:type="dxa"/>
            <w:vMerge w:val="restart"/>
            <w:vAlign w:val="center"/>
          </w:tcPr>
          <w:p w14:paraId="33D51C6A" w14:textId="7983E1F6" w:rsidR="00595437" w:rsidRPr="00EF39D1" w:rsidRDefault="00595437" w:rsidP="00EF39D1">
            <w:pPr>
              <w:pStyle w:val="Tabletexte"/>
              <w:spacing w:before="0" w:after="120" w:line="340" w:lineRule="exact"/>
              <w:jc w:val="center"/>
              <w:rPr>
                <w:b/>
                <w:bCs/>
                <w:position w:val="2"/>
                <w:sz w:val="22"/>
                <w:szCs w:val="22"/>
                <w:rtl/>
                <w:lang w:val="ar-SA"/>
              </w:rPr>
            </w:pPr>
            <w:r w:rsidRPr="00EF39D1">
              <w:rPr>
                <w:b/>
                <w:bCs/>
                <w:position w:val="2"/>
                <w:sz w:val="22"/>
                <w:szCs w:val="22"/>
                <w:rtl/>
                <w:lang w:bidi="ar-SA"/>
              </w:rPr>
              <w:t xml:space="preserve">مشروع التوصية الجديدة </w:t>
            </w:r>
            <w:r w:rsidR="00EF39D1" w:rsidRPr="00EF39D1">
              <w:rPr>
                <w:b/>
                <w:bCs/>
                <w:position w:val="2"/>
                <w:sz w:val="22"/>
                <w:szCs w:val="22"/>
                <w:lang w:val="fr-CH" w:bidi="ar-SA"/>
              </w:rPr>
              <w:t xml:space="preserve">ITU-T </w:t>
            </w:r>
            <w:r w:rsidR="00EF39D1" w:rsidRPr="00EF39D1">
              <w:rPr>
                <w:b/>
                <w:bCs/>
                <w:position w:val="2"/>
                <w:sz w:val="22"/>
                <w:szCs w:val="22"/>
                <w:lang w:val="fr-FR" w:bidi="ar-SA"/>
              </w:rPr>
              <w:t>F.748.39</w:t>
            </w:r>
            <w:r w:rsidR="0019515D">
              <w:rPr>
                <w:b/>
                <w:bCs/>
                <w:position w:val="2"/>
                <w:sz w:val="22"/>
                <w:szCs w:val="22"/>
                <w:rtl/>
                <w:lang w:bidi="ar-SA"/>
              </w:rPr>
              <w:br/>
            </w:r>
            <w:r w:rsidRPr="00EF39D1">
              <w:rPr>
                <w:b/>
                <w:bCs/>
                <w:position w:val="2"/>
                <w:sz w:val="22"/>
                <w:szCs w:val="22"/>
                <w:rtl/>
                <w:lang w:bidi="ar-SA"/>
              </w:rPr>
              <w:t>(</w:t>
            </w:r>
            <w:r w:rsidR="00EF39D1" w:rsidRPr="00EF39D1">
              <w:rPr>
                <w:b/>
                <w:bCs/>
                <w:position w:val="2"/>
                <w:sz w:val="22"/>
                <w:szCs w:val="22"/>
                <w:lang w:val="fr-FR" w:bidi="ar-SA"/>
              </w:rPr>
              <w:t>F.AICP-FRRC</w:t>
            </w:r>
            <w:r w:rsidRPr="00EF39D1">
              <w:rPr>
                <w:b/>
                <w:bCs/>
                <w:position w:val="2"/>
                <w:sz w:val="22"/>
                <w:szCs w:val="22"/>
                <w:rtl/>
                <w:lang w:bidi="ar-SA"/>
              </w:rPr>
              <w:t xml:space="preserve"> سابقاً)</w:t>
            </w:r>
          </w:p>
        </w:tc>
        <w:tc>
          <w:tcPr>
            <w:tcW w:w="7456" w:type="dxa"/>
            <w:vAlign w:val="center"/>
          </w:tcPr>
          <w:p w14:paraId="11AFDB03" w14:textId="31C6B137"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تخوِّل</w:t>
            </w:r>
            <w:r w:rsidR="00595437" w:rsidRPr="0019515D">
              <w:rPr>
                <w:position w:val="2"/>
                <w:sz w:val="22"/>
                <w:szCs w:val="22"/>
                <w:rtl/>
                <w:lang w:bidi="ar-SA"/>
              </w:rPr>
              <w:t xml:space="preserve"> للجنة الدراسات 21 النظر في هذا النص للموافقة عليه (وفي هذه الحالة، اختر أحد الخيارين):</w:t>
            </w:r>
          </w:p>
          <w:p w14:paraId="2271C707" w14:textId="39052F56"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لا توجد تعليقات أو تغييرات مقترحة</w:t>
            </w:r>
          </w:p>
          <w:p w14:paraId="01ED0F38" w14:textId="4DFE9973"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التعليقات والتغييرات المقترحة مرفَقة</w:t>
            </w:r>
          </w:p>
        </w:tc>
      </w:tr>
      <w:tr w:rsidR="00595437" w:rsidRPr="00C20419" w14:paraId="640AE5BD" w14:textId="77777777" w:rsidTr="009E3BE0">
        <w:trPr>
          <w:trHeight w:val="747"/>
        </w:trPr>
        <w:tc>
          <w:tcPr>
            <w:tcW w:w="2263" w:type="dxa"/>
            <w:vMerge/>
            <w:vAlign w:val="center"/>
          </w:tcPr>
          <w:p w14:paraId="4B370EAE" w14:textId="77777777" w:rsidR="00595437" w:rsidRPr="00EF39D1" w:rsidRDefault="00595437" w:rsidP="00EF39D1">
            <w:pPr>
              <w:pStyle w:val="Tabletexte"/>
              <w:spacing w:before="0" w:after="120" w:line="340" w:lineRule="exact"/>
              <w:jc w:val="center"/>
              <w:rPr>
                <w:b/>
                <w:bCs/>
                <w:position w:val="2"/>
                <w:sz w:val="22"/>
                <w:szCs w:val="22"/>
                <w:rtl/>
                <w:lang w:val="en-GB"/>
              </w:rPr>
            </w:pPr>
          </w:p>
        </w:tc>
        <w:tc>
          <w:tcPr>
            <w:tcW w:w="7456" w:type="dxa"/>
            <w:vAlign w:val="center"/>
          </w:tcPr>
          <w:p w14:paraId="1A3AFD0F" w14:textId="17A01EA6"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لا تخول</w:t>
            </w:r>
            <w:r w:rsidR="00595437" w:rsidRPr="0019515D">
              <w:rPr>
                <w:position w:val="2"/>
                <w:sz w:val="22"/>
                <w:szCs w:val="22"/>
                <w:rtl/>
                <w:lang w:bidi="ar-SA"/>
              </w:rPr>
              <w:t xml:space="preserve"> للجنة الدراسات 21 النظر في هذا النص للموافقة عليه (مرفق طيه أسباب هذا الرأي وموجز للتغييرات الممكنة التي من شأنها أن تمكن من إحراز تقدم في العمل)</w:t>
            </w:r>
          </w:p>
        </w:tc>
      </w:tr>
      <w:tr w:rsidR="00595437" w:rsidRPr="00C20419" w14:paraId="2955D829" w14:textId="77777777" w:rsidTr="009E3BE0">
        <w:trPr>
          <w:trHeight w:val="748"/>
        </w:trPr>
        <w:tc>
          <w:tcPr>
            <w:tcW w:w="2263" w:type="dxa"/>
            <w:vMerge w:val="restart"/>
            <w:vAlign w:val="center"/>
          </w:tcPr>
          <w:p w14:paraId="111C73D5" w14:textId="7CB4AE16" w:rsidR="00595437" w:rsidRPr="00EF39D1" w:rsidRDefault="00595437" w:rsidP="00EF39D1">
            <w:pPr>
              <w:pStyle w:val="Tabletexte"/>
              <w:spacing w:before="0" w:after="120" w:line="340" w:lineRule="exact"/>
              <w:jc w:val="center"/>
              <w:rPr>
                <w:b/>
                <w:bCs/>
                <w:position w:val="2"/>
                <w:sz w:val="22"/>
                <w:szCs w:val="22"/>
                <w:rtl/>
                <w:lang w:val="ar-SA"/>
              </w:rPr>
            </w:pPr>
            <w:r w:rsidRPr="00EF39D1">
              <w:rPr>
                <w:b/>
                <w:bCs/>
                <w:position w:val="2"/>
                <w:sz w:val="22"/>
                <w:szCs w:val="22"/>
                <w:rtl/>
                <w:lang w:bidi="ar-SA"/>
              </w:rPr>
              <w:t xml:space="preserve">مشروع التوصية الجديدة </w:t>
            </w:r>
            <w:r w:rsidR="00EF39D1" w:rsidRPr="00EF39D1">
              <w:rPr>
                <w:b/>
                <w:bCs/>
                <w:position w:val="2"/>
                <w:sz w:val="22"/>
                <w:szCs w:val="22"/>
                <w:lang w:val="fr-CH" w:bidi="ar-SA"/>
              </w:rPr>
              <w:t xml:space="preserve">ITU-T </w:t>
            </w:r>
            <w:r w:rsidR="00EF39D1" w:rsidRPr="00EF39D1">
              <w:rPr>
                <w:b/>
                <w:bCs/>
                <w:position w:val="2"/>
                <w:sz w:val="22"/>
                <w:szCs w:val="22"/>
                <w:lang w:val="fr-FR" w:bidi="ar-SA"/>
              </w:rPr>
              <w:t>F.748.75</w:t>
            </w:r>
            <w:r w:rsidR="0019515D">
              <w:rPr>
                <w:b/>
                <w:bCs/>
                <w:position w:val="2"/>
                <w:sz w:val="22"/>
                <w:szCs w:val="22"/>
                <w:rtl/>
                <w:lang w:bidi="ar-SA"/>
              </w:rPr>
              <w:br/>
            </w:r>
            <w:r w:rsidRPr="00EF39D1">
              <w:rPr>
                <w:b/>
                <w:bCs/>
                <w:position w:val="2"/>
                <w:sz w:val="22"/>
                <w:szCs w:val="22"/>
                <w:rtl/>
                <w:lang w:bidi="ar-SA"/>
              </w:rPr>
              <w:t>(</w:t>
            </w:r>
            <w:r w:rsidR="00EF39D1" w:rsidRPr="00EF39D1">
              <w:rPr>
                <w:b/>
                <w:bCs/>
                <w:position w:val="2"/>
                <w:sz w:val="22"/>
                <w:szCs w:val="22"/>
                <w:lang w:val="fr-FR" w:bidi="ar-SA"/>
              </w:rPr>
              <w:t>F.MTTIR</w:t>
            </w:r>
            <w:r w:rsidRPr="00EF39D1">
              <w:rPr>
                <w:b/>
                <w:bCs/>
                <w:position w:val="2"/>
                <w:sz w:val="22"/>
                <w:szCs w:val="22"/>
                <w:rtl/>
                <w:lang w:bidi="ar-SA"/>
              </w:rPr>
              <w:t xml:space="preserve"> سابقاً)</w:t>
            </w:r>
          </w:p>
        </w:tc>
        <w:tc>
          <w:tcPr>
            <w:tcW w:w="7456" w:type="dxa"/>
            <w:vAlign w:val="center"/>
          </w:tcPr>
          <w:p w14:paraId="0B9462A3" w14:textId="0B9311F8"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تخوِّل</w:t>
            </w:r>
            <w:r w:rsidR="00595437" w:rsidRPr="0019515D">
              <w:rPr>
                <w:position w:val="2"/>
                <w:sz w:val="22"/>
                <w:szCs w:val="22"/>
                <w:rtl/>
                <w:lang w:bidi="ar-SA"/>
              </w:rPr>
              <w:t xml:space="preserve"> للجنة الدراسات 21 النظر في هذا النص للموافقة عليه (وفي هذه الحالة، اختر أحد الخيارين):</w:t>
            </w:r>
          </w:p>
          <w:p w14:paraId="5698B9CA" w14:textId="114E011A"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لا توجد تعليقات أو تغييرات مقترحة</w:t>
            </w:r>
          </w:p>
          <w:p w14:paraId="3C1C6B86" w14:textId="51755412"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التعليقات والتغييرات المقترحة مرفَقة</w:t>
            </w:r>
          </w:p>
        </w:tc>
      </w:tr>
      <w:tr w:rsidR="00595437" w:rsidRPr="00C20419" w14:paraId="225DA3FE" w14:textId="77777777" w:rsidTr="009E3BE0">
        <w:trPr>
          <w:trHeight w:val="747"/>
        </w:trPr>
        <w:tc>
          <w:tcPr>
            <w:tcW w:w="2263" w:type="dxa"/>
            <w:vMerge/>
            <w:vAlign w:val="center"/>
          </w:tcPr>
          <w:p w14:paraId="5D52669F" w14:textId="77777777" w:rsidR="00595437" w:rsidRPr="00EF39D1" w:rsidRDefault="00595437" w:rsidP="00EF39D1">
            <w:pPr>
              <w:pStyle w:val="Tabletexte"/>
              <w:spacing w:before="0" w:after="120" w:line="340" w:lineRule="exact"/>
              <w:jc w:val="center"/>
              <w:rPr>
                <w:b/>
                <w:bCs/>
                <w:position w:val="2"/>
                <w:sz w:val="22"/>
                <w:szCs w:val="22"/>
                <w:rtl/>
                <w:lang w:val="en-GB"/>
              </w:rPr>
            </w:pPr>
          </w:p>
        </w:tc>
        <w:tc>
          <w:tcPr>
            <w:tcW w:w="7456" w:type="dxa"/>
            <w:vAlign w:val="center"/>
          </w:tcPr>
          <w:p w14:paraId="3D37D7C6" w14:textId="7576303D"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لا تخول</w:t>
            </w:r>
            <w:r w:rsidR="00595437" w:rsidRPr="0019515D">
              <w:rPr>
                <w:position w:val="2"/>
                <w:sz w:val="22"/>
                <w:szCs w:val="22"/>
                <w:rtl/>
                <w:lang w:bidi="ar-SA"/>
              </w:rPr>
              <w:t xml:space="preserve"> للجنة الدراسات 21 النظر في هذا النص للموافقة عليه (مرفق طيه أسباب هذا الرأي وموجز للتغييرات الممكنة التي من شأنها أن تمكن من إحراز تقدم في العمل)</w:t>
            </w:r>
          </w:p>
        </w:tc>
      </w:tr>
      <w:tr w:rsidR="00595437" w:rsidRPr="00C20419" w14:paraId="642DB482" w14:textId="77777777" w:rsidTr="009E3BE0">
        <w:trPr>
          <w:trHeight w:val="748"/>
        </w:trPr>
        <w:tc>
          <w:tcPr>
            <w:tcW w:w="2263" w:type="dxa"/>
            <w:vMerge w:val="restart"/>
            <w:vAlign w:val="center"/>
          </w:tcPr>
          <w:p w14:paraId="7D6911AC" w14:textId="55CBE2D2" w:rsidR="00595437" w:rsidRPr="00EF39D1" w:rsidRDefault="00595437" w:rsidP="00EF39D1">
            <w:pPr>
              <w:pStyle w:val="Tabletexte"/>
              <w:spacing w:before="0" w:after="120" w:line="340" w:lineRule="exact"/>
              <w:jc w:val="center"/>
              <w:rPr>
                <w:b/>
                <w:bCs/>
                <w:position w:val="2"/>
                <w:sz w:val="22"/>
                <w:szCs w:val="22"/>
                <w:rtl/>
                <w:lang w:val="ar-SA"/>
              </w:rPr>
            </w:pPr>
            <w:r w:rsidRPr="00EF39D1">
              <w:rPr>
                <w:b/>
                <w:bCs/>
                <w:position w:val="2"/>
                <w:sz w:val="22"/>
                <w:szCs w:val="22"/>
                <w:rtl/>
                <w:lang w:bidi="ar-SA"/>
              </w:rPr>
              <w:t xml:space="preserve">مشروع التوصية الجديدة </w:t>
            </w:r>
            <w:r w:rsidR="00EF39D1" w:rsidRPr="00EF39D1">
              <w:rPr>
                <w:b/>
                <w:bCs/>
                <w:position w:val="2"/>
                <w:sz w:val="22"/>
                <w:szCs w:val="22"/>
                <w:lang w:val="fr-CH" w:bidi="ar-SA"/>
              </w:rPr>
              <w:t xml:space="preserve">ITU-T </w:t>
            </w:r>
            <w:r w:rsidR="00EF39D1" w:rsidRPr="00EF39D1">
              <w:rPr>
                <w:b/>
                <w:bCs/>
                <w:position w:val="2"/>
                <w:sz w:val="22"/>
                <w:szCs w:val="22"/>
                <w:lang w:val="fr-FR" w:bidi="ar-SA"/>
              </w:rPr>
              <w:t>F.748.76</w:t>
            </w:r>
            <w:r w:rsidR="0019515D">
              <w:rPr>
                <w:b/>
                <w:bCs/>
                <w:position w:val="2"/>
                <w:sz w:val="22"/>
                <w:szCs w:val="22"/>
                <w:rtl/>
                <w:lang w:bidi="ar-SA"/>
              </w:rPr>
              <w:br/>
            </w:r>
            <w:r w:rsidRPr="00EF39D1">
              <w:rPr>
                <w:b/>
                <w:bCs/>
                <w:position w:val="2"/>
                <w:sz w:val="22"/>
                <w:szCs w:val="22"/>
                <w:rtl/>
                <w:lang w:bidi="ar-SA"/>
              </w:rPr>
              <w:t>(</w:t>
            </w:r>
            <w:r w:rsidR="00EF39D1" w:rsidRPr="00EF39D1">
              <w:rPr>
                <w:b/>
                <w:bCs/>
                <w:position w:val="2"/>
                <w:sz w:val="22"/>
                <w:szCs w:val="22"/>
                <w:lang w:val="fr-FR" w:bidi="ar-SA"/>
              </w:rPr>
              <w:t>F.AI-RFSSMA</w:t>
            </w:r>
            <w:r w:rsidRPr="00EF39D1">
              <w:rPr>
                <w:b/>
                <w:bCs/>
                <w:position w:val="2"/>
                <w:sz w:val="22"/>
                <w:szCs w:val="22"/>
                <w:rtl/>
                <w:lang w:bidi="ar-SA"/>
              </w:rPr>
              <w:t xml:space="preserve"> سابقاً)</w:t>
            </w:r>
          </w:p>
        </w:tc>
        <w:tc>
          <w:tcPr>
            <w:tcW w:w="7456" w:type="dxa"/>
            <w:vAlign w:val="center"/>
          </w:tcPr>
          <w:p w14:paraId="42D801D9" w14:textId="7B207852"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تخوِّل</w:t>
            </w:r>
            <w:r w:rsidR="00595437" w:rsidRPr="0019515D">
              <w:rPr>
                <w:position w:val="2"/>
                <w:sz w:val="22"/>
                <w:szCs w:val="22"/>
                <w:rtl/>
                <w:lang w:bidi="ar-SA"/>
              </w:rPr>
              <w:t xml:space="preserve"> للجنة الدراسات 21 النظر في هذا النص للموافقة عليه (وفي هذه الحالة، اختر أحد الخيارين):</w:t>
            </w:r>
          </w:p>
          <w:p w14:paraId="73CBC02A" w14:textId="161CC5A6"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لا توجد تعليقات أو تغييرات مقترحة</w:t>
            </w:r>
          </w:p>
          <w:p w14:paraId="6A97FF65" w14:textId="4C699E3D"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التعليقات والتغييرات المقترحة مرفَقة</w:t>
            </w:r>
          </w:p>
        </w:tc>
      </w:tr>
      <w:tr w:rsidR="00595437" w:rsidRPr="00C20419" w14:paraId="68435207" w14:textId="77777777" w:rsidTr="009E3BE0">
        <w:trPr>
          <w:trHeight w:val="747"/>
        </w:trPr>
        <w:tc>
          <w:tcPr>
            <w:tcW w:w="2263" w:type="dxa"/>
            <w:vMerge/>
            <w:vAlign w:val="center"/>
          </w:tcPr>
          <w:p w14:paraId="4872D1DE" w14:textId="77777777" w:rsidR="00595437" w:rsidRPr="00EF39D1" w:rsidRDefault="00595437" w:rsidP="00EF39D1">
            <w:pPr>
              <w:pStyle w:val="Tabletexte"/>
              <w:spacing w:before="0" w:after="120" w:line="340" w:lineRule="exact"/>
              <w:jc w:val="center"/>
              <w:rPr>
                <w:b/>
                <w:bCs/>
                <w:position w:val="2"/>
                <w:sz w:val="22"/>
                <w:szCs w:val="22"/>
                <w:rtl/>
                <w:lang w:val="en-GB"/>
              </w:rPr>
            </w:pPr>
          </w:p>
        </w:tc>
        <w:tc>
          <w:tcPr>
            <w:tcW w:w="7456" w:type="dxa"/>
            <w:vAlign w:val="center"/>
          </w:tcPr>
          <w:p w14:paraId="77EA080A" w14:textId="5F110601"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لا تخول</w:t>
            </w:r>
            <w:r w:rsidR="00595437" w:rsidRPr="0019515D">
              <w:rPr>
                <w:position w:val="2"/>
                <w:sz w:val="22"/>
                <w:szCs w:val="22"/>
                <w:rtl/>
                <w:lang w:bidi="ar-SA"/>
              </w:rPr>
              <w:t xml:space="preserve"> للجنة الدراسات 21 النظر في هذا النص للموافقة عليه (مرفق طيه أسباب هذا الرأي وموجز للتغييرات الممكنة التي من شأنها أن تمكن من إحراز تقدم في العمل)</w:t>
            </w:r>
          </w:p>
        </w:tc>
      </w:tr>
      <w:tr w:rsidR="00595437" w:rsidRPr="00C20419" w14:paraId="5DC70421" w14:textId="77777777" w:rsidTr="009E3BE0">
        <w:trPr>
          <w:trHeight w:val="748"/>
        </w:trPr>
        <w:tc>
          <w:tcPr>
            <w:tcW w:w="2263" w:type="dxa"/>
            <w:vMerge w:val="restart"/>
            <w:vAlign w:val="center"/>
          </w:tcPr>
          <w:p w14:paraId="79AED40B" w14:textId="12B2B838" w:rsidR="00595437" w:rsidRPr="00EF39D1" w:rsidRDefault="00595437" w:rsidP="00EF39D1">
            <w:pPr>
              <w:pStyle w:val="Tabletexte"/>
              <w:spacing w:before="0" w:after="120" w:line="340" w:lineRule="exact"/>
              <w:jc w:val="center"/>
              <w:rPr>
                <w:b/>
                <w:bCs/>
                <w:position w:val="2"/>
                <w:sz w:val="22"/>
                <w:szCs w:val="22"/>
                <w:rtl/>
                <w:lang w:val="ar-SA"/>
              </w:rPr>
            </w:pPr>
            <w:r w:rsidRPr="00EF39D1">
              <w:rPr>
                <w:b/>
                <w:bCs/>
                <w:position w:val="2"/>
                <w:sz w:val="22"/>
                <w:szCs w:val="22"/>
                <w:rtl/>
                <w:lang w:bidi="ar-SA"/>
              </w:rPr>
              <w:t xml:space="preserve">مشروع التوصية الجديدة </w:t>
            </w:r>
            <w:r w:rsidR="00EF39D1" w:rsidRPr="00EF39D1">
              <w:rPr>
                <w:b/>
                <w:bCs/>
                <w:position w:val="2"/>
                <w:sz w:val="22"/>
                <w:szCs w:val="22"/>
                <w:lang w:val="fr-CH" w:bidi="ar-SA"/>
              </w:rPr>
              <w:t xml:space="preserve">ITU-T </w:t>
            </w:r>
            <w:r w:rsidR="00EF39D1" w:rsidRPr="00EF39D1">
              <w:rPr>
                <w:b/>
                <w:bCs/>
                <w:position w:val="2"/>
                <w:sz w:val="22"/>
                <w:szCs w:val="22"/>
                <w:lang w:val="fr-FR" w:bidi="ar-SA"/>
              </w:rPr>
              <w:t>J.1043</w:t>
            </w:r>
            <w:r w:rsidR="0019515D">
              <w:rPr>
                <w:b/>
                <w:bCs/>
                <w:position w:val="2"/>
                <w:sz w:val="22"/>
                <w:szCs w:val="22"/>
                <w:rtl/>
                <w:lang w:bidi="ar-SA"/>
              </w:rPr>
              <w:br/>
            </w:r>
            <w:r w:rsidRPr="00EF39D1">
              <w:rPr>
                <w:b/>
                <w:bCs/>
                <w:position w:val="2"/>
                <w:sz w:val="22"/>
                <w:szCs w:val="22"/>
                <w:rtl/>
                <w:lang w:bidi="ar-SA"/>
              </w:rPr>
              <w:t>(</w:t>
            </w:r>
            <w:r w:rsidR="00EF39D1" w:rsidRPr="00EF39D1">
              <w:rPr>
                <w:b/>
                <w:bCs/>
                <w:position w:val="2"/>
                <w:sz w:val="22"/>
                <w:szCs w:val="22"/>
                <w:lang w:val="fr-FR" w:bidi="ar-SA"/>
              </w:rPr>
              <w:t>J.DRMVA-</w:t>
            </w:r>
            <w:proofErr w:type="spellStart"/>
            <w:r w:rsidR="00EF39D1" w:rsidRPr="00EF39D1">
              <w:rPr>
                <w:b/>
                <w:bCs/>
                <w:position w:val="2"/>
                <w:sz w:val="22"/>
                <w:szCs w:val="22"/>
                <w:lang w:val="fr-FR" w:bidi="ar-SA"/>
              </w:rPr>
              <w:t>rbst</w:t>
            </w:r>
            <w:proofErr w:type="spellEnd"/>
            <w:r w:rsidRPr="00EF39D1">
              <w:rPr>
                <w:b/>
                <w:bCs/>
                <w:position w:val="2"/>
                <w:sz w:val="22"/>
                <w:szCs w:val="22"/>
                <w:rtl/>
                <w:lang w:bidi="ar-SA"/>
              </w:rPr>
              <w:t xml:space="preserve"> سابقاً)</w:t>
            </w:r>
          </w:p>
        </w:tc>
        <w:tc>
          <w:tcPr>
            <w:tcW w:w="7456" w:type="dxa"/>
            <w:vAlign w:val="center"/>
          </w:tcPr>
          <w:p w14:paraId="4309B3B7" w14:textId="653AB26F"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تخوِّل</w:t>
            </w:r>
            <w:r w:rsidR="00595437" w:rsidRPr="0019515D">
              <w:rPr>
                <w:position w:val="2"/>
                <w:sz w:val="22"/>
                <w:szCs w:val="22"/>
                <w:rtl/>
                <w:lang w:bidi="ar-SA"/>
              </w:rPr>
              <w:t xml:space="preserve"> للجنة الدراسات 21 النظر في هذا النص للموافقة عليه (وفي هذه الحالة، اختر أحد الخيارين):</w:t>
            </w:r>
          </w:p>
          <w:p w14:paraId="664047EC" w14:textId="072FDEDA"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لا توجد تعليقات أو تغييرات مقترحة</w:t>
            </w:r>
          </w:p>
          <w:p w14:paraId="4B141DC6" w14:textId="6C39992F" w:rsidR="00595437" w:rsidRPr="0019515D" w:rsidRDefault="00EF39D1" w:rsidP="00F267A5">
            <w:pPr>
              <w:pStyle w:val="Tabletexte"/>
              <w:tabs>
                <w:tab w:val="clear" w:pos="794"/>
                <w:tab w:val="left" w:pos="567"/>
              </w:tabs>
              <w:spacing w:before="0" w:after="120" w:line="340" w:lineRule="exact"/>
              <w:ind w:left="1134"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t>التعليقات والتغييرات المقترحة مرفَقة</w:t>
            </w:r>
          </w:p>
        </w:tc>
      </w:tr>
      <w:tr w:rsidR="00595437" w:rsidRPr="00C20419" w14:paraId="42A4F0A8" w14:textId="77777777" w:rsidTr="009E3BE0">
        <w:trPr>
          <w:trHeight w:val="747"/>
        </w:trPr>
        <w:tc>
          <w:tcPr>
            <w:tcW w:w="2263" w:type="dxa"/>
            <w:vMerge/>
            <w:vAlign w:val="center"/>
          </w:tcPr>
          <w:p w14:paraId="36F63F9A" w14:textId="77777777" w:rsidR="00595437" w:rsidRPr="00EF39D1" w:rsidRDefault="00595437" w:rsidP="00EF39D1">
            <w:pPr>
              <w:pStyle w:val="Tabletexte"/>
              <w:spacing w:before="0" w:after="120" w:line="340" w:lineRule="exact"/>
              <w:jc w:val="center"/>
              <w:rPr>
                <w:b/>
                <w:bCs/>
                <w:position w:val="2"/>
                <w:sz w:val="22"/>
                <w:szCs w:val="22"/>
                <w:lang w:val="en-GB"/>
              </w:rPr>
            </w:pPr>
          </w:p>
        </w:tc>
        <w:tc>
          <w:tcPr>
            <w:tcW w:w="7456" w:type="dxa"/>
            <w:vAlign w:val="center"/>
          </w:tcPr>
          <w:p w14:paraId="1FF2DA14" w14:textId="5B145FC7" w:rsidR="00595437" w:rsidRPr="0019515D" w:rsidRDefault="00EF39D1" w:rsidP="00F267A5">
            <w:pPr>
              <w:pStyle w:val="Tabletexte"/>
              <w:tabs>
                <w:tab w:val="clear" w:pos="794"/>
                <w:tab w:val="left" w:pos="567"/>
              </w:tabs>
              <w:spacing w:before="0" w:after="120" w:line="340" w:lineRule="exact"/>
              <w:ind w:left="567" w:hanging="567"/>
              <w:rPr>
                <w:position w:val="2"/>
                <w:sz w:val="22"/>
                <w:szCs w:val="22"/>
                <w:lang w:val="ar-SA"/>
              </w:rPr>
            </w:pPr>
            <w:r w:rsidRPr="0019515D">
              <w:rPr>
                <w:position w:val="2"/>
                <w:sz w:val="22"/>
                <w:szCs w:val="22"/>
                <w:lang w:val="en-GB" w:bidi="ar-SA"/>
              </w:rPr>
              <w:fldChar w:fldCharType="begin">
                <w:ffData>
                  <w:name w:val="Check1"/>
                  <w:enabled/>
                  <w:calcOnExit w:val="0"/>
                  <w:checkBox>
                    <w:sizeAuto/>
                    <w:default w:val="0"/>
                  </w:checkBox>
                </w:ffData>
              </w:fldChar>
            </w:r>
            <w:r w:rsidRPr="0019515D">
              <w:rPr>
                <w:position w:val="2"/>
                <w:sz w:val="22"/>
                <w:szCs w:val="22"/>
                <w:lang w:val="en-GB" w:bidi="ar-SA"/>
              </w:rPr>
              <w:instrText xml:space="preserve"> FORMCHECKBOX </w:instrText>
            </w:r>
            <w:r w:rsidR="00A07557">
              <w:rPr>
                <w:position w:val="2"/>
                <w:sz w:val="22"/>
                <w:szCs w:val="22"/>
                <w:lang w:val="en-GB" w:bidi="ar-SA"/>
              </w:rPr>
            </w:r>
            <w:r w:rsidR="00A07557">
              <w:rPr>
                <w:position w:val="2"/>
                <w:sz w:val="22"/>
                <w:szCs w:val="22"/>
                <w:lang w:val="en-GB" w:bidi="ar-SA"/>
              </w:rPr>
              <w:fldChar w:fldCharType="separate"/>
            </w:r>
            <w:r w:rsidRPr="0019515D">
              <w:rPr>
                <w:position w:val="2"/>
                <w:sz w:val="22"/>
                <w:szCs w:val="22"/>
                <w:lang w:bidi="ar-SA"/>
              </w:rPr>
              <w:fldChar w:fldCharType="end"/>
            </w:r>
            <w:r w:rsidR="00595437" w:rsidRPr="0019515D">
              <w:rPr>
                <w:position w:val="2"/>
                <w:sz w:val="22"/>
                <w:szCs w:val="22"/>
                <w:rtl/>
                <w:lang w:bidi="ar-SA"/>
              </w:rPr>
              <w:tab/>
            </w:r>
            <w:r w:rsidR="00595437" w:rsidRPr="0019515D">
              <w:rPr>
                <w:b/>
                <w:bCs/>
                <w:position w:val="2"/>
                <w:sz w:val="22"/>
                <w:szCs w:val="22"/>
                <w:rtl/>
                <w:lang w:bidi="ar-SA"/>
              </w:rPr>
              <w:t>لا تخول</w:t>
            </w:r>
            <w:r w:rsidR="00595437" w:rsidRPr="0019515D">
              <w:rPr>
                <w:position w:val="2"/>
                <w:sz w:val="22"/>
                <w:szCs w:val="22"/>
                <w:rtl/>
                <w:lang w:bidi="ar-SA"/>
              </w:rPr>
              <w:t xml:space="preserve"> للجنة الدراسات 21 النظر في هذا النص للموافقة عليه (مرفق طيه أسباب هذا الرأي وموجز للتغييرات الممكنة التي من شأنها أن تمكن من إحراز تقدم في العمل)</w:t>
            </w:r>
          </w:p>
        </w:tc>
      </w:tr>
    </w:tbl>
    <w:p w14:paraId="43AA30AB" w14:textId="77777777" w:rsidR="00595437" w:rsidRPr="00595437" w:rsidRDefault="00595437" w:rsidP="00EF39D1">
      <w:pPr>
        <w:spacing w:before="360"/>
        <w:rPr>
          <w:lang w:val="ar-SA" w:bidi="ar-EG"/>
        </w:rPr>
      </w:pPr>
      <w:r w:rsidRPr="00595437">
        <w:rPr>
          <w:rtl/>
        </w:rPr>
        <w:t>وتفضلوا بقبول فائق التقدير والاحترام.</w:t>
      </w:r>
    </w:p>
    <w:p w14:paraId="45A1437C" w14:textId="77777777" w:rsidR="00595437" w:rsidRPr="00EF39D1" w:rsidRDefault="00595437" w:rsidP="00EF39D1">
      <w:pPr>
        <w:spacing w:before="360"/>
        <w:rPr>
          <w:highlight w:val="green"/>
          <w:lang w:val="ar-SA" w:bidi="ar-EG"/>
        </w:rPr>
      </w:pPr>
      <w:r w:rsidRPr="00EF39D1">
        <w:rPr>
          <w:highlight w:val="green"/>
          <w:rtl/>
        </w:rPr>
        <w:t>[الاسم]</w:t>
      </w:r>
    </w:p>
    <w:p w14:paraId="56A6CF2D" w14:textId="77777777" w:rsidR="00595437" w:rsidRPr="00595437" w:rsidRDefault="00595437" w:rsidP="00595437">
      <w:pPr>
        <w:rPr>
          <w:lang w:val="ar-SA" w:bidi="ar-EG"/>
        </w:rPr>
      </w:pPr>
      <w:r w:rsidRPr="00EF39D1">
        <w:rPr>
          <w:highlight w:val="green"/>
          <w:rtl/>
        </w:rPr>
        <w:t>[الدور/اللقب الرسمي]</w:t>
      </w:r>
    </w:p>
    <w:p w14:paraId="7A416792" w14:textId="5866D719" w:rsidR="00DD6915" w:rsidRDefault="00595437" w:rsidP="00595437">
      <w:pPr>
        <w:rPr>
          <w:rtl/>
          <w:lang w:bidi="ar-EG"/>
        </w:rPr>
      </w:pPr>
      <w:r w:rsidRPr="00595437">
        <w:rPr>
          <w:rtl/>
        </w:rPr>
        <w:t xml:space="preserve">إدارة </w:t>
      </w:r>
      <w:r w:rsidRPr="00EF39D1">
        <w:rPr>
          <w:highlight w:val="green"/>
          <w:rtl/>
        </w:rPr>
        <w:t>[الدولة العضو]</w:t>
      </w:r>
    </w:p>
    <w:p w14:paraId="3A2F4D24"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4B88" w14:textId="77777777" w:rsidR="005E2B6E" w:rsidRDefault="005E2B6E" w:rsidP="006C3242">
      <w:pPr>
        <w:spacing w:before="0" w:line="240" w:lineRule="auto"/>
      </w:pPr>
      <w:r>
        <w:separator/>
      </w:r>
    </w:p>
  </w:endnote>
  <w:endnote w:type="continuationSeparator" w:id="0">
    <w:p w14:paraId="0BD1B9DD" w14:textId="77777777" w:rsidR="005E2B6E" w:rsidRDefault="005E2B6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0E1A"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B89A" w14:textId="77777777" w:rsidR="005E2B6E" w:rsidRDefault="005E2B6E" w:rsidP="006C3242">
      <w:pPr>
        <w:spacing w:before="0" w:line="240" w:lineRule="auto"/>
      </w:pPr>
      <w:r>
        <w:separator/>
      </w:r>
    </w:p>
  </w:footnote>
  <w:footnote w:type="continuationSeparator" w:id="0">
    <w:p w14:paraId="4627FC0F" w14:textId="77777777" w:rsidR="005E2B6E" w:rsidRDefault="005E2B6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974D" w14:textId="3F1FA415"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595437">
      <w:rPr>
        <w:sz w:val="20"/>
        <w:szCs w:val="20"/>
        <w:lang w:bidi="ar-EG"/>
      </w:rPr>
      <w:t>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D"/>
    <w:rsid w:val="00002A63"/>
    <w:rsid w:val="0006468A"/>
    <w:rsid w:val="00090574"/>
    <w:rsid w:val="000C1C0E"/>
    <w:rsid w:val="000C548A"/>
    <w:rsid w:val="000E327F"/>
    <w:rsid w:val="00105255"/>
    <w:rsid w:val="00146FE2"/>
    <w:rsid w:val="0019515D"/>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437"/>
    <w:rsid w:val="00595B52"/>
    <w:rsid w:val="00596808"/>
    <w:rsid w:val="005A3170"/>
    <w:rsid w:val="005E2B6E"/>
    <w:rsid w:val="006019C6"/>
    <w:rsid w:val="006635B2"/>
    <w:rsid w:val="00677396"/>
    <w:rsid w:val="0069200F"/>
    <w:rsid w:val="006A65CB"/>
    <w:rsid w:val="006C1530"/>
    <w:rsid w:val="006C3242"/>
    <w:rsid w:val="006C386D"/>
    <w:rsid w:val="006C7CC0"/>
    <w:rsid w:val="006E18D6"/>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D313F"/>
    <w:rsid w:val="009F17C2"/>
    <w:rsid w:val="00A07557"/>
    <w:rsid w:val="00A45D85"/>
    <w:rsid w:val="00A47A5A"/>
    <w:rsid w:val="00A6683B"/>
    <w:rsid w:val="00A77C90"/>
    <w:rsid w:val="00A9156F"/>
    <w:rsid w:val="00A97F94"/>
    <w:rsid w:val="00AA7EA2"/>
    <w:rsid w:val="00AB0BC9"/>
    <w:rsid w:val="00AF6B5C"/>
    <w:rsid w:val="00B03099"/>
    <w:rsid w:val="00B05BC8"/>
    <w:rsid w:val="00B64B47"/>
    <w:rsid w:val="00B916A7"/>
    <w:rsid w:val="00BB0F08"/>
    <w:rsid w:val="00C002DE"/>
    <w:rsid w:val="00C20419"/>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95E81"/>
    <w:rsid w:val="00DA1CF0"/>
    <w:rsid w:val="00DC1E02"/>
    <w:rsid w:val="00DC24B4"/>
    <w:rsid w:val="00DC5FB0"/>
    <w:rsid w:val="00DD1EBB"/>
    <w:rsid w:val="00DD6915"/>
    <w:rsid w:val="00DF16DC"/>
    <w:rsid w:val="00E45211"/>
    <w:rsid w:val="00E473C5"/>
    <w:rsid w:val="00E67518"/>
    <w:rsid w:val="00E84438"/>
    <w:rsid w:val="00E92863"/>
    <w:rsid w:val="00EB796D"/>
    <w:rsid w:val="00EF39D1"/>
    <w:rsid w:val="00F058DC"/>
    <w:rsid w:val="00F24FC4"/>
    <w:rsid w:val="00F2676C"/>
    <w:rsid w:val="00F267A5"/>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E76D"/>
  <w15:chartTrackingRefBased/>
  <w15:docId w15:val="{A302974A-33D1-409B-AEA9-83E984D2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EF3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1-R-0016/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T25-SG21-R-0016/en" TargetMode="External"/><Relationship Id="rId17" Type="http://schemas.openxmlformats.org/officeDocument/2006/relationships/hyperlink" Target="mailto:tsbdir@itu.int" TargetMode="External"/><Relationship Id="rId2" Type="http://schemas.openxmlformats.org/officeDocument/2006/relationships/numbering" Target="numbering.xml"/><Relationship Id="rId16" Type="http://schemas.openxmlformats.org/officeDocument/2006/relationships/hyperlink" Target="https://www.itu.int/md/T25-SG21-R-0019/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1-R-0015/en"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itu.int/md/T25-SG21-R-0018/en" TargetMode="External"/><Relationship Id="rId23" Type="http://schemas.openxmlformats.org/officeDocument/2006/relationships/customXml" Target="../customXml/item3.xml"/><Relationship Id="rId10" Type="http://schemas.openxmlformats.org/officeDocument/2006/relationships/hyperlink" Target="https://www.itu.int/md/T25-SG21-R-0015/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md/T25-SG21-R-0017/en"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29\2600188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2FAD0AE9-2E8C-4034-892D-D7DA1BC22867}"/>
</file>

<file path=customXml/itemProps3.xml><?xml version="1.0" encoding="utf-8"?>
<ds:datastoreItem xmlns:ds="http://schemas.openxmlformats.org/officeDocument/2006/customXml" ds:itemID="{C26AFCEF-1D5D-4DBD-A885-81676145910B}"/>
</file>

<file path=customXml/itemProps4.xml><?xml version="1.0" encoding="utf-8"?>
<ds:datastoreItem xmlns:ds="http://schemas.openxmlformats.org/officeDocument/2006/customXml" ds:itemID="{6BDA73EA-3CBE-4A9F-86CC-745C906B209F}"/>
</file>

<file path=docProps/app.xml><?xml version="1.0" encoding="utf-8"?>
<Properties xmlns="http://schemas.openxmlformats.org/officeDocument/2006/extended-properties" xmlns:vt="http://schemas.openxmlformats.org/officeDocument/2006/docPropsVTypes">
  <Template>PA_TSB Circ.dotx</Template>
  <TotalTime>33</TotalTime>
  <Pages>7</Pages>
  <Words>1938</Words>
  <Characters>11049</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مشروع التوصية الجديدة ITU-T H.862.9 (F.HR-AP سابقاً) [SG21-R15]</vt:lpstr>
      <vt:lpstr>2	مشروع التوصية الجديدة ITU-T F.748.39 (F.AICP-FRRC سابقاً) [SG21-R16]</vt:lpstr>
      <vt:lpstr>3	مشروع التوصية الجديدة ITU-T F.748.75 (F.MTTIR سابقاً) [SG21-R17]</vt:lpstr>
      <vt:lpstr>4	مشروع التوصية الجديدة ITU-T F.748.76 (F.AI-RFSSMA سابقاً) [SG21-R18]</vt:lpstr>
      <vt:lpstr>5	مشروع التوصية الجديدة ITU-T J.1043 (J.DRMVA-rbst سابقاً) [SG21-R19]</vt:lpstr>
    </vt:vector>
  </TitlesOfParts>
  <Company>ITU</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Arabic_I.R</cp:lastModifiedBy>
  <cp:revision>5</cp:revision>
  <dcterms:created xsi:type="dcterms:W3CDTF">2026-01-29T09:19:00Z</dcterms:created>
  <dcterms:modified xsi:type="dcterms:W3CDTF">2026-01-29T09:52:00Z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