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7F9D4450" w14:textId="77777777" w:rsidTr="00D517B2">
        <w:trPr>
          <w:cantSplit/>
          <w:trHeight w:val="1134"/>
        </w:trPr>
        <w:tc>
          <w:tcPr>
            <w:tcW w:w="798" w:type="pct"/>
          </w:tcPr>
          <w:p w14:paraId="13CBA1F4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2440B0AC" wp14:editId="60C66A1C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0610BC66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4B1855B8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3541"/>
        <w:gridCol w:w="4536"/>
      </w:tblGrid>
      <w:tr w:rsidR="00D517B2" w:rsidRPr="00D517B2" w14:paraId="411F6456" w14:textId="77777777" w:rsidTr="00756DFC">
        <w:trPr>
          <w:cantSplit/>
          <w:jc w:val="center"/>
        </w:trPr>
        <w:tc>
          <w:tcPr>
            <w:tcW w:w="810" w:type="pct"/>
          </w:tcPr>
          <w:p w14:paraId="4F52B469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837" w:type="pct"/>
          </w:tcPr>
          <w:p w14:paraId="32E00A05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353" w:type="pct"/>
          </w:tcPr>
          <w:p w14:paraId="57ED2E8B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3216B2C8" w14:textId="77777777" w:rsidTr="00756DFC">
        <w:trPr>
          <w:cantSplit/>
          <w:jc w:val="center"/>
        </w:trPr>
        <w:tc>
          <w:tcPr>
            <w:tcW w:w="810" w:type="pct"/>
          </w:tcPr>
          <w:p w14:paraId="6C5908E9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837" w:type="pct"/>
          </w:tcPr>
          <w:p w14:paraId="2EB7D266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353" w:type="pct"/>
          </w:tcPr>
          <w:p w14:paraId="5D0F615A" w14:textId="39E5B17D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DD74EE">
              <w:rPr>
                <w:position w:val="2"/>
              </w:rPr>
              <w:t>1</w:t>
            </w:r>
            <w:r w:rsidR="00DD74EE">
              <w:rPr>
                <w:rFonts w:hint="cs"/>
                <w:position w:val="2"/>
                <w:rtl/>
              </w:rPr>
              <w:t xml:space="preserve"> مايو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</w:t>
            </w:r>
            <w:r w:rsidR="0099778F">
              <w:rPr>
                <w:position w:val="2"/>
              </w:rPr>
              <w:t>6</w:t>
            </w:r>
          </w:p>
        </w:tc>
      </w:tr>
      <w:tr w:rsidR="00372F67" w:rsidRPr="00D517B2" w14:paraId="6B78B296" w14:textId="77777777" w:rsidTr="00756DFC">
        <w:trPr>
          <w:cantSplit/>
          <w:jc w:val="center"/>
        </w:trPr>
        <w:tc>
          <w:tcPr>
            <w:tcW w:w="810" w:type="pct"/>
          </w:tcPr>
          <w:p w14:paraId="2BD56A84" w14:textId="77777777" w:rsidR="00372F67" w:rsidRPr="00DD74EE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DD74EE">
              <w:rPr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837" w:type="pct"/>
          </w:tcPr>
          <w:p w14:paraId="356404D9" w14:textId="2486DD85" w:rsidR="00372F67" w:rsidRPr="00DD74EE" w:rsidRDefault="00372F67" w:rsidP="00D517B2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D74EE">
              <w:rPr>
                <w:b/>
                <w:position w:val="2"/>
              </w:rPr>
              <w:t xml:space="preserve">TSB Circular </w:t>
            </w:r>
            <w:r w:rsidR="00DD74EE" w:rsidRPr="00DD74EE">
              <w:rPr>
                <w:b/>
                <w:position w:val="2"/>
              </w:rPr>
              <w:t>107</w:t>
            </w:r>
            <w:r w:rsidRPr="00DD74EE">
              <w:rPr>
                <w:b/>
                <w:position w:val="2"/>
              </w:rPr>
              <w:br/>
            </w:r>
            <w:r w:rsidR="00DD74EE" w:rsidRPr="00DD74EE">
              <w:t>SG17/XY</w:t>
            </w:r>
          </w:p>
        </w:tc>
        <w:tc>
          <w:tcPr>
            <w:tcW w:w="2353" w:type="pct"/>
            <w:vMerge w:val="restart"/>
          </w:tcPr>
          <w:p w14:paraId="591AC9D4" w14:textId="77777777" w:rsidR="00372F67" w:rsidRPr="00DD74EE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DD74EE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73BDB16A" w14:textId="77777777" w:rsidR="00372F67" w:rsidRPr="00DD74EE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DD74EE">
              <w:rPr>
                <w:rFonts w:hint="cs"/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  <w:t>إدارات الدول الأعضاء في الاتحاد؛</w:t>
            </w:r>
          </w:p>
          <w:p w14:paraId="62F63B46" w14:textId="27903A9F" w:rsidR="00DD74EE" w:rsidRPr="00DD74EE" w:rsidRDefault="00DD74EE" w:rsidP="00DD74EE">
            <w:pPr>
              <w:tabs>
                <w:tab w:val="clear" w:pos="794"/>
              </w:tabs>
              <w:spacing w:before="0" w:after="20"/>
              <w:ind w:left="283" w:hanging="245"/>
              <w:rPr>
                <w:szCs w:val="20"/>
                <w:rtl/>
                <w:lang w:val="ar-SA" w:eastAsia="zh-TW" w:bidi="en-GB"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Pr="00DD74EE">
              <w:rPr>
                <w:color w:val="000000"/>
                <w:rtl/>
              </w:rPr>
              <w:t xml:space="preserve">دولة فلسطين (القرار </w:t>
            </w:r>
            <w:r w:rsidRPr="00DD74EE">
              <w:rPr>
                <w:color w:val="000000"/>
                <w:szCs w:val="20"/>
                <w:rtl/>
              </w:rPr>
              <w:t>99 (</w:t>
            </w:r>
            <w:r w:rsidRPr="00DD74EE">
              <w:rPr>
                <w:color w:val="000000"/>
                <w:rtl/>
              </w:rPr>
              <w:t xml:space="preserve">المراجَع في دبي، </w:t>
            </w:r>
            <w:r w:rsidRPr="00DD74EE">
              <w:rPr>
                <w:color w:val="000000"/>
                <w:szCs w:val="20"/>
              </w:rPr>
              <w:t>2018</w:t>
            </w:r>
            <w:r w:rsidRPr="00DD74EE">
              <w:rPr>
                <w:color w:val="000000"/>
                <w:szCs w:val="20"/>
                <w:rtl/>
              </w:rPr>
              <w:t>))</w:t>
            </w:r>
          </w:p>
          <w:p w14:paraId="79F2E12B" w14:textId="77777777" w:rsidR="00372F67" w:rsidRPr="00DD74EE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DD74EE">
              <w:rPr>
                <w:b/>
                <w:bCs/>
                <w:position w:val="2"/>
                <w:rtl/>
              </w:rPr>
              <w:t>نسخة إلى:</w:t>
            </w:r>
          </w:p>
          <w:p w14:paraId="1B8323AE" w14:textId="77777777" w:rsidR="00DD74EE" w:rsidRPr="00DD74EE" w:rsidRDefault="00DD74EE" w:rsidP="00DD74EE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Pr="00DD74EE">
              <w:rPr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250245EB" w14:textId="61AB8EBB" w:rsidR="00DD74EE" w:rsidRPr="00B36F74" w:rsidRDefault="00B36F74" w:rsidP="00DD74EE">
            <w:pPr>
              <w:tabs>
                <w:tab w:val="clear" w:pos="794"/>
              </w:tabs>
              <w:spacing w:before="0" w:after="20"/>
              <w:ind w:left="283" w:hanging="245"/>
              <w:rPr>
                <w:spacing w:val="-4"/>
                <w:szCs w:val="20"/>
                <w:lang w:val="ar-SA" w:eastAsia="zh-TW" w:bidi="en-GB"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="00DD74EE" w:rsidRPr="00B36F74">
              <w:rPr>
                <w:color w:val="000000"/>
                <w:spacing w:val="-4"/>
                <w:rtl/>
              </w:rPr>
              <w:t xml:space="preserve">المنتسبين إلى لجنة الدراسات </w:t>
            </w:r>
            <w:r w:rsidR="00DD74EE" w:rsidRPr="00B36F74">
              <w:rPr>
                <w:color w:val="000000"/>
                <w:spacing w:val="-4"/>
                <w:szCs w:val="20"/>
                <w:rtl/>
              </w:rPr>
              <w:t>17</w:t>
            </w:r>
            <w:r w:rsidR="00DD74EE" w:rsidRPr="00B36F74">
              <w:rPr>
                <w:color w:val="000000"/>
                <w:spacing w:val="-4"/>
                <w:rtl/>
              </w:rPr>
              <w:t xml:space="preserve"> لقطاع تقييس الاتصالات؛</w:t>
            </w:r>
          </w:p>
          <w:p w14:paraId="4AA448A1" w14:textId="53FC3AB9" w:rsidR="00DD74EE" w:rsidRPr="00DD74EE" w:rsidRDefault="00B36F74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lang w:bidi="ar-EG"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="00DD74EE" w:rsidRPr="00DD74EE">
              <w:rPr>
                <w:position w:val="2"/>
                <w:rtl/>
              </w:rPr>
              <w:t>الهيئات الأكاديمية المنضمة إلى</w:t>
            </w:r>
            <w:r w:rsidR="00DD74EE" w:rsidRPr="00DD74EE">
              <w:rPr>
                <w:position w:val="2"/>
                <w:rtl/>
                <w:lang w:bidi="ar-EG"/>
              </w:rPr>
              <w:t xml:space="preserve"> الاتحاد</w:t>
            </w:r>
            <w:r w:rsidR="00DD74EE" w:rsidRPr="00DD74EE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5FBAD031" w14:textId="0848877B" w:rsidR="00DD74EE" w:rsidRPr="00756DFC" w:rsidRDefault="00B36F74" w:rsidP="00DD74EE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spacing w:val="-5"/>
                <w:position w:val="2"/>
                <w:rtl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="00DD74EE" w:rsidRPr="00756DFC">
              <w:rPr>
                <w:rFonts w:hint="cs"/>
                <w:spacing w:val="-5"/>
                <w:position w:val="2"/>
                <w:rtl/>
                <w:lang w:val="en-GB"/>
              </w:rPr>
              <w:t xml:space="preserve">رئيس لجنة الدراسات </w:t>
            </w:r>
            <w:r w:rsidR="00DD74EE" w:rsidRPr="00756DFC">
              <w:rPr>
                <w:spacing w:val="-5"/>
                <w:position w:val="2"/>
                <w:lang w:val="en-GB"/>
              </w:rPr>
              <w:t>17</w:t>
            </w:r>
            <w:r w:rsidR="00DD74EE" w:rsidRPr="00756DFC">
              <w:rPr>
                <w:rFonts w:hint="cs"/>
                <w:spacing w:val="-5"/>
                <w:position w:val="2"/>
                <w:rtl/>
              </w:rPr>
              <w:t xml:space="preserve"> </w:t>
            </w:r>
            <w:r w:rsidR="001B5BC2">
              <w:rPr>
                <w:rFonts w:hint="cs"/>
                <w:spacing w:val="-5"/>
                <w:position w:val="2"/>
                <w:rtl/>
              </w:rPr>
              <w:t>ل</w:t>
            </w:r>
            <w:r w:rsidR="001B5BC2" w:rsidRPr="00756DFC">
              <w:rPr>
                <w:rFonts w:hint="cs"/>
                <w:spacing w:val="-5"/>
                <w:position w:val="2"/>
                <w:rtl/>
              </w:rPr>
              <w:t xml:space="preserve">قطاع </w:t>
            </w:r>
            <w:r w:rsidR="00DD74EE" w:rsidRPr="00756DFC">
              <w:rPr>
                <w:rFonts w:hint="cs"/>
                <w:spacing w:val="-5"/>
                <w:position w:val="2"/>
                <w:rtl/>
              </w:rPr>
              <w:t>تقييس الاتصالات</w:t>
            </w:r>
            <w:r w:rsidR="001B5BC2">
              <w:rPr>
                <w:rtl/>
              </w:rPr>
              <w:t xml:space="preserve"> </w:t>
            </w:r>
            <w:r w:rsidR="001B5BC2" w:rsidRPr="001B5BC2">
              <w:rPr>
                <w:spacing w:val="-5"/>
                <w:position w:val="2"/>
                <w:rtl/>
              </w:rPr>
              <w:t>ونوابه</w:t>
            </w:r>
            <w:r w:rsidR="00DD74EE" w:rsidRPr="00756DFC">
              <w:rPr>
                <w:rFonts w:hint="cs"/>
                <w:spacing w:val="-5"/>
                <w:position w:val="2"/>
                <w:rtl/>
              </w:rPr>
              <w:t>؛</w:t>
            </w:r>
          </w:p>
          <w:p w14:paraId="3F8DABF5" w14:textId="0F299E3C" w:rsidR="00372F67" w:rsidRPr="00DD74EE" w:rsidRDefault="00B36F74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="00372F67" w:rsidRPr="00DD74EE">
              <w:rPr>
                <w:rFonts w:eastAsia="Times New Roman"/>
                <w:position w:val="2"/>
                <w:rtl/>
                <w:lang w:eastAsia="en-US"/>
              </w:rPr>
              <w:t>مدير مكتب تنمية الاتصالات</w:t>
            </w:r>
            <w:r w:rsidR="00372F67" w:rsidRPr="00DD74EE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390AB96F" w14:textId="2F8013DC" w:rsidR="00372F67" w:rsidRPr="00DD74EE" w:rsidRDefault="00B36F74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DD74EE">
              <w:rPr>
                <w:position w:val="2"/>
                <w:rtl/>
              </w:rPr>
              <w:t>-</w:t>
            </w:r>
            <w:r w:rsidRPr="00DD74EE">
              <w:rPr>
                <w:position w:val="2"/>
                <w:rtl/>
              </w:rPr>
              <w:tab/>
            </w:r>
            <w:r w:rsidR="00372F67" w:rsidRPr="00DD74EE">
              <w:rPr>
                <w:rFonts w:eastAsia="Times New Roman"/>
                <w:position w:val="2"/>
                <w:rtl/>
                <w:lang w:eastAsia="en-US"/>
              </w:rPr>
              <w:t>مدير مكتب الاتصالات الراديوية</w:t>
            </w:r>
          </w:p>
        </w:tc>
      </w:tr>
      <w:tr w:rsidR="00372F67" w:rsidRPr="00D517B2" w14:paraId="039B3DE5" w14:textId="77777777" w:rsidTr="00756DFC">
        <w:trPr>
          <w:cantSplit/>
          <w:jc w:val="center"/>
        </w:trPr>
        <w:tc>
          <w:tcPr>
            <w:tcW w:w="810" w:type="pct"/>
          </w:tcPr>
          <w:p w14:paraId="1068077A" w14:textId="77777777" w:rsidR="00372F67" w:rsidRPr="00DD74EE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DD74EE">
              <w:rPr>
                <w:b/>
                <w:bCs/>
                <w:position w:val="2"/>
                <w:rtl/>
                <w:lang w:bidi="ar-EG"/>
              </w:rPr>
              <w:t>للاتصال:</w:t>
            </w:r>
          </w:p>
        </w:tc>
        <w:tc>
          <w:tcPr>
            <w:tcW w:w="1837" w:type="pct"/>
          </w:tcPr>
          <w:p w14:paraId="01F384DA" w14:textId="45EDC6E5" w:rsidR="00372F67" w:rsidRPr="00DD74EE" w:rsidRDefault="00DD74EE" w:rsidP="001E2788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D74EE">
              <w:t>+41 22 730 6206</w:t>
            </w:r>
          </w:p>
        </w:tc>
        <w:tc>
          <w:tcPr>
            <w:tcW w:w="2353" w:type="pct"/>
            <w:vMerge/>
          </w:tcPr>
          <w:p w14:paraId="763C5524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46859C67" w14:textId="77777777" w:rsidTr="00756DFC">
        <w:trPr>
          <w:cantSplit/>
          <w:jc w:val="center"/>
        </w:trPr>
        <w:tc>
          <w:tcPr>
            <w:tcW w:w="810" w:type="pct"/>
          </w:tcPr>
          <w:p w14:paraId="75A22F50" w14:textId="77777777" w:rsidR="00372F67" w:rsidRPr="00DD74EE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DD74EE">
              <w:rPr>
                <w:b/>
                <w:bCs/>
                <w:position w:val="2"/>
                <w:rtl/>
                <w:lang w:bidi="ar-EG"/>
              </w:rPr>
              <w:t>ال</w:t>
            </w:r>
            <w:r w:rsidRPr="00DD74EE">
              <w:rPr>
                <w:b/>
                <w:bCs/>
                <w:position w:val="2"/>
                <w:rtl/>
                <w:lang w:bidi="ar-SY"/>
              </w:rPr>
              <w:t>هاتف</w:t>
            </w:r>
            <w:r w:rsidRPr="00DD74EE">
              <w:rPr>
                <w:b/>
                <w:bCs/>
                <w:position w:val="2"/>
                <w:rtl/>
              </w:rPr>
              <w:t>:</w:t>
            </w:r>
          </w:p>
        </w:tc>
        <w:tc>
          <w:tcPr>
            <w:tcW w:w="1837" w:type="pct"/>
          </w:tcPr>
          <w:p w14:paraId="69FE07F2" w14:textId="58C0686C" w:rsidR="00372F67" w:rsidRPr="00DD74EE" w:rsidRDefault="00DD74EE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DD74EE">
              <w:t>+41 22 730 5853</w:t>
            </w:r>
          </w:p>
        </w:tc>
        <w:tc>
          <w:tcPr>
            <w:tcW w:w="2353" w:type="pct"/>
            <w:vMerge/>
          </w:tcPr>
          <w:p w14:paraId="5183C0BB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382E8DBE" w14:textId="77777777" w:rsidTr="00756DFC">
        <w:trPr>
          <w:cantSplit/>
          <w:jc w:val="center"/>
        </w:trPr>
        <w:tc>
          <w:tcPr>
            <w:tcW w:w="810" w:type="pct"/>
          </w:tcPr>
          <w:p w14:paraId="0ECDE66D" w14:textId="7A75348C" w:rsidR="00372F67" w:rsidRPr="00DD74EE" w:rsidRDefault="00DD74EE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DD74EE">
              <w:rPr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837" w:type="pct"/>
          </w:tcPr>
          <w:p w14:paraId="0C0D9042" w14:textId="0C1536C1" w:rsidR="00372F67" w:rsidRPr="00DD74EE" w:rsidRDefault="00DD74EE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Pr="00DD74EE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2353" w:type="pct"/>
            <w:vMerge/>
          </w:tcPr>
          <w:p w14:paraId="7F63F157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4B034B31" w14:textId="77777777" w:rsidTr="00756DFC">
        <w:trPr>
          <w:cantSplit/>
          <w:jc w:val="center"/>
        </w:trPr>
        <w:tc>
          <w:tcPr>
            <w:tcW w:w="810" w:type="pct"/>
          </w:tcPr>
          <w:p w14:paraId="6D0084AB" w14:textId="3BF86C73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837" w:type="pct"/>
          </w:tcPr>
          <w:p w14:paraId="47EE7B5F" w14:textId="6D08BA2A" w:rsidR="00372F67" w:rsidRPr="006E1BAD" w:rsidRDefault="00372F67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</w:p>
        </w:tc>
        <w:tc>
          <w:tcPr>
            <w:tcW w:w="2353" w:type="pct"/>
            <w:vMerge/>
          </w:tcPr>
          <w:p w14:paraId="22FFD10B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349086BB" w14:textId="77777777" w:rsidTr="00756DFC">
        <w:trPr>
          <w:cantSplit/>
          <w:jc w:val="center"/>
        </w:trPr>
        <w:tc>
          <w:tcPr>
            <w:tcW w:w="810" w:type="pct"/>
          </w:tcPr>
          <w:p w14:paraId="5868797B" w14:textId="77777777" w:rsidR="00CE1C08" w:rsidRPr="00A9156F" w:rsidRDefault="00CE1C08" w:rsidP="000F149C">
            <w:pPr>
              <w:spacing w:before="60" w:after="60" w:line="26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837" w:type="pct"/>
          </w:tcPr>
          <w:p w14:paraId="3B0945FD" w14:textId="77777777" w:rsidR="00CE1C08" w:rsidRPr="00D517B2" w:rsidRDefault="00CE1C08" w:rsidP="000F149C">
            <w:pPr>
              <w:spacing w:before="60" w:after="60" w:line="260" w:lineRule="exact"/>
              <w:jc w:val="left"/>
              <w:rPr>
                <w:position w:val="2"/>
              </w:rPr>
            </w:pPr>
          </w:p>
        </w:tc>
        <w:tc>
          <w:tcPr>
            <w:tcW w:w="2353" w:type="pct"/>
          </w:tcPr>
          <w:p w14:paraId="6DCEE0BC" w14:textId="77777777" w:rsidR="00CE1C08" w:rsidRPr="00D517B2" w:rsidRDefault="00CE1C08" w:rsidP="000F149C">
            <w:pPr>
              <w:spacing w:before="60" w:after="60" w:line="26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76DCAE44" w14:textId="77777777" w:rsidTr="001E2788">
        <w:trPr>
          <w:cantSplit/>
          <w:jc w:val="center"/>
        </w:trPr>
        <w:tc>
          <w:tcPr>
            <w:tcW w:w="810" w:type="pct"/>
          </w:tcPr>
          <w:p w14:paraId="278D8648" w14:textId="77777777" w:rsidR="00CE1C08" w:rsidRPr="00F97562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F97562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7B654388" w14:textId="5E1FE2B1" w:rsidR="00CE1C08" w:rsidRPr="00F97562" w:rsidRDefault="00DD74EE" w:rsidP="00B071B9">
            <w:pPr>
              <w:spacing w:before="80" w:after="60" w:line="300" w:lineRule="exact"/>
              <w:rPr>
                <w:position w:val="2"/>
                <w:rtl/>
              </w:rPr>
            </w:pPr>
            <w:r w:rsidRPr="00F97562">
              <w:rPr>
                <w:b/>
                <w:bCs/>
                <w:color w:val="000000"/>
                <w:rtl/>
              </w:rPr>
              <w:t xml:space="preserve">حالة التوصية الجديدة المحددة </w:t>
            </w:r>
            <w:r w:rsidRPr="00F97562">
              <w:rPr>
                <w:b/>
                <w:bCs/>
                <w:color w:val="000000"/>
              </w:rPr>
              <w:t>ITU-T X.1901</w:t>
            </w:r>
            <w:r w:rsidRPr="00F97562">
              <w:rPr>
                <w:b/>
                <w:bCs/>
                <w:color w:val="000000"/>
                <w:rtl/>
              </w:rPr>
              <w:t xml:space="preserve"> | المعيار </w:t>
            </w:r>
            <w:r w:rsidRPr="00F97562">
              <w:rPr>
                <w:b/>
                <w:bCs/>
                <w:color w:val="000000"/>
              </w:rPr>
              <w:t>ISO/IEC 27566-1</w:t>
            </w:r>
            <w:r w:rsidRPr="00F97562">
              <w:rPr>
                <w:b/>
                <w:bCs/>
                <w:color w:val="000000"/>
                <w:rtl/>
              </w:rPr>
              <w:t xml:space="preserve"> بعد الجلسة العامة للجنة الدراسات </w:t>
            </w:r>
            <w:r w:rsidRPr="00F97562">
              <w:rPr>
                <w:b/>
                <w:bCs/>
                <w:color w:val="000000"/>
                <w:lang w:val="en-GB"/>
              </w:rPr>
              <w:t>17</w:t>
            </w:r>
            <w:r w:rsidRPr="00F97562">
              <w:rPr>
                <w:b/>
                <w:bCs/>
                <w:color w:val="000000"/>
                <w:rtl/>
              </w:rPr>
              <w:t xml:space="preserve"> </w:t>
            </w:r>
            <w:r w:rsidR="001B5BC2">
              <w:rPr>
                <w:rFonts w:hint="cs"/>
                <w:b/>
                <w:bCs/>
                <w:color w:val="000000"/>
                <w:rtl/>
              </w:rPr>
              <w:t>ل</w:t>
            </w:r>
            <w:r w:rsidR="001B5BC2" w:rsidRPr="00F97562">
              <w:rPr>
                <w:b/>
                <w:bCs/>
                <w:color w:val="000000"/>
                <w:rtl/>
              </w:rPr>
              <w:t xml:space="preserve">قطاع </w:t>
            </w:r>
            <w:r w:rsidRPr="00F97562">
              <w:rPr>
                <w:b/>
                <w:bCs/>
                <w:color w:val="000000"/>
                <w:rtl/>
              </w:rPr>
              <w:t xml:space="preserve">تقييس الاتصالات (اجتماع افتراضي، </w:t>
            </w:r>
            <w:r w:rsidRPr="00F97562">
              <w:rPr>
                <w:b/>
                <w:bCs/>
                <w:color w:val="000000"/>
              </w:rPr>
              <w:t>9</w:t>
            </w:r>
            <w:r w:rsidRPr="00F97562">
              <w:rPr>
                <w:b/>
                <w:bCs/>
                <w:color w:val="000000"/>
                <w:rtl/>
              </w:rPr>
              <w:t xml:space="preserve"> أبريل </w:t>
            </w:r>
            <w:r w:rsidRPr="00F97562">
              <w:rPr>
                <w:b/>
                <w:bCs/>
                <w:color w:val="000000"/>
              </w:rPr>
              <w:t>2026</w:t>
            </w:r>
            <w:r w:rsidRPr="00F97562">
              <w:rPr>
                <w:b/>
                <w:bCs/>
                <w:color w:val="000000"/>
                <w:rtl/>
              </w:rPr>
              <w:t>).</w:t>
            </w:r>
          </w:p>
        </w:tc>
      </w:tr>
    </w:tbl>
    <w:p w14:paraId="0B165C45" w14:textId="77777777" w:rsidR="00D517B2" w:rsidRPr="00D517B2" w:rsidRDefault="00D517B2" w:rsidP="00B071B9">
      <w:pPr>
        <w:spacing w:before="36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73DE7664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143F44DB" w14:textId="37595415" w:rsidR="00DD74EE" w:rsidRPr="00F97562" w:rsidRDefault="00DD74EE" w:rsidP="00B071B9">
      <w:r w:rsidRPr="00F97562">
        <w:rPr>
          <w:rtl/>
        </w:rPr>
        <w:t>1</w:t>
      </w:r>
      <w:r w:rsidRPr="00F97562">
        <w:rPr>
          <w:rtl/>
        </w:rPr>
        <w:tab/>
        <w:t xml:space="preserve">إلحاقاً </w:t>
      </w:r>
      <w:hyperlink r:id="rId10" w:history="1">
        <w:r w:rsidRPr="00F97562">
          <w:rPr>
            <w:rStyle w:val="Hyperlink"/>
            <w:rtl/>
          </w:rPr>
          <w:t>بالرسالة المعممة 100 ل</w:t>
        </w:r>
        <w:r w:rsidRPr="00F97562">
          <w:rPr>
            <w:rStyle w:val="Hyperlink"/>
            <w:rtl/>
          </w:rPr>
          <w:t>م</w:t>
        </w:r>
        <w:r w:rsidRPr="00F97562">
          <w:rPr>
            <w:rStyle w:val="Hyperlink"/>
            <w:rtl/>
          </w:rPr>
          <w:t>كتب تقييس الاتصالات</w:t>
        </w:r>
      </w:hyperlink>
      <w:r w:rsidRPr="00F97562">
        <w:rPr>
          <w:rtl/>
        </w:rPr>
        <w:t xml:space="preserve"> المؤرخة </w:t>
      </w:r>
      <w:r w:rsidRPr="00F97562">
        <w:t>22</w:t>
      </w:r>
      <w:r w:rsidRPr="00F97562">
        <w:rPr>
          <w:rtl/>
        </w:rPr>
        <w:t xml:space="preserve"> ديسمبر </w:t>
      </w:r>
      <w:r w:rsidRPr="00F97562">
        <w:t>2025</w:t>
      </w:r>
      <w:r w:rsidRPr="00F97562">
        <w:rPr>
          <w:rtl/>
        </w:rPr>
        <w:t xml:space="preserve">، وعملاً بالفقرة </w:t>
      </w:r>
      <w:r w:rsidR="00F97562">
        <w:t>5.9</w:t>
      </w:r>
      <w:r w:rsidRPr="00F97562">
        <w:rPr>
          <w:rtl/>
        </w:rPr>
        <w:t xml:space="preserve"> من القرار</w:t>
      </w:r>
      <w:r w:rsidR="00F97562">
        <w:t> </w:t>
      </w:r>
      <w:r w:rsidRPr="00F97562">
        <w:rPr>
          <w:rtl/>
        </w:rPr>
        <w:t xml:space="preserve">1 (المراجَع في جنيف، </w:t>
      </w:r>
      <w:r w:rsidRPr="00F97562">
        <w:t>2022</w:t>
      </w:r>
      <w:r w:rsidRPr="00F97562">
        <w:rPr>
          <w:rtl/>
        </w:rPr>
        <w:t xml:space="preserve">)، أود إفادتكم بأن لجنة الدراسات </w:t>
      </w:r>
      <w:r w:rsidRPr="00F97562">
        <w:t>17</w:t>
      </w:r>
      <w:r w:rsidRPr="00F97562">
        <w:rPr>
          <w:rtl/>
        </w:rPr>
        <w:t xml:space="preserve"> </w:t>
      </w:r>
      <w:r w:rsidR="00F97562">
        <w:rPr>
          <w:rFonts w:hint="cs"/>
          <w:rtl/>
        </w:rPr>
        <w:t>ب</w:t>
      </w:r>
      <w:r w:rsidRPr="00F97562">
        <w:rPr>
          <w:rtl/>
        </w:rPr>
        <w:t>قطاع تقييس الاتصالات قد توصلت إلى القرار التالي في جلستها العامة التي عُقدت افتراضياً في 9 أبريل 2026 بشأن مشروع النص التالي لقطاع تقييس الاتصالات:</w:t>
      </w:r>
      <w:hyperlink r:id="rId11" w:history="1"/>
    </w:p>
    <w:tbl>
      <w:tblPr>
        <w:bidiVisual/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5675"/>
        <w:gridCol w:w="1694"/>
      </w:tblGrid>
      <w:tr w:rsidR="00DD74EE" w:rsidRPr="00F97562" w14:paraId="2129D241" w14:textId="77777777" w:rsidTr="000F149C">
        <w:trPr>
          <w:cantSplit/>
          <w:tblHeader/>
          <w:jc w:val="center"/>
        </w:trPr>
        <w:tc>
          <w:tcPr>
            <w:tcW w:w="2346" w:type="dxa"/>
          </w:tcPr>
          <w:p w14:paraId="5A414B51" w14:textId="77777777" w:rsidR="00DD74EE" w:rsidRPr="00F97562" w:rsidRDefault="00DD74EE" w:rsidP="00F97562">
            <w:pPr>
              <w:pStyle w:val="TableHead"/>
              <w:rPr>
                <w:lang w:val="ar-SA" w:eastAsia="zh-TW" w:bidi="en-GB"/>
              </w:rPr>
            </w:pPr>
            <w:r w:rsidRPr="00F97562">
              <w:rPr>
                <w:rtl/>
              </w:rPr>
              <w:t>الرقم</w:t>
            </w:r>
          </w:p>
        </w:tc>
        <w:tc>
          <w:tcPr>
            <w:tcW w:w="5675" w:type="dxa"/>
            <w:vAlign w:val="center"/>
          </w:tcPr>
          <w:p w14:paraId="15F34064" w14:textId="77777777" w:rsidR="00DD74EE" w:rsidRPr="00F97562" w:rsidRDefault="00DD74EE" w:rsidP="00F97562">
            <w:pPr>
              <w:pStyle w:val="TableHead"/>
              <w:rPr>
                <w:lang w:val="ar-SA" w:eastAsia="zh-TW" w:bidi="en-GB"/>
              </w:rPr>
            </w:pPr>
            <w:r w:rsidRPr="00F97562">
              <w:rPr>
                <w:rtl/>
              </w:rPr>
              <w:t>العنوان</w:t>
            </w:r>
          </w:p>
        </w:tc>
        <w:tc>
          <w:tcPr>
            <w:tcW w:w="1694" w:type="dxa"/>
            <w:vAlign w:val="center"/>
          </w:tcPr>
          <w:p w14:paraId="2FF9E743" w14:textId="77777777" w:rsidR="00DD74EE" w:rsidRPr="00F97562" w:rsidRDefault="00DD74EE" w:rsidP="00F97562">
            <w:pPr>
              <w:pStyle w:val="TableHead"/>
              <w:rPr>
                <w:lang w:val="ar-SA" w:eastAsia="zh-TW" w:bidi="en-GB"/>
              </w:rPr>
            </w:pPr>
            <w:r w:rsidRPr="00F97562">
              <w:rPr>
                <w:rtl/>
              </w:rPr>
              <w:t>القرار</w:t>
            </w:r>
          </w:p>
        </w:tc>
      </w:tr>
      <w:tr w:rsidR="00DD74EE" w:rsidRPr="00F97562" w14:paraId="62547361" w14:textId="77777777" w:rsidTr="000F149C">
        <w:trPr>
          <w:cantSplit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414" w14:textId="0ACF24F5" w:rsidR="00DD74EE" w:rsidRPr="00F97562" w:rsidRDefault="00DD74EE" w:rsidP="00B071B9">
            <w:pPr>
              <w:pStyle w:val="Tabletexte"/>
              <w:jc w:val="left"/>
              <w:rPr>
                <w:b/>
                <w:bCs/>
                <w:lang w:val="ar-SA" w:eastAsia="zh-TW" w:bidi="en-GB"/>
              </w:rPr>
            </w:pPr>
            <w:r w:rsidRPr="00F97562">
              <w:rPr>
                <w:b/>
                <w:bCs/>
                <w:rtl/>
              </w:rPr>
              <w:t xml:space="preserve">التوصية ITU-T X. 1901 | المعيار </w:t>
            </w:r>
            <w:r w:rsidRPr="00F97562">
              <w:rPr>
                <w:b/>
                <w:bCs/>
              </w:rPr>
              <w:t>ISO/IEC 27566-1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382" w14:textId="322D3067" w:rsidR="00DD74EE" w:rsidRPr="00F97562" w:rsidRDefault="00DD74EE" w:rsidP="00B071B9">
            <w:pPr>
              <w:pStyle w:val="Tabletexte"/>
              <w:rPr>
                <w:lang w:val="ar-SA" w:eastAsia="zh-TW" w:bidi="en-GB"/>
              </w:rPr>
            </w:pPr>
            <w:r w:rsidRPr="00F97562">
              <w:rPr>
                <w:rtl/>
              </w:rPr>
              <w:t xml:space="preserve">أمن المعلومات والأمن السيبراني وحماية الخصوصية - أنظمة التأكد من السن </w:t>
            </w:r>
            <w:r w:rsidR="00F97562">
              <w:rPr>
                <w:rtl/>
              </w:rPr>
              <w:t>–</w:t>
            </w:r>
            <w:r w:rsidRPr="00F97562">
              <w:rPr>
                <w:rtl/>
              </w:rPr>
              <w:t xml:space="preserve"> الجزء</w:t>
            </w:r>
            <w:r w:rsidR="00F97562">
              <w:t> </w:t>
            </w:r>
            <w:r w:rsidRPr="00F97562">
              <w:rPr>
                <w:rtl/>
              </w:rPr>
              <w:t>1</w:t>
            </w:r>
            <w:r w:rsidRPr="00F97562">
              <w:t>:</w:t>
            </w:r>
            <w:r w:rsidRPr="00F97562">
              <w:rPr>
                <w:rtl/>
              </w:rPr>
              <w:t xml:space="preserve"> الإطار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FD1" w14:textId="77777777" w:rsidR="00DD74EE" w:rsidRPr="00F97562" w:rsidRDefault="00DD74EE" w:rsidP="00F97562">
            <w:pPr>
              <w:pStyle w:val="Tabletexte"/>
              <w:jc w:val="center"/>
              <w:rPr>
                <w:lang w:val="ar-SA" w:eastAsia="zh-TW" w:bidi="en-GB"/>
              </w:rPr>
            </w:pPr>
            <w:r w:rsidRPr="00F97562">
              <w:rPr>
                <w:rtl/>
              </w:rPr>
              <w:t>تمت الموافقة عليها</w:t>
            </w:r>
          </w:p>
        </w:tc>
      </w:tr>
    </w:tbl>
    <w:p w14:paraId="5CDB41C1" w14:textId="288817FE" w:rsidR="00DD74EE" w:rsidRPr="00F97562" w:rsidRDefault="00DD74EE" w:rsidP="00B071B9">
      <w:pPr>
        <w:keepLines/>
        <w:spacing w:before="240"/>
        <w:rPr>
          <w:lang w:val="ar-SA" w:eastAsia="zh-TW" w:bidi="en-GB"/>
        </w:rPr>
      </w:pPr>
      <w:r w:rsidRPr="00F97562">
        <w:rPr>
          <w:rtl/>
        </w:rPr>
        <w:t>2</w:t>
      </w:r>
      <w:r w:rsidRPr="00F97562">
        <w:rPr>
          <w:rtl/>
        </w:rPr>
        <w:tab/>
        <w:t xml:space="preserve">يمكن النفاذ إلى المعلومات المتاحة بشأن البراءات إلكترونياً من خلال </w:t>
      </w:r>
      <w:hyperlink r:id="rId12" w:history="1">
        <w:r w:rsidRPr="00F97562">
          <w:rPr>
            <w:rStyle w:val="Hyperlink"/>
            <w:rtl/>
          </w:rPr>
          <w:t>ال</w:t>
        </w:r>
        <w:r w:rsidRPr="00F97562">
          <w:rPr>
            <w:rStyle w:val="Hyperlink"/>
            <w:rtl/>
          </w:rPr>
          <w:t>م</w:t>
        </w:r>
        <w:r w:rsidRPr="00F97562">
          <w:rPr>
            <w:rStyle w:val="Hyperlink"/>
            <w:rtl/>
          </w:rPr>
          <w:t>وقع الإلكتروني لقطاع تقييس الاتصالات</w:t>
        </w:r>
      </w:hyperlink>
      <w:r w:rsidRPr="00F97562">
        <w:rPr>
          <w:rtl/>
        </w:rPr>
        <w:t>.</w:t>
      </w:r>
      <w:hyperlink r:id="rId13" w:history="1"/>
    </w:p>
    <w:p w14:paraId="62766A12" w14:textId="57F9847B" w:rsidR="00DD74EE" w:rsidRPr="00F97562" w:rsidRDefault="00DD74EE" w:rsidP="00E51317">
      <w:pPr>
        <w:keepLines/>
        <w:rPr>
          <w:lang w:val="ar-SA" w:eastAsia="zh-TW" w:bidi="en-GB"/>
        </w:rPr>
      </w:pPr>
      <w:r w:rsidRPr="00F97562">
        <w:rPr>
          <w:rtl/>
        </w:rPr>
        <w:t>3</w:t>
      </w:r>
      <w:r w:rsidRPr="00F97562">
        <w:rPr>
          <w:rtl/>
        </w:rPr>
        <w:tab/>
        <w:t xml:space="preserve">يمكن الاطلاع على نص التوصية المنشورة مسبقاً في الموقع الإلكتروني لقطاع تقييس الاتصالات في </w:t>
      </w:r>
      <w:hyperlink r:id="rId14" w:history="1">
        <w:r w:rsidRPr="00F97562">
          <w:rPr>
            <w:rStyle w:val="Hyperlink"/>
            <w:rtl/>
          </w:rPr>
          <w:t>هذه ال</w:t>
        </w:r>
        <w:r w:rsidRPr="00F97562">
          <w:rPr>
            <w:rStyle w:val="Hyperlink"/>
            <w:rtl/>
          </w:rPr>
          <w:t>ص</w:t>
        </w:r>
        <w:r w:rsidRPr="00F97562">
          <w:rPr>
            <w:rStyle w:val="Hyperlink"/>
            <w:rtl/>
          </w:rPr>
          <w:t>فحة</w:t>
        </w:r>
      </w:hyperlink>
      <w:r w:rsidRPr="00F97562">
        <w:rPr>
          <w:rtl/>
        </w:rPr>
        <w:t>.</w:t>
      </w:r>
      <w:hyperlink r:id="rId15" w:history="1"/>
    </w:p>
    <w:p w14:paraId="73D01006" w14:textId="77777777" w:rsidR="00DD74EE" w:rsidRPr="00F97562" w:rsidRDefault="00DD74EE" w:rsidP="00E51317">
      <w:pPr>
        <w:keepLines/>
        <w:rPr>
          <w:lang w:val="ar-SA" w:eastAsia="zh-TW" w:bidi="en-GB"/>
        </w:rPr>
      </w:pPr>
      <w:r w:rsidRPr="00F97562">
        <w:rPr>
          <w:rtl/>
        </w:rPr>
        <w:t>4</w:t>
      </w:r>
      <w:r w:rsidRPr="00F97562">
        <w:rPr>
          <w:rtl/>
        </w:rPr>
        <w:tab/>
        <w:t>سينشر الاتحاد نص التوصية الموافق عليها في أقرب وقت ممكن.</w:t>
      </w:r>
    </w:p>
    <w:p w14:paraId="592C6B3A" w14:textId="1A5C3B40" w:rsidR="00E84438" w:rsidRPr="00D517B2" w:rsidRDefault="007243A3" w:rsidP="00E51317">
      <w:pPr>
        <w:keepLines/>
        <w:rPr>
          <w:rtl/>
          <w:lang w:bidi="ar-EG"/>
        </w:rPr>
      </w:pPr>
      <w:r>
        <w:rPr>
          <w:noProof/>
          <w:color w:val="0000FF"/>
          <w:u w:val="single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7C7F56FB" wp14:editId="6A7BA24B">
            <wp:simplePos x="0" y="0"/>
            <wp:positionH relativeFrom="column">
              <wp:posOffset>5366385</wp:posOffset>
            </wp:positionH>
            <wp:positionV relativeFrom="paragraph">
              <wp:posOffset>228600</wp:posOffset>
            </wp:positionV>
            <wp:extent cx="768350" cy="368300"/>
            <wp:effectExtent l="0" t="0" r="0" b="0"/>
            <wp:wrapNone/>
            <wp:docPr id="1706327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27925" name="Picture 170632792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438" w:rsidRPr="00D517B2">
        <w:rPr>
          <w:rFonts w:hint="cs"/>
          <w:rtl/>
          <w:lang w:bidi="ar-EG"/>
        </w:rPr>
        <w:t>وتفضلوا بقبول فائق التقدير والاحترام.</w:t>
      </w:r>
    </w:p>
    <w:p w14:paraId="794CE181" w14:textId="61606496" w:rsidR="00DD74EE" w:rsidRDefault="00807031" w:rsidP="00F80597">
      <w:pPr>
        <w:keepNext/>
        <w:keepLines/>
        <w:spacing w:before="720" w:after="0"/>
        <w:jc w:val="left"/>
      </w:pPr>
      <w:r>
        <w:rPr>
          <w:rFonts w:hint="cs"/>
          <w:rtl/>
          <w:lang w:bidi="ar-SY"/>
        </w:rPr>
        <w:t>سيزو أونوي</w:t>
      </w:r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DD74EE" w:rsidSect="006C3242">
      <w:headerReference w:type="defaul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BC15" w14:textId="77777777" w:rsidR="00C66423" w:rsidRDefault="00C66423" w:rsidP="006C3242">
      <w:pPr>
        <w:spacing w:before="0" w:line="240" w:lineRule="auto"/>
      </w:pPr>
      <w:r>
        <w:separator/>
      </w:r>
    </w:p>
  </w:endnote>
  <w:endnote w:type="continuationSeparator" w:id="0">
    <w:p w14:paraId="39A270ED" w14:textId="77777777" w:rsidR="00C66423" w:rsidRDefault="00C6642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BBD4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828D" w14:textId="77777777" w:rsidR="00C66423" w:rsidRDefault="00C66423" w:rsidP="006C3242">
      <w:pPr>
        <w:spacing w:before="0" w:line="240" w:lineRule="auto"/>
      </w:pPr>
      <w:r>
        <w:separator/>
      </w:r>
    </w:p>
  </w:footnote>
  <w:footnote w:type="continuationSeparator" w:id="0">
    <w:p w14:paraId="0CE66B18" w14:textId="77777777" w:rsidR="00C66423" w:rsidRDefault="00C6642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34DA" w14:textId="70908207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DD74EE">
      <w:rPr>
        <w:sz w:val="20"/>
        <w:szCs w:val="20"/>
        <w:lang w:bidi="ar-EG"/>
      </w:rPr>
      <w:t>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A2"/>
    <w:rsid w:val="00002A63"/>
    <w:rsid w:val="0006468A"/>
    <w:rsid w:val="00090574"/>
    <w:rsid w:val="000C1C0E"/>
    <w:rsid w:val="000C548A"/>
    <w:rsid w:val="000E327F"/>
    <w:rsid w:val="000F149C"/>
    <w:rsid w:val="00146FE2"/>
    <w:rsid w:val="001B5BC2"/>
    <w:rsid w:val="001C0169"/>
    <w:rsid w:val="001C71BC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A7076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1A75"/>
    <w:rsid w:val="00592EA5"/>
    <w:rsid w:val="00595B52"/>
    <w:rsid w:val="00596808"/>
    <w:rsid w:val="005A3170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149A"/>
    <w:rsid w:val="00722F0D"/>
    <w:rsid w:val="007243A3"/>
    <w:rsid w:val="0074420E"/>
    <w:rsid w:val="00756DFC"/>
    <w:rsid w:val="00774EA2"/>
    <w:rsid w:val="00783E26"/>
    <w:rsid w:val="007A3E0C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071B9"/>
    <w:rsid w:val="00B36F74"/>
    <w:rsid w:val="00B64B47"/>
    <w:rsid w:val="00B916A7"/>
    <w:rsid w:val="00BB0F08"/>
    <w:rsid w:val="00C002DE"/>
    <w:rsid w:val="00C53BF8"/>
    <w:rsid w:val="00C66157"/>
    <w:rsid w:val="00C66423"/>
    <w:rsid w:val="00C674FE"/>
    <w:rsid w:val="00C67501"/>
    <w:rsid w:val="00C75633"/>
    <w:rsid w:val="00C97CAA"/>
    <w:rsid w:val="00CE1C08"/>
    <w:rsid w:val="00CE2EE1"/>
    <w:rsid w:val="00CE3349"/>
    <w:rsid w:val="00CE36E5"/>
    <w:rsid w:val="00CF27F5"/>
    <w:rsid w:val="00CF3FFD"/>
    <w:rsid w:val="00D10CCF"/>
    <w:rsid w:val="00D22846"/>
    <w:rsid w:val="00D247DB"/>
    <w:rsid w:val="00D517B2"/>
    <w:rsid w:val="00D76170"/>
    <w:rsid w:val="00D768F3"/>
    <w:rsid w:val="00D77D0F"/>
    <w:rsid w:val="00DA1CF0"/>
    <w:rsid w:val="00DC1E02"/>
    <w:rsid w:val="00DC24B4"/>
    <w:rsid w:val="00DC5FB0"/>
    <w:rsid w:val="00DD1EBB"/>
    <w:rsid w:val="00DD6915"/>
    <w:rsid w:val="00DD74EE"/>
    <w:rsid w:val="00DF16DC"/>
    <w:rsid w:val="00E45211"/>
    <w:rsid w:val="00E473C5"/>
    <w:rsid w:val="00E51317"/>
    <w:rsid w:val="00E81547"/>
    <w:rsid w:val="00E84438"/>
    <w:rsid w:val="00E92863"/>
    <w:rsid w:val="00EB796D"/>
    <w:rsid w:val="00F058DC"/>
    <w:rsid w:val="00F24FC4"/>
    <w:rsid w:val="00F2676C"/>
    <w:rsid w:val="00F52941"/>
    <w:rsid w:val="00F80597"/>
    <w:rsid w:val="00F84366"/>
    <w:rsid w:val="00F85089"/>
    <w:rsid w:val="00F974C5"/>
    <w:rsid w:val="00F97562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921C7"/>
  <w15:chartTrackingRefBased/>
  <w15:docId w15:val="{7D2AD04A-0349-4594-9A8F-0E4BFD7F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customStyle="1" w:styleId="Tabletext">
    <w:name w:val="Table_text"/>
    <w:basedOn w:val="Normal"/>
    <w:rsid w:val="00DD74EE"/>
    <w:pPr>
      <w:tabs>
        <w:tab w:val="left" w:pos="284"/>
        <w:tab w:val="left" w:pos="567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SimSun" w:hAnsi="CG Times" w:cs="Simplified Arabic" w:hint="cs"/>
      <w:sz w:val="24"/>
      <w:szCs w:val="30"/>
      <w:lang w:val="en-GB" w:eastAsia="en-GB"/>
    </w:rPr>
  </w:style>
  <w:style w:type="paragraph" w:customStyle="1" w:styleId="Tablehead0">
    <w:name w:val="Table_head"/>
    <w:basedOn w:val="Tabletext"/>
    <w:next w:val="Tabletext"/>
    <w:rsid w:val="00DD74EE"/>
    <w:pPr>
      <w:keepNext/>
      <w:spacing w:before="80" w:after="80"/>
      <w:jc w:val="center"/>
    </w:pPr>
    <w:rPr>
      <w:b/>
    </w:rPr>
  </w:style>
  <w:style w:type="paragraph" w:styleId="Revision">
    <w:name w:val="Revision"/>
    <w:hidden/>
    <w:uiPriority w:val="99"/>
    <w:semiHidden/>
    <w:rsid w:val="00756DFC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2A70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100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hyperlink" Target="https://www.itu.int/md/T25-TSB-CIR-0100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san\Downloads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7</TotalTime>
  <Pages>1</Pages>
  <Words>336</Words>
  <Characters>1695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</dc:creator>
  <cp:keywords/>
  <dc:description/>
  <cp:lastModifiedBy>Braud, Olivia</cp:lastModifiedBy>
  <cp:revision>5</cp:revision>
  <cp:lastPrinted>2026-05-13T08:57:00Z</cp:lastPrinted>
  <dcterms:created xsi:type="dcterms:W3CDTF">2026-05-05T12:54:00Z</dcterms:created>
  <dcterms:modified xsi:type="dcterms:W3CDTF">2026-05-13T09:01:00Z</dcterms:modified>
</cp:coreProperties>
</file>