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26"/>
        <w:tblW w:w="9915" w:type="dxa"/>
        <w:tblLayout w:type="fixed"/>
        <w:tblCellMar>
          <w:left w:w="0" w:type="dxa"/>
          <w:right w:w="0" w:type="dxa"/>
        </w:tblCellMar>
        <w:tblLook w:val="0000" w:firstRow="0" w:lastRow="0" w:firstColumn="0" w:lastColumn="0" w:noHBand="0" w:noVBand="0"/>
      </w:tblPr>
      <w:tblGrid>
        <w:gridCol w:w="1410"/>
        <w:gridCol w:w="3260"/>
        <w:gridCol w:w="5245"/>
      </w:tblGrid>
      <w:tr w:rsidR="00024232" w14:paraId="0472F997" w14:textId="77777777" w:rsidTr="00024232">
        <w:trPr>
          <w:cantSplit/>
          <w:trHeight w:val="340"/>
        </w:trPr>
        <w:tc>
          <w:tcPr>
            <w:tcW w:w="1410" w:type="dxa"/>
          </w:tcPr>
          <w:p w14:paraId="016F7D23" w14:textId="77777777" w:rsidR="00024232" w:rsidRDefault="00024232" w:rsidP="00024232">
            <w:pPr>
              <w:tabs>
                <w:tab w:val="left" w:pos="4111"/>
              </w:tabs>
              <w:spacing w:before="10"/>
              <w:ind w:left="57"/>
              <w:rPr>
                <w:sz w:val="22"/>
              </w:rPr>
            </w:pPr>
            <w:bookmarkStart w:id="0" w:name="StartTyping_S"/>
            <w:bookmarkStart w:id="1" w:name="suitetext"/>
            <w:bookmarkStart w:id="2" w:name="text"/>
            <w:bookmarkEnd w:id="0"/>
            <w:bookmarkEnd w:id="1"/>
            <w:bookmarkEnd w:id="2"/>
            <w:r w:rsidRPr="00F1238A">
              <w:rPr>
                <w:noProof/>
                <w:lang w:val="en-US" w:eastAsia="zh-CN"/>
              </w:rPr>
              <w:drawing>
                <wp:inline distT="0" distB="0" distL="0" distR="0" wp14:anchorId="14FED2B9" wp14:editId="1CAA0FA4">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505" w:type="dxa"/>
            <w:gridSpan w:val="2"/>
            <w:vAlign w:val="center"/>
          </w:tcPr>
          <w:p w14:paraId="2D2062E9" w14:textId="77777777" w:rsidR="00024232" w:rsidRPr="00081FE5" w:rsidRDefault="00024232" w:rsidP="00024232">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4E7F4B27" w14:textId="77777777" w:rsidR="00024232" w:rsidRDefault="00024232" w:rsidP="00024232">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024232" w:rsidRPr="00043878" w14:paraId="07AD0AFC" w14:textId="77777777" w:rsidTr="00024232">
        <w:trPr>
          <w:cantSplit/>
          <w:trHeight w:val="340"/>
        </w:trPr>
        <w:tc>
          <w:tcPr>
            <w:tcW w:w="1410" w:type="dxa"/>
          </w:tcPr>
          <w:p w14:paraId="49DDCC8E" w14:textId="77777777" w:rsidR="00024232" w:rsidRPr="00043878" w:rsidRDefault="00024232" w:rsidP="00024232">
            <w:pPr>
              <w:tabs>
                <w:tab w:val="left" w:pos="4111"/>
              </w:tabs>
              <w:spacing w:before="10"/>
              <w:ind w:left="57"/>
              <w:rPr>
                <w:b/>
                <w:bCs/>
                <w:sz w:val="22"/>
                <w:szCs w:val="22"/>
              </w:rPr>
            </w:pPr>
          </w:p>
        </w:tc>
        <w:tc>
          <w:tcPr>
            <w:tcW w:w="3260" w:type="dxa"/>
          </w:tcPr>
          <w:p w14:paraId="5CFD2DFD" w14:textId="77777777" w:rsidR="00024232" w:rsidRPr="00043878" w:rsidRDefault="00024232" w:rsidP="00024232">
            <w:pPr>
              <w:tabs>
                <w:tab w:val="left" w:pos="4111"/>
              </w:tabs>
              <w:spacing w:before="0"/>
              <w:ind w:left="57"/>
              <w:rPr>
                <w:b/>
                <w:sz w:val="22"/>
                <w:szCs w:val="22"/>
              </w:rPr>
            </w:pPr>
          </w:p>
        </w:tc>
        <w:tc>
          <w:tcPr>
            <w:tcW w:w="5245" w:type="dxa"/>
          </w:tcPr>
          <w:p w14:paraId="77DA2AE8" w14:textId="77777777" w:rsidR="00024232" w:rsidRPr="00043878" w:rsidRDefault="00024232" w:rsidP="00024232">
            <w:pPr>
              <w:tabs>
                <w:tab w:val="clear" w:pos="794"/>
                <w:tab w:val="clear" w:pos="1191"/>
                <w:tab w:val="clear" w:pos="1588"/>
                <w:tab w:val="clear" w:pos="1985"/>
                <w:tab w:val="left" w:pos="284"/>
              </w:tabs>
              <w:spacing w:before="0" w:after="120"/>
              <w:ind w:left="288" w:hanging="230"/>
              <w:rPr>
                <w:sz w:val="22"/>
                <w:szCs w:val="22"/>
              </w:rPr>
            </w:pPr>
            <w:r w:rsidRPr="00043878">
              <w:rPr>
                <w:sz w:val="22"/>
                <w:szCs w:val="22"/>
              </w:rPr>
              <w:t xml:space="preserve">Ginebra, </w:t>
            </w:r>
            <w:r w:rsidRPr="00043878">
              <w:rPr>
                <w:color w:val="000000"/>
                <w:sz w:val="22"/>
                <w:szCs w:val="22"/>
                <w:lang w:val="es-ES"/>
              </w:rPr>
              <w:t>13 de febrero de 2026</w:t>
            </w:r>
          </w:p>
        </w:tc>
      </w:tr>
      <w:tr w:rsidR="00024232" w:rsidRPr="00043878" w14:paraId="7408C92E" w14:textId="77777777" w:rsidTr="00024232">
        <w:trPr>
          <w:cantSplit/>
          <w:trHeight w:val="340"/>
        </w:trPr>
        <w:tc>
          <w:tcPr>
            <w:tcW w:w="1410" w:type="dxa"/>
          </w:tcPr>
          <w:p w14:paraId="148B0D09" w14:textId="77777777" w:rsidR="00024232" w:rsidRPr="00043878" w:rsidRDefault="00024232" w:rsidP="00024232">
            <w:pPr>
              <w:tabs>
                <w:tab w:val="left" w:pos="4111"/>
              </w:tabs>
              <w:spacing w:before="10"/>
              <w:ind w:left="-15"/>
              <w:rPr>
                <w:sz w:val="22"/>
                <w:szCs w:val="22"/>
              </w:rPr>
            </w:pPr>
            <w:r w:rsidRPr="00043878">
              <w:rPr>
                <w:b/>
                <w:bCs/>
                <w:sz w:val="22"/>
                <w:szCs w:val="22"/>
              </w:rPr>
              <w:t>Ref</w:t>
            </w:r>
            <w:r w:rsidRPr="00043878">
              <w:rPr>
                <w:sz w:val="22"/>
                <w:szCs w:val="22"/>
              </w:rPr>
              <w:t>.:</w:t>
            </w:r>
          </w:p>
        </w:tc>
        <w:tc>
          <w:tcPr>
            <w:tcW w:w="3260" w:type="dxa"/>
          </w:tcPr>
          <w:p w14:paraId="357FE18B" w14:textId="77777777" w:rsidR="00024232" w:rsidRPr="00043878" w:rsidRDefault="00024232" w:rsidP="00024232">
            <w:pPr>
              <w:tabs>
                <w:tab w:val="left" w:pos="4111"/>
              </w:tabs>
              <w:spacing w:before="0"/>
              <w:ind w:left="57"/>
              <w:rPr>
                <w:b/>
                <w:sz w:val="22"/>
                <w:szCs w:val="22"/>
              </w:rPr>
            </w:pPr>
            <w:r w:rsidRPr="00043878">
              <w:rPr>
                <w:b/>
                <w:sz w:val="22"/>
                <w:szCs w:val="22"/>
              </w:rPr>
              <w:t xml:space="preserve">Circular TSB </w:t>
            </w:r>
            <w:r w:rsidRPr="00043878">
              <w:rPr>
                <w:b/>
                <w:bCs/>
                <w:color w:val="000000"/>
                <w:sz w:val="22"/>
                <w:szCs w:val="22"/>
                <w:lang w:val="es-ES"/>
              </w:rPr>
              <w:t>106</w:t>
            </w:r>
          </w:p>
          <w:p w14:paraId="05FC7215" w14:textId="77777777" w:rsidR="00024232" w:rsidRPr="00043878" w:rsidRDefault="00024232" w:rsidP="00024232">
            <w:pPr>
              <w:tabs>
                <w:tab w:val="left" w:pos="4111"/>
              </w:tabs>
              <w:spacing w:before="0"/>
              <w:ind w:left="57"/>
              <w:rPr>
                <w:b/>
                <w:sz w:val="22"/>
                <w:szCs w:val="22"/>
              </w:rPr>
            </w:pPr>
            <w:r w:rsidRPr="00043878">
              <w:rPr>
                <w:color w:val="000000"/>
                <w:sz w:val="22"/>
                <w:szCs w:val="22"/>
                <w:lang w:val="es-ES"/>
              </w:rPr>
              <w:t>SG20/CB</w:t>
            </w:r>
          </w:p>
        </w:tc>
        <w:tc>
          <w:tcPr>
            <w:tcW w:w="5245" w:type="dxa"/>
            <w:vMerge w:val="restart"/>
          </w:tcPr>
          <w:p w14:paraId="40B14846" w14:textId="77777777" w:rsidR="00024232" w:rsidRPr="00043878" w:rsidRDefault="00024232" w:rsidP="00024232">
            <w:pPr>
              <w:tabs>
                <w:tab w:val="clear" w:pos="794"/>
                <w:tab w:val="clear" w:pos="1191"/>
                <w:tab w:val="clear" w:pos="1588"/>
                <w:tab w:val="clear" w:pos="1985"/>
                <w:tab w:val="left" w:pos="284"/>
              </w:tabs>
              <w:spacing w:before="0"/>
              <w:ind w:left="284" w:hanging="227"/>
              <w:rPr>
                <w:b/>
                <w:bCs/>
                <w:sz w:val="22"/>
                <w:szCs w:val="22"/>
              </w:rPr>
            </w:pPr>
            <w:bookmarkStart w:id="3" w:name="Addressee_S"/>
            <w:bookmarkEnd w:id="3"/>
            <w:r w:rsidRPr="00043878">
              <w:rPr>
                <w:b/>
                <w:bCs/>
                <w:sz w:val="22"/>
                <w:szCs w:val="22"/>
              </w:rPr>
              <w:t>A:</w:t>
            </w:r>
          </w:p>
          <w:p w14:paraId="6C2E8B8E" w14:textId="77777777" w:rsidR="00024232" w:rsidRPr="00043878" w:rsidRDefault="00024232" w:rsidP="00024232">
            <w:pPr>
              <w:tabs>
                <w:tab w:val="clear" w:pos="794"/>
                <w:tab w:val="clear" w:pos="1191"/>
                <w:tab w:val="clear" w:pos="1588"/>
                <w:tab w:val="clear" w:pos="1985"/>
                <w:tab w:val="left" w:pos="284"/>
              </w:tabs>
              <w:spacing w:before="0"/>
              <w:ind w:left="284" w:hanging="227"/>
              <w:rPr>
                <w:sz w:val="22"/>
                <w:szCs w:val="22"/>
              </w:rPr>
            </w:pPr>
            <w:r w:rsidRPr="00043878">
              <w:rPr>
                <w:sz w:val="22"/>
                <w:szCs w:val="22"/>
              </w:rPr>
              <w:t>-</w:t>
            </w:r>
            <w:r w:rsidRPr="00043878">
              <w:rPr>
                <w:sz w:val="22"/>
                <w:szCs w:val="22"/>
              </w:rPr>
              <w:tab/>
              <w:t>las Administraciones de los Estados Miembros de la Unión;</w:t>
            </w:r>
          </w:p>
          <w:p w14:paraId="50ACB687" w14:textId="77777777" w:rsidR="00024232" w:rsidRPr="00043878" w:rsidRDefault="00024232" w:rsidP="00024232">
            <w:pPr>
              <w:tabs>
                <w:tab w:val="clear" w:pos="794"/>
                <w:tab w:val="clear" w:pos="1191"/>
                <w:tab w:val="clear" w:pos="1588"/>
                <w:tab w:val="clear" w:pos="1985"/>
                <w:tab w:val="left" w:pos="284"/>
              </w:tabs>
              <w:spacing w:before="0"/>
              <w:ind w:left="284" w:hanging="227"/>
              <w:rPr>
                <w:sz w:val="22"/>
                <w:szCs w:val="22"/>
              </w:rPr>
            </w:pPr>
            <w:r w:rsidRPr="00043878">
              <w:rPr>
                <w:sz w:val="22"/>
                <w:szCs w:val="22"/>
              </w:rPr>
              <w:t>-</w:t>
            </w:r>
            <w:r w:rsidRPr="00043878">
              <w:rPr>
                <w:sz w:val="22"/>
                <w:szCs w:val="22"/>
              </w:rPr>
              <w:tab/>
              <w:t>el Estado de Palestina (Res. 99 (Rev. Dubái, 2018))</w:t>
            </w:r>
          </w:p>
          <w:p w14:paraId="0CE34146" w14:textId="77777777" w:rsidR="00024232" w:rsidRPr="00043878" w:rsidRDefault="00024232" w:rsidP="00024232">
            <w:pPr>
              <w:tabs>
                <w:tab w:val="left" w:pos="4111"/>
              </w:tabs>
              <w:spacing w:before="0"/>
              <w:rPr>
                <w:b/>
                <w:bCs/>
                <w:sz w:val="22"/>
                <w:szCs w:val="22"/>
              </w:rPr>
            </w:pPr>
            <w:r w:rsidRPr="00043878">
              <w:rPr>
                <w:b/>
                <w:bCs/>
                <w:sz w:val="22"/>
                <w:szCs w:val="22"/>
              </w:rPr>
              <w:t>Copia a:</w:t>
            </w:r>
          </w:p>
          <w:p w14:paraId="054BC0F2" w14:textId="77777777" w:rsidR="00024232" w:rsidRPr="00043878" w:rsidRDefault="00024232" w:rsidP="00024232">
            <w:pPr>
              <w:tabs>
                <w:tab w:val="clear" w:pos="794"/>
                <w:tab w:val="clear" w:pos="1191"/>
                <w:tab w:val="clear" w:pos="1588"/>
                <w:tab w:val="clear" w:pos="1985"/>
                <w:tab w:val="left" w:pos="284"/>
              </w:tabs>
              <w:spacing w:before="0"/>
              <w:ind w:left="284" w:hanging="227"/>
              <w:rPr>
                <w:sz w:val="22"/>
                <w:szCs w:val="22"/>
              </w:rPr>
            </w:pPr>
            <w:r w:rsidRPr="00043878">
              <w:rPr>
                <w:sz w:val="22"/>
                <w:szCs w:val="22"/>
              </w:rPr>
              <w:t>-</w:t>
            </w:r>
            <w:r w:rsidRPr="00043878">
              <w:rPr>
                <w:sz w:val="22"/>
                <w:szCs w:val="22"/>
              </w:rPr>
              <w:tab/>
              <w:t>los Miembros del Sector UIT</w:t>
            </w:r>
            <w:r w:rsidRPr="00043878">
              <w:rPr>
                <w:sz w:val="22"/>
                <w:szCs w:val="22"/>
              </w:rPr>
              <w:noBreakHyphen/>
              <w:t>T;</w:t>
            </w:r>
          </w:p>
          <w:p w14:paraId="4635C554" w14:textId="77777777" w:rsidR="00024232" w:rsidRPr="00043878" w:rsidRDefault="00024232" w:rsidP="00024232">
            <w:pPr>
              <w:tabs>
                <w:tab w:val="clear" w:pos="794"/>
                <w:tab w:val="clear" w:pos="1191"/>
                <w:tab w:val="clear" w:pos="1588"/>
                <w:tab w:val="clear" w:pos="1985"/>
                <w:tab w:val="left" w:pos="284"/>
              </w:tabs>
              <w:spacing w:before="0"/>
              <w:ind w:left="284" w:hanging="227"/>
              <w:rPr>
                <w:sz w:val="22"/>
                <w:szCs w:val="22"/>
              </w:rPr>
            </w:pPr>
            <w:r w:rsidRPr="00043878">
              <w:rPr>
                <w:sz w:val="22"/>
                <w:szCs w:val="22"/>
              </w:rPr>
              <w:t>-</w:t>
            </w:r>
            <w:r w:rsidRPr="00043878">
              <w:rPr>
                <w:sz w:val="22"/>
                <w:szCs w:val="22"/>
              </w:rPr>
              <w:tab/>
              <w:t>los Asociados de la Comisión de Estudio 20 del UIT</w:t>
            </w:r>
            <w:r w:rsidRPr="00043878">
              <w:rPr>
                <w:sz w:val="22"/>
                <w:szCs w:val="22"/>
              </w:rPr>
              <w:noBreakHyphen/>
              <w:t>T;</w:t>
            </w:r>
          </w:p>
          <w:p w14:paraId="17DFF0F3" w14:textId="77777777" w:rsidR="00024232" w:rsidRPr="00043878" w:rsidRDefault="00024232" w:rsidP="00024232">
            <w:pPr>
              <w:tabs>
                <w:tab w:val="clear" w:pos="794"/>
                <w:tab w:val="clear" w:pos="1191"/>
                <w:tab w:val="clear" w:pos="1588"/>
                <w:tab w:val="clear" w:pos="1985"/>
                <w:tab w:val="left" w:pos="284"/>
              </w:tabs>
              <w:spacing w:before="0"/>
              <w:ind w:left="284" w:hanging="227"/>
              <w:rPr>
                <w:sz w:val="22"/>
                <w:szCs w:val="22"/>
              </w:rPr>
            </w:pPr>
            <w:r w:rsidRPr="00043878">
              <w:rPr>
                <w:sz w:val="22"/>
                <w:szCs w:val="22"/>
              </w:rPr>
              <w:t>-</w:t>
            </w:r>
            <w:r w:rsidRPr="00043878">
              <w:rPr>
                <w:sz w:val="22"/>
                <w:szCs w:val="22"/>
              </w:rPr>
              <w:tab/>
              <w:t>las Instituciones Académicas del UIT-T;</w:t>
            </w:r>
          </w:p>
          <w:p w14:paraId="052B4E0F" w14:textId="77777777" w:rsidR="00024232" w:rsidRPr="00043878" w:rsidRDefault="00024232" w:rsidP="00024232">
            <w:pPr>
              <w:tabs>
                <w:tab w:val="clear" w:pos="794"/>
                <w:tab w:val="clear" w:pos="1191"/>
                <w:tab w:val="clear" w:pos="1588"/>
                <w:tab w:val="clear" w:pos="1985"/>
                <w:tab w:val="left" w:pos="284"/>
              </w:tabs>
              <w:spacing w:before="0"/>
              <w:ind w:left="284" w:hanging="227"/>
              <w:rPr>
                <w:sz w:val="22"/>
                <w:szCs w:val="22"/>
              </w:rPr>
            </w:pPr>
            <w:r w:rsidRPr="00043878">
              <w:rPr>
                <w:sz w:val="22"/>
                <w:szCs w:val="22"/>
              </w:rPr>
              <w:t>-</w:t>
            </w:r>
            <w:r w:rsidRPr="00043878">
              <w:rPr>
                <w:sz w:val="22"/>
                <w:szCs w:val="22"/>
              </w:rPr>
              <w:tab/>
              <w:t xml:space="preserve">el </w:t>
            </w:r>
            <w:proofErr w:type="gramStart"/>
            <w:r w:rsidRPr="00043878">
              <w:rPr>
                <w:sz w:val="22"/>
                <w:szCs w:val="22"/>
              </w:rPr>
              <w:t>Presidente</w:t>
            </w:r>
            <w:proofErr w:type="gramEnd"/>
            <w:r w:rsidRPr="00043878">
              <w:rPr>
                <w:sz w:val="22"/>
                <w:szCs w:val="22"/>
              </w:rPr>
              <w:t xml:space="preserve"> y a los </w:t>
            </w:r>
            <w:proofErr w:type="gramStart"/>
            <w:r w:rsidRPr="00043878">
              <w:rPr>
                <w:sz w:val="22"/>
                <w:szCs w:val="22"/>
              </w:rPr>
              <w:t>Vicepresidentes</w:t>
            </w:r>
            <w:proofErr w:type="gramEnd"/>
            <w:r w:rsidRPr="00043878">
              <w:rPr>
                <w:sz w:val="22"/>
                <w:szCs w:val="22"/>
              </w:rPr>
              <w:t xml:space="preserve"> de la</w:t>
            </w:r>
            <w:r w:rsidRPr="00043878">
              <w:rPr>
                <w:sz w:val="22"/>
                <w:szCs w:val="22"/>
              </w:rPr>
              <w:br/>
              <w:t>Comisión de Estudio 20 del UIT;</w:t>
            </w:r>
          </w:p>
          <w:p w14:paraId="695E3644" w14:textId="77777777" w:rsidR="00024232" w:rsidRPr="00043878" w:rsidRDefault="00024232" w:rsidP="00024232">
            <w:pPr>
              <w:tabs>
                <w:tab w:val="clear" w:pos="794"/>
                <w:tab w:val="clear" w:pos="1191"/>
                <w:tab w:val="clear" w:pos="1588"/>
                <w:tab w:val="clear" w:pos="1985"/>
                <w:tab w:val="left" w:pos="284"/>
              </w:tabs>
              <w:spacing w:before="0"/>
              <w:ind w:left="284" w:hanging="227"/>
              <w:rPr>
                <w:sz w:val="22"/>
                <w:szCs w:val="22"/>
              </w:rPr>
            </w:pPr>
            <w:r w:rsidRPr="00043878">
              <w:rPr>
                <w:sz w:val="22"/>
                <w:szCs w:val="22"/>
              </w:rPr>
              <w:t>-</w:t>
            </w:r>
            <w:r w:rsidRPr="00043878">
              <w:rPr>
                <w:sz w:val="22"/>
                <w:szCs w:val="22"/>
              </w:rPr>
              <w:tab/>
              <w:t xml:space="preserve">el </w:t>
            </w:r>
            <w:proofErr w:type="gramStart"/>
            <w:r w:rsidRPr="00043878">
              <w:rPr>
                <w:sz w:val="22"/>
                <w:szCs w:val="22"/>
              </w:rPr>
              <w:t>Director</w:t>
            </w:r>
            <w:proofErr w:type="gramEnd"/>
            <w:r w:rsidRPr="00043878">
              <w:rPr>
                <w:sz w:val="22"/>
                <w:szCs w:val="22"/>
              </w:rPr>
              <w:t xml:space="preserve"> de la Oficina de Desarrollo de las Telecomunicaciones;</w:t>
            </w:r>
          </w:p>
          <w:p w14:paraId="5E54BDF8" w14:textId="77777777" w:rsidR="00024232" w:rsidRPr="00043878" w:rsidRDefault="00024232" w:rsidP="00024232">
            <w:pPr>
              <w:tabs>
                <w:tab w:val="clear" w:pos="794"/>
                <w:tab w:val="clear" w:pos="1191"/>
                <w:tab w:val="clear" w:pos="1588"/>
                <w:tab w:val="clear" w:pos="1985"/>
                <w:tab w:val="left" w:pos="284"/>
              </w:tabs>
              <w:spacing w:before="0"/>
              <w:ind w:left="284" w:hanging="227"/>
              <w:rPr>
                <w:sz w:val="22"/>
                <w:szCs w:val="22"/>
              </w:rPr>
            </w:pPr>
            <w:r w:rsidRPr="00043878">
              <w:rPr>
                <w:sz w:val="22"/>
                <w:szCs w:val="22"/>
              </w:rPr>
              <w:t>-</w:t>
            </w:r>
            <w:r w:rsidRPr="00043878">
              <w:rPr>
                <w:sz w:val="22"/>
                <w:szCs w:val="22"/>
              </w:rPr>
              <w:tab/>
              <w:t xml:space="preserve">el </w:t>
            </w:r>
            <w:proofErr w:type="gramStart"/>
            <w:r w:rsidRPr="00043878">
              <w:rPr>
                <w:sz w:val="22"/>
                <w:szCs w:val="22"/>
              </w:rPr>
              <w:t>Director</w:t>
            </w:r>
            <w:proofErr w:type="gramEnd"/>
            <w:r w:rsidRPr="00043878">
              <w:rPr>
                <w:sz w:val="22"/>
                <w:szCs w:val="22"/>
              </w:rPr>
              <w:t xml:space="preserve"> de la Oficina de Radiocomunicaciones</w:t>
            </w:r>
          </w:p>
        </w:tc>
      </w:tr>
      <w:tr w:rsidR="00024232" w:rsidRPr="00043878" w14:paraId="07813AF9" w14:textId="77777777" w:rsidTr="00024232">
        <w:trPr>
          <w:cantSplit/>
        </w:trPr>
        <w:tc>
          <w:tcPr>
            <w:tcW w:w="1410" w:type="dxa"/>
          </w:tcPr>
          <w:p w14:paraId="101ACDBE" w14:textId="77777777" w:rsidR="00024232" w:rsidRPr="00043878" w:rsidRDefault="00024232" w:rsidP="00024232">
            <w:pPr>
              <w:tabs>
                <w:tab w:val="left" w:pos="4111"/>
              </w:tabs>
              <w:spacing w:before="10"/>
              <w:ind w:left="-15"/>
              <w:rPr>
                <w:sz w:val="22"/>
                <w:szCs w:val="22"/>
              </w:rPr>
            </w:pPr>
            <w:r w:rsidRPr="00043878">
              <w:rPr>
                <w:sz w:val="22"/>
                <w:szCs w:val="22"/>
              </w:rPr>
              <w:t>Tel.:</w:t>
            </w:r>
          </w:p>
        </w:tc>
        <w:tc>
          <w:tcPr>
            <w:tcW w:w="3260" w:type="dxa"/>
          </w:tcPr>
          <w:p w14:paraId="6F53B861" w14:textId="77777777" w:rsidR="00024232" w:rsidRPr="00043878" w:rsidRDefault="00024232" w:rsidP="00024232">
            <w:pPr>
              <w:tabs>
                <w:tab w:val="left" w:pos="4111"/>
              </w:tabs>
              <w:spacing w:before="0"/>
              <w:ind w:left="57"/>
              <w:rPr>
                <w:rStyle w:val="Hyperlink"/>
                <w:sz w:val="22"/>
                <w:szCs w:val="22"/>
              </w:rPr>
            </w:pPr>
            <w:r w:rsidRPr="00043878">
              <w:rPr>
                <w:sz w:val="22"/>
                <w:szCs w:val="22"/>
              </w:rPr>
              <w:t>+41 22 730 6301</w:t>
            </w:r>
          </w:p>
        </w:tc>
        <w:tc>
          <w:tcPr>
            <w:tcW w:w="5245" w:type="dxa"/>
            <w:vMerge/>
          </w:tcPr>
          <w:p w14:paraId="79D55094" w14:textId="77777777" w:rsidR="00024232" w:rsidRPr="00043878" w:rsidRDefault="00024232" w:rsidP="00024232">
            <w:pPr>
              <w:tabs>
                <w:tab w:val="left" w:pos="226"/>
                <w:tab w:val="left" w:pos="510"/>
              </w:tabs>
              <w:spacing w:before="0"/>
              <w:ind w:left="226" w:hanging="169"/>
              <w:rPr>
                <w:b/>
                <w:sz w:val="22"/>
                <w:szCs w:val="22"/>
              </w:rPr>
            </w:pPr>
          </w:p>
        </w:tc>
      </w:tr>
      <w:tr w:rsidR="00024232" w:rsidRPr="00043878" w14:paraId="35F157AF" w14:textId="77777777" w:rsidTr="00024232">
        <w:trPr>
          <w:cantSplit/>
        </w:trPr>
        <w:tc>
          <w:tcPr>
            <w:tcW w:w="1410" w:type="dxa"/>
          </w:tcPr>
          <w:p w14:paraId="03C02A04" w14:textId="77777777" w:rsidR="00024232" w:rsidRPr="00043878" w:rsidRDefault="00024232" w:rsidP="00024232">
            <w:pPr>
              <w:tabs>
                <w:tab w:val="left" w:pos="4111"/>
              </w:tabs>
              <w:spacing w:before="10"/>
              <w:ind w:left="-15"/>
              <w:rPr>
                <w:sz w:val="22"/>
                <w:szCs w:val="22"/>
              </w:rPr>
            </w:pPr>
            <w:r w:rsidRPr="00043878">
              <w:rPr>
                <w:sz w:val="22"/>
                <w:szCs w:val="22"/>
              </w:rPr>
              <w:t>Fax:</w:t>
            </w:r>
          </w:p>
        </w:tc>
        <w:tc>
          <w:tcPr>
            <w:tcW w:w="3260" w:type="dxa"/>
          </w:tcPr>
          <w:p w14:paraId="7E18A0D5" w14:textId="77777777" w:rsidR="00024232" w:rsidRPr="00043878" w:rsidRDefault="00024232" w:rsidP="00024232">
            <w:pPr>
              <w:tabs>
                <w:tab w:val="left" w:pos="4111"/>
              </w:tabs>
              <w:spacing w:before="0"/>
              <w:ind w:left="57"/>
              <w:rPr>
                <w:rStyle w:val="Hyperlink"/>
                <w:sz w:val="22"/>
                <w:szCs w:val="22"/>
              </w:rPr>
            </w:pPr>
            <w:r w:rsidRPr="00043878">
              <w:rPr>
                <w:sz w:val="22"/>
                <w:szCs w:val="22"/>
              </w:rPr>
              <w:t>+41 22 730 5853</w:t>
            </w:r>
          </w:p>
        </w:tc>
        <w:tc>
          <w:tcPr>
            <w:tcW w:w="5245" w:type="dxa"/>
            <w:vMerge/>
          </w:tcPr>
          <w:p w14:paraId="11DF133A" w14:textId="77777777" w:rsidR="00024232" w:rsidRPr="00043878" w:rsidRDefault="00024232" w:rsidP="00024232">
            <w:pPr>
              <w:tabs>
                <w:tab w:val="left" w:pos="226"/>
                <w:tab w:val="left" w:pos="510"/>
              </w:tabs>
              <w:spacing w:before="0"/>
              <w:ind w:left="226" w:hanging="169"/>
              <w:rPr>
                <w:b/>
                <w:sz w:val="22"/>
                <w:szCs w:val="22"/>
              </w:rPr>
            </w:pPr>
          </w:p>
        </w:tc>
      </w:tr>
      <w:tr w:rsidR="00024232" w:rsidRPr="00043878" w14:paraId="490099C6" w14:textId="77777777" w:rsidTr="00024232">
        <w:trPr>
          <w:cantSplit/>
          <w:trHeight w:val="2508"/>
        </w:trPr>
        <w:tc>
          <w:tcPr>
            <w:tcW w:w="1410" w:type="dxa"/>
          </w:tcPr>
          <w:p w14:paraId="06BDB696" w14:textId="77777777" w:rsidR="00024232" w:rsidRPr="00043878" w:rsidRDefault="00024232" w:rsidP="00024232">
            <w:pPr>
              <w:tabs>
                <w:tab w:val="left" w:pos="4111"/>
              </w:tabs>
              <w:spacing w:before="10"/>
              <w:ind w:left="-15"/>
              <w:rPr>
                <w:sz w:val="22"/>
                <w:szCs w:val="22"/>
              </w:rPr>
            </w:pPr>
            <w:r w:rsidRPr="00043878">
              <w:rPr>
                <w:sz w:val="22"/>
                <w:szCs w:val="22"/>
              </w:rPr>
              <w:t>Correo-e:</w:t>
            </w:r>
          </w:p>
        </w:tc>
        <w:tc>
          <w:tcPr>
            <w:tcW w:w="3260" w:type="dxa"/>
          </w:tcPr>
          <w:p w14:paraId="37123C16" w14:textId="77777777" w:rsidR="00024232" w:rsidRPr="00043878" w:rsidRDefault="00024232" w:rsidP="00024232">
            <w:pPr>
              <w:tabs>
                <w:tab w:val="left" w:pos="4111"/>
              </w:tabs>
              <w:spacing w:before="0"/>
              <w:ind w:left="57"/>
              <w:rPr>
                <w:sz w:val="22"/>
                <w:szCs w:val="22"/>
              </w:rPr>
            </w:pPr>
            <w:hyperlink r:id="rId9" w:history="1">
              <w:r w:rsidRPr="00043878">
                <w:rPr>
                  <w:rStyle w:val="Hyperlink"/>
                  <w:sz w:val="22"/>
                  <w:szCs w:val="22"/>
                </w:rPr>
                <w:t>tsbsg20@itu.int</w:t>
              </w:r>
            </w:hyperlink>
            <w:r w:rsidRPr="00043878">
              <w:rPr>
                <w:sz w:val="22"/>
                <w:szCs w:val="22"/>
              </w:rPr>
              <w:t xml:space="preserve"> </w:t>
            </w:r>
          </w:p>
        </w:tc>
        <w:tc>
          <w:tcPr>
            <w:tcW w:w="5245" w:type="dxa"/>
            <w:vMerge/>
          </w:tcPr>
          <w:p w14:paraId="5197D62F" w14:textId="77777777" w:rsidR="00024232" w:rsidRPr="00043878" w:rsidRDefault="00024232" w:rsidP="00024232">
            <w:pPr>
              <w:tabs>
                <w:tab w:val="clear" w:pos="794"/>
                <w:tab w:val="clear" w:pos="1191"/>
                <w:tab w:val="clear" w:pos="1588"/>
                <w:tab w:val="clear" w:pos="1985"/>
                <w:tab w:val="left" w:pos="226"/>
                <w:tab w:val="left" w:pos="510"/>
              </w:tabs>
              <w:spacing w:before="0"/>
              <w:ind w:left="226" w:hanging="169"/>
              <w:rPr>
                <w:sz w:val="22"/>
                <w:szCs w:val="22"/>
              </w:rPr>
            </w:pPr>
          </w:p>
        </w:tc>
      </w:tr>
      <w:tr w:rsidR="00024232" w:rsidRPr="00043878" w14:paraId="6EF7016E" w14:textId="77777777" w:rsidTr="00024232">
        <w:trPr>
          <w:cantSplit/>
        </w:trPr>
        <w:tc>
          <w:tcPr>
            <w:tcW w:w="1410" w:type="dxa"/>
          </w:tcPr>
          <w:p w14:paraId="37180C75" w14:textId="0DB31D67" w:rsidR="00024232" w:rsidRPr="00043878" w:rsidRDefault="00024232" w:rsidP="00024232">
            <w:pPr>
              <w:tabs>
                <w:tab w:val="left" w:pos="4111"/>
              </w:tabs>
              <w:spacing w:before="10"/>
              <w:ind w:left="-15"/>
              <w:rPr>
                <w:sz w:val="22"/>
                <w:szCs w:val="22"/>
              </w:rPr>
            </w:pPr>
            <w:r w:rsidRPr="00043878">
              <w:rPr>
                <w:b/>
                <w:bCs/>
                <w:sz w:val="22"/>
                <w:szCs w:val="22"/>
              </w:rPr>
              <w:t>Asunto</w:t>
            </w:r>
            <w:r w:rsidRPr="00043878">
              <w:rPr>
                <w:sz w:val="22"/>
                <w:szCs w:val="22"/>
              </w:rPr>
              <w:t>:</w:t>
            </w:r>
          </w:p>
        </w:tc>
        <w:tc>
          <w:tcPr>
            <w:tcW w:w="8505" w:type="dxa"/>
            <w:gridSpan w:val="2"/>
          </w:tcPr>
          <w:p w14:paraId="30A2C1F1" w14:textId="77777777" w:rsidR="00024232" w:rsidRPr="00043878" w:rsidRDefault="00024232" w:rsidP="00024232">
            <w:pPr>
              <w:tabs>
                <w:tab w:val="left" w:pos="4111"/>
              </w:tabs>
              <w:spacing w:before="0"/>
              <w:ind w:left="57"/>
              <w:rPr>
                <w:b/>
                <w:sz w:val="22"/>
                <w:szCs w:val="22"/>
              </w:rPr>
            </w:pPr>
            <w:r w:rsidRPr="00043878">
              <w:rPr>
                <w:b/>
                <w:bCs/>
                <w:color w:val="000000"/>
                <w:sz w:val="22"/>
                <w:szCs w:val="22"/>
                <w:lang w:val="es-ES"/>
              </w:rPr>
              <w:t>Consulta a los Estados Miembros sobre los proyectos determinados de Recomendación UIT</w:t>
            </w:r>
            <w:r w:rsidRPr="00043878">
              <w:rPr>
                <w:b/>
                <w:bCs/>
                <w:color w:val="000000"/>
                <w:sz w:val="22"/>
                <w:szCs w:val="22"/>
                <w:lang w:val="es-ES"/>
              </w:rPr>
              <w:noBreakHyphen/>
              <w:t xml:space="preserve">T Y.4241 (antes </w:t>
            </w:r>
            <w:proofErr w:type="spellStart"/>
            <w:r w:rsidRPr="00043878">
              <w:rPr>
                <w:b/>
                <w:bCs/>
                <w:color w:val="000000"/>
                <w:sz w:val="22"/>
                <w:szCs w:val="22"/>
                <w:lang w:val="es-ES"/>
              </w:rPr>
              <w:t>Y.dt</w:t>
            </w:r>
            <w:proofErr w:type="spellEnd"/>
            <w:r w:rsidRPr="00043878">
              <w:rPr>
                <w:b/>
                <w:bCs/>
                <w:color w:val="000000"/>
                <w:sz w:val="22"/>
                <w:szCs w:val="22"/>
                <w:lang w:val="es-ES"/>
              </w:rPr>
              <w:t xml:space="preserve">- </w:t>
            </w:r>
            <w:proofErr w:type="spellStart"/>
            <w:r w:rsidRPr="00043878">
              <w:rPr>
                <w:b/>
                <w:bCs/>
                <w:color w:val="000000"/>
                <w:sz w:val="22"/>
                <w:szCs w:val="22"/>
                <w:lang w:val="es-ES"/>
              </w:rPr>
              <w:t>SComCam</w:t>
            </w:r>
            <w:proofErr w:type="spellEnd"/>
            <w:r w:rsidRPr="00043878">
              <w:rPr>
                <w:b/>
                <w:bCs/>
                <w:color w:val="000000"/>
                <w:sz w:val="22"/>
                <w:szCs w:val="22"/>
                <w:lang w:val="es-ES"/>
              </w:rPr>
              <w:t xml:space="preserve">), UIT-T Y.4242 (antes </w:t>
            </w:r>
            <w:proofErr w:type="spellStart"/>
            <w:r w:rsidRPr="00043878">
              <w:rPr>
                <w:b/>
                <w:bCs/>
                <w:color w:val="000000"/>
                <w:sz w:val="22"/>
                <w:szCs w:val="22"/>
                <w:lang w:val="es-ES"/>
              </w:rPr>
              <w:t>Y.energy-storage</w:t>
            </w:r>
            <w:proofErr w:type="spellEnd"/>
            <w:r w:rsidRPr="00043878">
              <w:rPr>
                <w:b/>
                <w:bCs/>
                <w:color w:val="000000"/>
                <w:sz w:val="22"/>
                <w:szCs w:val="22"/>
                <w:lang w:val="es-ES"/>
              </w:rPr>
              <w:t xml:space="preserve">), UIT-T Y.4243 (antes </w:t>
            </w:r>
            <w:proofErr w:type="spellStart"/>
            <w:r w:rsidRPr="00043878">
              <w:rPr>
                <w:b/>
                <w:bCs/>
                <w:color w:val="000000"/>
                <w:sz w:val="22"/>
                <w:szCs w:val="22"/>
                <w:lang w:val="es-ES"/>
              </w:rPr>
              <w:t>Y.IoT-smartschool</w:t>
            </w:r>
            <w:proofErr w:type="spellEnd"/>
            <w:r w:rsidRPr="00043878">
              <w:rPr>
                <w:b/>
                <w:bCs/>
                <w:color w:val="000000"/>
                <w:sz w:val="22"/>
                <w:szCs w:val="22"/>
                <w:lang w:val="es-ES"/>
              </w:rPr>
              <w:t>), UIT-T Y.4244 (antes Y.EPWS-</w:t>
            </w:r>
            <w:proofErr w:type="spellStart"/>
            <w:r w:rsidRPr="00043878">
              <w:rPr>
                <w:b/>
                <w:bCs/>
                <w:color w:val="000000"/>
                <w:sz w:val="22"/>
                <w:szCs w:val="22"/>
                <w:lang w:val="es-ES"/>
              </w:rPr>
              <w:t>fc</w:t>
            </w:r>
            <w:proofErr w:type="spellEnd"/>
            <w:r w:rsidRPr="00043878">
              <w:rPr>
                <w:b/>
                <w:bCs/>
                <w:color w:val="000000"/>
                <w:sz w:val="22"/>
                <w:szCs w:val="22"/>
                <w:lang w:val="es-ES"/>
              </w:rPr>
              <w:t xml:space="preserve">), UIT-T Y.4420, UIT-T Y.4512 (antes Y.SC-DESMS), UIT-T Y.4614 (antes Y.CL-EDM), UIT-T Y.4815 (antes </w:t>
            </w:r>
            <w:proofErr w:type="spellStart"/>
            <w:r w:rsidRPr="00043878">
              <w:rPr>
                <w:b/>
                <w:bCs/>
                <w:color w:val="000000"/>
                <w:sz w:val="22"/>
                <w:szCs w:val="22"/>
                <w:lang w:val="es-ES"/>
              </w:rPr>
              <w:t>Y.uas-dc-fr</w:t>
            </w:r>
            <w:proofErr w:type="spellEnd"/>
            <w:r w:rsidRPr="00043878">
              <w:rPr>
                <w:b/>
                <w:bCs/>
                <w:color w:val="000000"/>
                <w:sz w:val="22"/>
                <w:szCs w:val="22"/>
                <w:lang w:val="es-ES"/>
              </w:rPr>
              <w:t xml:space="preserve">), UIT-T Y.4816 (antes </w:t>
            </w:r>
            <w:proofErr w:type="spellStart"/>
            <w:r w:rsidRPr="00043878">
              <w:rPr>
                <w:b/>
                <w:bCs/>
                <w:color w:val="000000"/>
                <w:sz w:val="22"/>
                <w:szCs w:val="22"/>
                <w:lang w:val="es-ES"/>
              </w:rPr>
              <w:t>Y.bsis-sec</w:t>
            </w:r>
            <w:proofErr w:type="spellEnd"/>
            <w:r w:rsidRPr="00043878">
              <w:rPr>
                <w:b/>
                <w:bCs/>
                <w:color w:val="000000"/>
                <w:sz w:val="22"/>
                <w:szCs w:val="22"/>
                <w:lang w:val="es-ES"/>
              </w:rPr>
              <w:t>) y UIT-T Y.4912 (antes Y.SNPG-</w:t>
            </w:r>
            <w:proofErr w:type="spellStart"/>
            <w:r w:rsidRPr="00043878">
              <w:rPr>
                <w:b/>
                <w:bCs/>
                <w:color w:val="000000"/>
                <w:sz w:val="22"/>
                <w:szCs w:val="22"/>
                <w:lang w:val="es-ES"/>
              </w:rPr>
              <w:t>ref</w:t>
            </w:r>
            <w:proofErr w:type="spellEnd"/>
            <w:r w:rsidRPr="00043878">
              <w:rPr>
                <w:b/>
                <w:bCs/>
                <w:color w:val="000000"/>
                <w:sz w:val="22"/>
                <w:szCs w:val="22"/>
                <w:lang w:val="es-ES"/>
              </w:rPr>
              <w:t>), propuestos para aprobación en la reunión de la Comisión de Estudio 20 del UIT-T (Ginebra, 12-21 de mayo de 2026)</w:t>
            </w:r>
          </w:p>
        </w:tc>
      </w:tr>
    </w:tbl>
    <w:p w14:paraId="6D52C5AA" w14:textId="42CCC84E" w:rsidR="00C34772" w:rsidRPr="00043878" w:rsidRDefault="00356436" w:rsidP="00024232">
      <w:pPr>
        <w:spacing w:before="110"/>
        <w:rPr>
          <w:sz w:val="22"/>
          <w:szCs w:val="22"/>
        </w:rPr>
      </w:pPr>
      <w:r w:rsidRPr="00043878">
        <w:rPr>
          <w:sz w:val="22"/>
          <w:szCs w:val="22"/>
        </w:rPr>
        <w:t>Estimado señor/señora</w:t>
      </w:r>
      <w:r w:rsidR="00043878">
        <w:rPr>
          <w:sz w:val="22"/>
          <w:szCs w:val="22"/>
        </w:rPr>
        <w:t>,</w:t>
      </w:r>
    </w:p>
    <w:p w14:paraId="51CEBBBF" w14:textId="4666D1E6" w:rsidR="00356436" w:rsidRPr="00043878" w:rsidRDefault="00356436" w:rsidP="00024232">
      <w:pPr>
        <w:spacing w:before="110"/>
        <w:ind w:right="-284"/>
        <w:rPr>
          <w:rFonts w:cs="Calibri"/>
          <w:sz w:val="22"/>
          <w:szCs w:val="22"/>
          <w:lang w:val="es-ES"/>
        </w:rPr>
      </w:pPr>
      <w:r w:rsidRPr="00043878">
        <w:rPr>
          <w:sz w:val="22"/>
          <w:szCs w:val="22"/>
          <w:lang w:val="es-ES"/>
        </w:rPr>
        <w:t>1</w:t>
      </w:r>
      <w:r w:rsidRPr="00043878">
        <w:rPr>
          <w:sz w:val="22"/>
          <w:szCs w:val="22"/>
          <w:lang w:val="es-ES"/>
        </w:rPr>
        <w:tab/>
        <w:t xml:space="preserve">La Comisión de Estudio 20 del UIT-T (CE 20: Internet de las cosas, gemelos digitales y ciudades y comunidades inteligentes y sostenibles) tiene previsto aplicar el procedimiento de aprobación tradicional descrito en la Sección 9 de la </w:t>
      </w:r>
      <w:hyperlink r:id="rId10" w:history="1">
        <w:r w:rsidRPr="00043878">
          <w:rPr>
            <w:rStyle w:val="Hyperlink"/>
            <w:sz w:val="22"/>
            <w:szCs w:val="22"/>
            <w:lang w:val="es-ES"/>
          </w:rPr>
          <w:t>Resolución 1 (Rev. Ginebra, 2022)</w:t>
        </w:r>
      </w:hyperlink>
      <w:r w:rsidRPr="00043878">
        <w:rPr>
          <w:sz w:val="22"/>
          <w:szCs w:val="22"/>
          <w:lang w:val="es-ES"/>
        </w:rPr>
        <w:t xml:space="preserve"> de la AMNT para la aprobación de los citados proyectos de Recomendación UIT-T Y.4241 (antes </w:t>
      </w:r>
      <w:proofErr w:type="spellStart"/>
      <w:r w:rsidRPr="00043878">
        <w:rPr>
          <w:sz w:val="22"/>
          <w:szCs w:val="22"/>
          <w:lang w:val="es-ES"/>
        </w:rPr>
        <w:t>Y.dt-SComCam</w:t>
      </w:r>
      <w:proofErr w:type="spellEnd"/>
      <w:r w:rsidRPr="00043878">
        <w:rPr>
          <w:sz w:val="22"/>
          <w:szCs w:val="22"/>
          <w:lang w:val="es-ES"/>
        </w:rPr>
        <w:t xml:space="preserve">), UIT-T Y.4242 (antes </w:t>
      </w:r>
      <w:proofErr w:type="spellStart"/>
      <w:r w:rsidRPr="00043878">
        <w:rPr>
          <w:sz w:val="22"/>
          <w:szCs w:val="22"/>
          <w:lang w:val="es-ES"/>
        </w:rPr>
        <w:t>Y.energy</w:t>
      </w:r>
      <w:r w:rsidRPr="00043878">
        <w:rPr>
          <w:sz w:val="22"/>
          <w:szCs w:val="22"/>
          <w:lang w:val="es-ES"/>
        </w:rPr>
        <w:noBreakHyphen/>
        <w:t>storage</w:t>
      </w:r>
      <w:proofErr w:type="spellEnd"/>
      <w:r w:rsidRPr="00043878">
        <w:rPr>
          <w:sz w:val="22"/>
          <w:szCs w:val="22"/>
          <w:lang w:val="es-ES"/>
        </w:rPr>
        <w:t xml:space="preserve">), UIT-T Y.4243 (antes </w:t>
      </w:r>
      <w:proofErr w:type="spellStart"/>
      <w:r w:rsidRPr="00043878">
        <w:rPr>
          <w:sz w:val="22"/>
          <w:szCs w:val="22"/>
          <w:lang w:val="es-ES"/>
        </w:rPr>
        <w:t>Y.IoT-smartschool</w:t>
      </w:r>
      <w:proofErr w:type="spellEnd"/>
      <w:r w:rsidRPr="00043878">
        <w:rPr>
          <w:sz w:val="22"/>
          <w:szCs w:val="22"/>
          <w:lang w:val="es-ES"/>
        </w:rPr>
        <w:t>), UIT-T Y.4244 (antes Y.EPWS</w:t>
      </w:r>
      <w:r w:rsidR="008E34BC" w:rsidRPr="00043878">
        <w:rPr>
          <w:sz w:val="22"/>
          <w:szCs w:val="22"/>
          <w:lang w:val="es-ES"/>
        </w:rPr>
        <w:noBreakHyphen/>
      </w:r>
      <w:proofErr w:type="spellStart"/>
      <w:r w:rsidRPr="00043878">
        <w:rPr>
          <w:sz w:val="22"/>
          <w:szCs w:val="22"/>
          <w:lang w:val="es-ES"/>
        </w:rPr>
        <w:t>fc</w:t>
      </w:r>
      <w:proofErr w:type="spellEnd"/>
      <w:r w:rsidRPr="00043878">
        <w:rPr>
          <w:sz w:val="22"/>
          <w:szCs w:val="22"/>
          <w:lang w:val="es-ES"/>
        </w:rPr>
        <w:t xml:space="preserve">), UIT-T Y.4420, UIT-T Y.4512 (antesY.SC-DESMS), UIT-T Y.4614 (antes Y.CL-EDM), UIT-T Y.4815 (antes </w:t>
      </w:r>
      <w:proofErr w:type="spellStart"/>
      <w:r w:rsidRPr="00043878">
        <w:rPr>
          <w:sz w:val="22"/>
          <w:szCs w:val="22"/>
          <w:lang w:val="es-ES"/>
        </w:rPr>
        <w:t>Y.uas-dc-fr</w:t>
      </w:r>
      <w:proofErr w:type="spellEnd"/>
      <w:r w:rsidRPr="00043878">
        <w:rPr>
          <w:sz w:val="22"/>
          <w:szCs w:val="22"/>
          <w:lang w:val="es-ES"/>
        </w:rPr>
        <w:t xml:space="preserve">), UIT-T Y.4816 (antes </w:t>
      </w:r>
      <w:proofErr w:type="spellStart"/>
      <w:r w:rsidRPr="00043878">
        <w:rPr>
          <w:sz w:val="22"/>
          <w:szCs w:val="22"/>
          <w:lang w:val="es-ES"/>
        </w:rPr>
        <w:t>Y.bsis-sec</w:t>
      </w:r>
      <w:proofErr w:type="spellEnd"/>
      <w:r w:rsidRPr="00043878">
        <w:rPr>
          <w:sz w:val="22"/>
          <w:szCs w:val="22"/>
          <w:lang w:val="es-ES"/>
        </w:rPr>
        <w:t>) y UIT-T Y.4912 (antes Y.SNPG-</w:t>
      </w:r>
      <w:proofErr w:type="spellStart"/>
      <w:r w:rsidRPr="00043878">
        <w:rPr>
          <w:sz w:val="22"/>
          <w:szCs w:val="22"/>
          <w:lang w:val="es-ES"/>
        </w:rPr>
        <w:t>ref</w:t>
      </w:r>
      <w:proofErr w:type="spellEnd"/>
      <w:r w:rsidRPr="00043878">
        <w:rPr>
          <w:sz w:val="22"/>
          <w:szCs w:val="22"/>
          <w:lang w:val="es-ES"/>
        </w:rPr>
        <w:t xml:space="preserve">) en su próxima reunión en Ginebra (Suiza), del 12 al 21 de mayo de 2026. El orden del día y toda la información pertinente sobre la reunión de la Comisión de Estudio 20 del UIT-T figurarán en la </w:t>
      </w:r>
      <w:hyperlink r:id="rId11" w:history="1">
        <w:r w:rsidRPr="00043878">
          <w:rPr>
            <w:rStyle w:val="Hyperlink"/>
            <w:sz w:val="22"/>
            <w:szCs w:val="22"/>
            <w:lang w:val="es-ES"/>
          </w:rPr>
          <w:t>Carta Colectiva 3/20</w:t>
        </w:r>
      </w:hyperlink>
      <w:r w:rsidRPr="00043878">
        <w:rPr>
          <w:sz w:val="22"/>
          <w:szCs w:val="22"/>
          <w:lang w:val="es-ES"/>
        </w:rPr>
        <w:t>.</w:t>
      </w:r>
      <w:hyperlink r:id="rId12" w:history="1"/>
      <w:hyperlink r:id="rId13" w:history="1"/>
    </w:p>
    <w:p w14:paraId="03057D6F" w14:textId="77777777" w:rsidR="00356436" w:rsidRPr="00043878" w:rsidRDefault="00356436" w:rsidP="00024232">
      <w:pPr>
        <w:spacing w:before="110"/>
        <w:ind w:right="-284"/>
        <w:rPr>
          <w:rFonts w:cs="Calibri"/>
          <w:sz w:val="22"/>
          <w:szCs w:val="22"/>
          <w:lang w:val="es-ES"/>
        </w:rPr>
      </w:pPr>
      <w:r w:rsidRPr="00043878">
        <w:rPr>
          <w:sz w:val="22"/>
          <w:szCs w:val="22"/>
          <w:lang w:val="es-ES"/>
        </w:rPr>
        <w:t>2</w:t>
      </w:r>
      <w:r w:rsidRPr="00043878">
        <w:rPr>
          <w:sz w:val="22"/>
          <w:szCs w:val="22"/>
          <w:lang w:val="es-ES"/>
        </w:rPr>
        <w:tab/>
      </w:r>
      <w:proofErr w:type="gramStart"/>
      <w:r w:rsidRPr="00043878">
        <w:rPr>
          <w:sz w:val="22"/>
          <w:szCs w:val="22"/>
          <w:lang w:val="es-ES"/>
        </w:rPr>
        <w:t>El</w:t>
      </w:r>
      <w:proofErr w:type="gramEnd"/>
      <w:r w:rsidRPr="00043878">
        <w:rPr>
          <w:sz w:val="22"/>
          <w:szCs w:val="22"/>
          <w:lang w:val="es-ES"/>
        </w:rPr>
        <w:t xml:space="preserve"> Anexo 1 contiene el título y el resumen de los proyectos de Recomendación UIT-T, con indicación de los documentos en que figuran.</w:t>
      </w:r>
    </w:p>
    <w:p w14:paraId="04A9C626" w14:textId="77777777" w:rsidR="00356436" w:rsidRPr="00043878" w:rsidRDefault="00356436" w:rsidP="00024232">
      <w:pPr>
        <w:spacing w:before="110"/>
        <w:ind w:right="-284"/>
        <w:rPr>
          <w:rFonts w:cs="Calibri"/>
          <w:sz w:val="22"/>
          <w:szCs w:val="22"/>
          <w:lang w:val="es-ES"/>
        </w:rPr>
      </w:pPr>
      <w:r w:rsidRPr="00043878">
        <w:rPr>
          <w:sz w:val="22"/>
          <w:szCs w:val="22"/>
          <w:lang w:val="es-ES"/>
        </w:rPr>
        <w:t>3</w:t>
      </w:r>
      <w:r w:rsidRPr="00043878">
        <w:rPr>
          <w:sz w:val="22"/>
          <w:szCs w:val="22"/>
          <w:lang w:val="es-ES"/>
        </w:rPr>
        <w:tab/>
      </w:r>
      <w:proofErr w:type="gramStart"/>
      <w:r w:rsidRPr="00043878">
        <w:rPr>
          <w:sz w:val="22"/>
          <w:szCs w:val="22"/>
          <w:lang w:val="es-ES"/>
        </w:rPr>
        <w:t>Con</w:t>
      </w:r>
      <w:proofErr w:type="gramEnd"/>
      <w:r w:rsidRPr="00043878">
        <w:rPr>
          <w:sz w:val="22"/>
          <w:szCs w:val="22"/>
          <w:lang w:val="es-ES"/>
        </w:rPr>
        <w:t xml:space="preserve"> esta Circular se inicia la consulta formal con los Estados Miembros de la UIT sobre si estos textos pueden considerarse para aprobación en la próxima reunión, de acuerdo con la cláusula 9.4 de la Resolución 1. Se ruega a los Estados Miembros que completen y devuelvan el formulario del Anexo 2 antes de las 23.59 horas UTC del </w:t>
      </w:r>
      <w:r w:rsidRPr="00043878">
        <w:rPr>
          <w:b/>
          <w:bCs/>
          <w:sz w:val="22"/>
          <w:szCs w:val="22"/>
          <w:lang w:val="es-ES"/>
        </w:rPr>
        <w:t>30 de abril de 2026</w:t>
      </w:r>
      <w:r w:rsidRPr="00043878">
        <w:rPr>
          <w:sz w:val="22"/>
          <w:szCs w:val="22"/>
          <w:lang w:val="es-ES"/>
        </w:rPr>
        <w:t>.</w:t>
      </w:r>
    </w:p>
    <w:p w14:paraId="0023437A" w14:textId="1BABE005" w:rsidR="00356436" w:rsidRPr="00043878" w:rsidRDefault="00356436" w:rsidP="00024232">
      <w:pPr>
        <w:keepNext/>
        <w:keepLines/>
        <w:spacing w:before="110"/>
        <w:ind w:right="-284"/>
        <w:rPr>
          <w:rFonts w:cs="Calibri"/>
          <w:sz w:val="22"/>
          <w:szCs w:val="22"/>
          <w:lang w:val="es-ES"/>
        </w:rPr>
      </w:pPr>
      <w:r w:rsidRPr="00043878">
        <w:rPr>
          <w:sz w:val="22"/>
          <w:szCs w:val="22"/>
          <w:lang w:val="es-ES"/>
        </w:rPr>
        <w:t>4</w:t>
      </w:r>
      <w:r w:rsidRPr="00043878">
        <w:rPr>
          <w:sz w:val="22"/>
          <w:szCs w:val="22"/>
          <w:lang w:val="es-ES"/>
        </w:rPr>
        <w:tab/>
      </w:r>
      <w:proofErr w:type="gramStart"/>
      <w:r w:rsidRPr="00043878">
        <w:rPr>
          <w:sz w:val="22"/>
          <w:szCs w:val="22"/>
          <w:lang w:val="es-ES"/>
        </w:rPr>
        <w:t>Si</w:t>
      </w:r>
      <w:proofErr w:type="gramEnd"/>
      <w:r w:rsidRPr="00043878">
        <w:rPr>
          <w:sz w:val="22"/>
          <w:szCs w:val="22"/>
          <w:lang w:val="es-ES"/>
        </w:rPr>
        <w:t xml:space="preserve"> el 70 % como mínimo de las respuestas de los Estados Miembros están a favor de que se considere la aprobación, se dedicará una Sesión Plenaria a la aplicación del procedimiento de aprobación. Los Estados Miembros que no otorguen autoridad para proceder deben informar al </w:t>
      </w:r>
      <w:proofErr w:type="gramStart"/>
      <w:r w:rsidRPr="00043878">
        <w:rPr>
          <w:sz w:val="22"/>
          <w:szCs w:val="22"/>
          <w:lang w:val="es-ES"/>
        </w:rPr>
        <w:t>Director</w:t>
      </w:r>
      <w:proofErr w:type="gramEnd"/>
      <w:r w:rsidRPr="00043878">
        <w:rPr>
          <w:sz w:val="22"/>
          <w:szCs w:val="22"/>
          <w:lang w:val="es-ES"/>
        </w:rPr>
        <w:t xml:space="preserve"> de la TSB de los motivos en que se fundamenta esta opinión e indicar los posibles cambios que permitirían el proseguimiento de los trabajos.</w:t>
      </w:r>
    </w:p>
    <w:p w14:paraId="1719750C" w14:textId="37936E29" w:rsidR="007B6316" w:rsidRPr="00043878" w:rsidRDefault="007B6316" w:rsidP="00024232">
      <w:pPr>
        <w:spacing w:before="110"/>
        <w:rPr>
          <w:sz w:val="22"/>
          <w:szCs w:val="22"/>
        </w:rPr>
      </w:pPr>
      <w:r w:rsidRPr="00043878">
        <w:rPr>
          <w:sz w:val="22"/>
          <w:szCs w:val="22"/>
        </w:rPr>
        <w:t>Atentamente,</w:t>
      </w:r>
    </w:p>
    <w:p w14:paraId="1855D192" w14:textId="2DF5FB8E" w:rsidR="00024232" w:rsidRDefault="00BA3511" w:rsidP="00024232">
      <w:pPr>
        <w:spacing w:before="600"/>
        <w:rPr>
          <w:sz w:val="22"/>
          <w:szCs w:val="22"/>
        </w:rPr>
      </w:pPr>
      <w:r>
        <w:rPr>
          <w:noProof/>
          <w:sz w:val="22"/>
          <w:szCs w:val="22"/>
        </w:rPr>
        <w:drawing>
          <wp:anchor distT="0" distB="0" distL="114300" distR="114300" simplePos="0" relativeHeight="251658240" behindDoc="1" locked="0" layoutInCell="1" allowOverlap="1" wp14:anchorId="220E80B2" wp14:editId="2CA5A8A5">
            <wp:simplePos x="0" y="0"/>
            <wp:positionH relativeFrom="margin">
              <wp:align>left</wp:align>
            </wp:positionH>
            <wp:positionV relativeFrom="paragraph">
              <wp:posOffset>35560</wp:posOffset>
            </wp:positionV>
            <wp:extent cx="825500" cy="330200"/>
            <wp:effectExtent l="0" t="0" r="0" b="0"/>
            <wp:wrapNone/>
            <wp:docPr id="1713024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24852" name="Picture 1713024852"/>
                    <pic:cNvPicPr/>
                  </pic:nvPicPr>
                  <pic:blipFill>
                    <a:blip r:embed="rId14">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350B9" w:rsidRPr="00043878">
        <w:rPr>
          <w:rFonts w:cstheme="minorHAnsi"/>
          <w:sz w:val="22"/>
          <w:szCs w:val="22"/>
          <w:lang w:val="es-ES"/>
        </w:rPr>
        <w:t>Seizo Onoe</w:t>
      </w:r>
      <w:r w:rsidR="007B6316" w:rsidRPr="00043878">
        <w:rPr>
          <w:sz w:val="22"/>
          <w:szCs w:val="22"/>
        </w:rPr>
        <w:br/>
      </w:r>
      <w:proofErr w:type="gramStart"/>
      <w:r w:rsidR="007B6316" w:rsidRPr="00043878">
        <w:rPr>
          <w:sz w:val="22"/>
          <w:szCs w:val="22"/>
        </w:rPr>
        <w:t>Director</w:t>
      </w:r>
      <w:proofErr w:type="gramEnd"/>
      <w:r w:rsidR="007B6316" w:rsidRPr="00043878">
        <w:rPr>
          <w:sz w:val="22"/>
          <w:szCs w:val="22"/>
        </w:rPr>
        <w:t xml:space="preserve"> de la Oficina de </w:t>
      </w:r>
      <w:r w:rsidR="007B6316" w:rsidRPr="00043878">
        <w:rPr>
          <w:sz w:val="22"/>
          <w:szCs w:val="22"/>
        </w:rPr>
        <w:br/>
        <w:t>Normalización de las Telecomunicaciones</w:t>
      </w:r>
    </w:p>
    <w:p w14:paraId="0033A129" w14:textId="19542E72" w:rsidR="00024232" w:rsidRPr="00024232" w:rsidRDefault="00024232" w:rsidP="00024232">
      <w:pPr>
        <w:tabs>
          <w:tab w:val="clear" w:pos="1191"/>
          <w:tab w:val="clear" w:pos="1588"/>
          <w:tab w:val="clear" w:pos="1985"/>
        </w:tabs>
        <w:spacing w:before="240"/>
        <w:rPr>
          <w:sz w:val="22"/>
          <w:szCs w:val="22"/>
        </w:rPr>
      </w:pPr>
      <w:r w:rsidRPr="00024232">
        <w:rPr>
          <w:b/>
          <w:bCs/>
          <w:sz w:val="22"/>
          <w:szCs w:val="22"/>
        </w:rPr>
        <w:t>Anexos</w:t>
      </w:r>
      <w:r>
        <w:rPr>
          <w:sz w:val="22"/>
          <w:szCs w:val="22"/>
        </w:rPr>
        <w:t>:</w:t>
      </w:r>
      <w:r>
        <w:rPr>
          <w:sz w:val="22"/>
          <w:szCs w:val="22"/>
        </w:rPr>
        <w:tab/>
        <w:t xml:space="preserve"> 2</w:t>
      </w:r>
    </w:p>
    <w:p w14:paraId="27FC41B3" w14:textId="5DBF29FE" w:rsidR="00356436" w:rsidRPr="00EA7607" w:rsidRDefault="00356436" w:rsidP="00EA7607">
      <w:pPr>
        <w:pStyle w:val="Annextitle0"/>
        <w:spacing w:before="120"/>
        <w:rPr>
          <w:bCs/>
          <w:sz w:val="24"/>
          <w:szCs w:val="24"/>
          <w:lang w:val="es-ES"/>
        </w:rPr>
      </w:pPr>
      <w:r w:rsidRPr="00EA7607">
        <w:rPr>
          <w:bCs/>
          <w:sz w:val="24"/>
          <w:szCs w:val="24"/>
          <w:lang w:val="es-ES"/>
        </w:rPr>
        <w:lastRenderedPageBreak/>
        <w:t>ANEXO 1</w:t>
      </w:r>
      <w:r w:rsidR="00EA7607">
        <w:rPr>
          <w:bCs/>
          <w:sz w:val="24"/>
          <w:szCs w:val="24"/>
          <w:lang w:val="es-ES"/>
        </w:rPr>
        <w:br/>
      </w:r>
      <w:r w:rsidR="00EA7607">
        <w:rPr>
          <w:bCs/>
          <w:sz w:val="24"/>
          <w:szCs w:val="24"/>
          <w:lang w:val="es-ES"/>
        </w:rPr>
        <w:br/>
      </w:r>
      <w:r w:rsidRPr="009376AE">
        <w:rPr>
          <w:bCs/>
          <w:sz w:val="24"/>
          <w:szCs w:val="24"/>
          <w:lang w:val="es-ES"/>
        </w:rPr>
        <w:t xml:space="preserve">Resumen y ubicación de los proyectos de Recomendación determinada UIT-T Y.4241 (antes </w:t>
      </w:r>
      <w:proofErr w:type="spellStart"/>
      <w:proofErr w:type="gramStart"/>
      <w:r w:rsidRPr="009376AE">
        <w:rPr>
          <w:bCs/>
          <w:sz w:val="24"/>
          <w:szCs w:val="24"/>
          <w:lang w:val="es-ES"/>
        </w:rPr>
        <w:t>Y.dt</w:t>
      </w:r>
      <w:proofErr w:type="gramEnd"/>
      <w:r w:rsidR="008E34BC">
        <w:rPr>
          <w:bCs/>
          <w:sz w:val="24"/>
          <w:szCs w:val="24"/>
          <w:lang w:val="es-ES"/>
        </w:rPr>
        <w:noBreakHyphen/>
      </w:r>
      <w:r w:rsidRPr="009376AE">
        <w:rPr>
          <w:bCs/>
          <w:sz w:val="24"/>
          <w:szCs w:val="24"/>
          <w:lang w:val="es-ES"/>
        </w:rPr>
        <w:t>SComCam</w:t>
      </w:r>
      <w:proofErr w:type="spellEnd"/>
      <w:r w:rsidRPr="009376AE">
        <w:rPr>
          <w:bCs/>
          <w:sz w:val="24"/>
          <w:szCs w:val="24"/>
          <w:lang w:val="es-ES"/>
        </w:rPr>
        <w:t xml:space="preserve">), UIT-T Y.4242 (antes </w:t>
      </w:r>
      <w:proofErr w:type="spellStart"/>
      <w:proofErr w:type="gramStart"/>
      <w:r w:rsidRPr="009376AE">
        <w:rPr>
          <w:bCs/>
          <w:sz w:val="24"/>
          <w:szCs w:val="24"/>
          <w:lang w:val="es-ES"/>
        </w:rPr>
        <w:t>Y.energy</w:t>
      </w:r>
      <w:proofErr w:type="gramEnd"/>
      <w:r w:rsidRPr="009376AE">
        <w:rPr>
          <w:bCs/>
          <w:sz w:val="24"/>
          <w:szCs w:val="24"/>
          <w:lang w:val="es-ES"/>
        </w:rPr>
        <w:t>-storage</w:t>
      </w:r>
      <w:proofErr w:type="spellEnd"/>
      <w:r w:rsidRPr="009376AE">
        <w:rPr>
          <w:bCs/>
          <w:sz w:val="24"/>
          <w:szCs w:val="24"/>
          <w:lang w:val="es-ES"/>
        </w:rPr>
        <w:t xml:space="preserve">), UIT-T Y.4243 (antes </w:t>
      </w:r>
      <w:proofErr w:type="spellStart"/>
      <w:proofErr w:type="gramStart"/>
      <w:r w:rsidRPr="009376AE">
        <w:rPr>
          <w:bCs/>
          <w:sz w:val="24"/>
          <w:szCs w:val="24"/>
          <w:lang w:val="es-ES"/>
        </w:rPr>
        <w:t>Y.IoT</w:t>
      </w:r>
      <w:proofErr w:type="gramEnd"/>
      <w:r w:rsidRPr="009376AE">
        <w:rPr>
          <w:bCs/>
          <w:sz w:val="24"/>
          <w:szCs w:val="24"/>
          <w:lang w:val="es-ES"/>
        </w:rPr>
        <w:t>-smartschool</w:t>
      </w:r>
      <w:proofErr w:type="spellEnd"/>
      <w:r w:rsidRPr="009376AE">
        <w:rPr>
          <w:bCs/>
          <w:sz w:val="24"/>
          <w:szCs w:val="24"/>
          <w:lang w:val="es-ES"/>
        </w:rPr>
        <w:t xml:space="preserve">), UIT-T Y.4244 (antes </w:t>
      </w:r>
      <w:proofErr w:type="gramStart"/>
      <w:r w:rsidRPr="009376AE">
        <w:rPr>
          <w:bCs/>
          <w:sz w:val="24"/>
          <w:szCs w:val="24"/>
          <w:lang w:val="es-ES"/>
        </w:rPr>
        <w:t>Y.EPWS</w:t>
      </w:r>
      <w:proofErr w:type="gramEnd"/>
      <w:r w:rsidRPr="009376AE">
        <w:rPr>
          <w:bCs/>
          <w:sz w:val="24"/>
          <w:szCs w:val="24"/>
          <w:lang w:val="es-ES"/>
        </w:rPr>
        <w:t>-</w:t>
      </w:r>
      <w:proofErr w:type="spellStart"/>
      <w:r w:rsidRPr="009376AE">
        <w:rPr>
          <w:bCs/>
          <w:sz w:val="24"/>
          <w:szCs w:val="24"/>
          <w:lang w:val="es-ES"/>
        </w:rPr>
        <w:t>fc</w:t>
      </w:r>
      <w:proofErr w:type="spellEnd"/>
      <w:r w:rsidRPr="009376AE">
        <w:rPr>
          <w:bCs/>
          <w:sz w:val="24"/>
          <w:szCs w:val="24"/>
          <w:lang w:val="es-ES"/>
        </w:rPr>
        <w:t xml:space="preserve">), UIT-T Y.4420, UIT-T Y.4512 (antes Y.SC-DESMS), UIT-T Y.4614 (antes Y.CL-EDM), UIT-T Y.4815 (antes </w:t>
      </w:r>
      <w:proofErr w:type="spellStart"/>
      <w:r w:rsidRPr="009376AE">
        <w:rPr>
          <w:bCs/>
          <w:sz w:val="24"/>
          <w:szCs w:val="24"/>
          <w:lang w:val="es-ES"/>
        </w:rPr>
        <w:t>Y.uas-dc-fr</w:t>
      </w:r>
      <w:proofErr w:type="spellEnd"/>
      <w:r w:rsidRPr="009376AE">
        <w:rPr>
          <w:bCs/>
          <w:sz w:val="24"/>
          <w:szCs w:val="24"/>
          <w:lang w:val="es-ES"/>
        </w:rPr>
        <w:t xml:space="preserve">), UIT-T Y.4816 (antes </w:t>
      </w:r>
      <w:proofErr w:type="spellStart"/>
      <w:proofErr w:type="gramStart"/>
      <w:r w:rsidRPr="009376AE">
        <w:rPr>
          <w:bCs/>
          <w:sz w:val="24"/>
          <w:szCs w:val="24"/>
          <w:lang w:val="es-ES"/>
        </w:rPr>
        <w:t>Y.bsis</w:t>
      </w:r>
      <w:proofErr w:type="gramEnd"/>
      <w:r w:rsidRPr="009376AE">
        <w:rPr>
          <w:bCs/>
          <w:sz w:val="24"/>
          <w:szCs w:val="24"/>
          <w:lang w:val="es-ES"/>
        </w:rPr>
        <w:t>-sec</w:t>
      </w:r>
      <w:proofErr w:type="spellEnd"/>
      <w:r w:rsidRPr="009376AE">
        <w:rPr>
          <w:bCs/>
          <w:sz w:val="24"/>
          <w:szCs w:val="24"/>
          <w:lang w:val="es-ES"/>
        </w:rPr>
        <w:t>) y</w:t>
      </w:r>
      <w:r w:rsidR="006245B1">
        <w:rPr>
          <w:bCs/>
          <w:sz w:val="24"/>
          <w:szCs w:val="24"/>
          <w:lang w:val="es-ES"/>
        </w:rPr>
        <w:br/>
      </w:r>
      <w:r w:rsidRPr="009376AE">
        <w:rPr>
          <w:bCs/>
          <w:sz w:val="24"/>
          <w:szCs w:val="24"/>
          <w:lang w:val="es-ES"/>
        </w:rPr>
        <w:t xml:space="preserve">UIT-T Y.4912 (antes </w:t>
      </w:r>
      <w:proofErr w:type="gramStart"/>
      <w:r w:rsidRPr="009376AE">
        <w:rPr>
          <w:bCs/>
          <w:sz w:val="24"/>
          <w:szCs w:val="24"/>
          <w:lang w:val="es-ES"/>
        </w:rPr>
        <w:t>Y.SNPG</w:t>
      </w:r>
      <w:proofErr w:type="gramEnd"/>
      <w:r w:rsidRPr="009376AE">
        <w:rPr>
          <w:bCs/>
          <w:sz w:val="24"/>
          <w:szCs w:val="24"/>
          <w:lang w:val="es-ES"/>
        </w:rPr>
        <w:t>-</w:t>
      </w:r>
      <w:proofErr w:type="spellStart"/>
      <w:r w:rsidRPr="009376AE">
        <w:rPr>
          <w:bCs/>
          <w:sz w:val="24"/>
          <w:szCs w:val="24"/>
          <w:lang w:val="es-ES"/>
        </w:rPr>
        <w:t>ref</w:t>
      </w:r>
      <w:proofErr w:type="spellEnd"/>
      <w:r w:rsidRPr="009376AE">
        <w:rPr>
          <w:bCs/>
          <w:sz w:val="24"/>
          <w:szCs w:val="24"/>
          <w:lang w:val="es-ES"/>
        </w:rPr>
        <w:t>)</w:t>
      </w:r>
    </w:p>
    <w:p w14:paraId="137133D7" w14:textId="77777777" w:rsidR="00356436" w:rsidRPr="00356436" w:rsidRDefault="00356436" w:rsidP="00402A87">
      <w:pPr>
        <w:pStyle w:val="Heading1"/>
        <w:jc w:val="both"/>
        <w:rPr>
          <w:rFonts w:cs="Calibri"/>
          <w:szCs w:val="24"/>
          <w:lang w:val="es-ES"/>
        </w:rPr>
      </w:pPr>
      <w:r w:rsidRPr="00356436">
        <w:rPr>
          <w:bCs/>
          <w:szCs w:val="24"/>
          <w:lang w:val="es-ES"/>
        </w:rPr>
        <w:t>1</w:t>
      </w:r>
      <w:r w:rsidRPr="00356436">
        <w:rPr>
          <w:szCs w:val="24"/>
          <w:lang w:val="es-ES"/>
        </w:rPr>
        <w:tab/>
      </w:r>
      <w:proofErr w:type="gramStart"/>
      <w:r w:rsidRPr="00356436">
        <w:rPr>
          <w:szCs w:val="24"/>
          <w:lang w:val="es-ES"/>
        </w:rPr>
        <w:t>Proyecto</w:t>
      </w:r>
      <w:proofErr w:type="gramEnd"/>
      <w:r w:rsidRPr="00356436">
        <w:rPr>
          <w:szCs w:val="24"/>
          <w:lang w:val="es-ES"/>
        </w:rPr>
        <w:t xml:space="preserve"> de nueva Recomendación UIT-T Y.4241 (antes </w:t>
      </w:r>
      <w:proofErr w:type="spellStart"/>
      <w:proofErr w:type="gramStart"/>
      <w:r w:rsidRPr="00356436">
        <w:rPr>
          <w:szCs w:val="24"/>
          <w:lang w:val="es-ES"/>
        </w:rPr>
        <w:t>Y.dt</w:t>
      </w:r>
      <w:proofErr w:type="gramEnd"/>
      <w:r w:rsidRPr="00356436">
        <w:rPr>
          <w:szCs w:val="24"/>
          <w:lang w:val="es-ES"/>
        </w:rPr>
        <w:t>-SComCam</w:t>
      </w:r>
      <w:proofErr w:type="spellEnd"/>
      <w:r w:rsidRPr="00356436">
        <w:rPr>
          <w:szCs w:val="24"/>
          <w:lang w:val="es-ES"/>
        </w:rPr>
        <w:t>) (</w:t>
      </w:r>
      <w:hyperlink r:id="rId15" w:history="1">
        <w:r w:rsidRPr="00356436">
          <w:rPr>
            <w:rStyle w:val="Hyperlink"/>
            <w:szCs w:val="24"/>
            <w:lang w:val="es-ES"/>
          </w:rPr>
          <w:t>SG20-R12</w:t>
        </w:r>
      </w:hyperlink>
      <w:r w:rsidRPr="00356436">
        <w:rPr>
          <w:szCs w:val="24"/>
          <w:lang w:val="es-ES"/>
        </w:rPr>
        <w:t>)</w:t>
      </w:r>
      <w:hyperlink r:id="rId16" w:history="1"/>
    </w:p>
    <w:p w14:paraId="78DE8157" w14:textId="0C8F2973" w:rsidR="00356436" w:rsidRPr="00356436" w:rsidRDefault="00356436" w:rsidP="00242AC3">
      <w:pPr>
        <w:ind w:right="-284"/>
        <w:jc w:val="both"/>
        <w:rPr>
          <w:rFonts w:cs="Calibri"/>
          <w:szCs w:val="24"/>
          <w:lang w:val="es-ES"/>
        </w:rPr>
      </w:pPr>
      <w:r w:rsidRPr="00356436">
        <w:rPr>
          <w:szCs w:val="24"/>
          <w:lang w:val="es-ES"/>
        </w:rPr>
        <w:t>Requisitos comunes y marco de capacidades de gemelos digitales para complejos y campus inteligentes</w:t>
      </w:r>
    </w:p>
    <w:p w14:paraId="0B14D654" w14:textId="77777777" w:rsidR="00356436" w:rsidRPr="00356436" w:rsidRDefault="00356436" w:rsidP="00402A87">
      <w:pPr>
        <w:pStyle w:val="Headingb0"/>
        <w:jc w:val="both"/>
        <w:rPr>
          <w:rFonts w:cs="Calibri"/>
          <w:lang w:val="es-ES"/>
        </w:rPr>
      </w:pPr>
      <w:r w:rsidRPr="00356436">
        <w:rPr>
          <w:lang w:val="es-ES"/>
        </w:rPr>
        <w:t>Resumen</w:t>
      </w:r>
    </w:p>
    <w:p w14:paraId="396F0166" w14:textId="77777777" w:rsidR="00356436" w:rsidRPr="00356436" w:rsidRDefault="00356436" w:rsidP="00242AC3">
      <w:pPr>
        <w:ind w:right="-284"/>
        <w:jc w:val="both"/>
        <w:rPr>
          <w:szCs w:val="24"/>
          <w:lang w:val="es-ES"/>
        </w:rPr>
      </w:pPr>
      <w:r w:rsidRPr="00356436">
        <w:rPr>
          <w:szCs w:val="24"/>
          <w:lang w:val="es-ES"/>
        </w:rPr>
        <w:t>Por complejo o campus se entiende un grupo de inmuebles y terrenos que pertenecen a una institución. Los complejos pueden ser de varios tipos, a saber, parques corporativos, zonas industriales, recintos deportivos o para espectáculos, centros comerciales, etc. Un campus es un emplazamiento integrado dedicado a la docencia o la investigación, como las universidades o escuelas. Los complejos y campus desempeñan un importante papel en la vida cotidiana y laboral de las personas y comparten requisitos en lo que se refiere a la gestión inteligente. El advenimiento de la Internet de las cosas (</w:t>
      </w:r>
      <w:proofErr w:type="spellStart"/>
      <w:r w:rsidRPr="00356436">
        <w:rPr>
          <w:szCs w:val="24"/>
          <w:lang w:val="es-ES"/>
        </w:rPr>
        <w:t>IoT</w:t>
      </w:r>
      <w:proofErr w:type="spellEnd"/>
      <w:r w:rsidRPr="00356436">
        <w:rPr>
          <w:szCs w:val="24"/>
          <w:lang w:val="es-ES"/>
        </w:rPr>
        <w:t>) y la inteligencia artificial (IA) ha hecho que la gestión de complejos y campus se haga cada vez más con esas herramientas y han aparecido numerosos sistemas de complejos y campus inteligentes destinados a mejorar la gestión y aumentar la eficacia operativa.</w:t>
      </w:r>
    </w:p>
    <w:p w14:paraId="72957853" w14:textId="77777777" w:rsidR="00356436" w:rsidRPr="00356436" w:rsidRDefault="00356436" w:rsidP="00242AC3">
      <w:pPr>
        <w:ind w:right="-284"/>
        <w:jc w:val="both"/>
        <w:rPr>
          <w:szCs w:val="24"/>
          <w:lang w:val="es-ES"/>
        </w:rPr>
      </w:pPr>
      <w:r w:rsidRPr="00356436">
        <w:rPr>
          <w:szCs w:val="24"/>
          <w:lang w:val="es-ES"/>
        </w:rPr>
        <w:t xml:space="preserve">La tecnología de gemelos digitales ofrece capacidades como los registros de datos históricos, la supervisión del rendimiento y el análisis predictivo y se utiliza ampliamente en sistemas de complejos y campus inteligentes. La combinación de la tecnología de gemelos digitales con tecnologías de la información y la comunicación (TIC) incipientes, como la computación en la nube, la </w:t>
      </w:r>
      <w:proofErr w:type="spellStart"/>
      <w:r w:rsidRPr="00356436">
        <w:rPr>
          <w:szCs w:val="24"/>
          <w:lang w:val="es-ES"/>
        </w:rPr>
        <w:t>IoT</w:t>
      </w:r>
      <w:proofErr w:type="spellEnd"/>
      <w:r w:rsidRPr="00356436">
        <w:rPr>
          <w:szCs w:val="24"/>
          <w:lang w:val="es-ES"/>
        </w:rPr>
        <w:t>, los macrodatos y la IA, permite acceder a diversos terminales para recabar datos de los complejos y campus físicos en tiempo real y modelizar su población (sin información de identificación personal), dispositivos, cosas y eventos. También permite efectuar una supervisión inteligente, así como simulaciones, y controlar a distancia los complejos y campus físicos. Gracias al gemelo digital de un sistema de complejo y campus inteligentes se pueden superar las dificultades que plantean la gestión y explotación de complejos y campus, como la baja eficacia administrativa, una experiencia de servicio deficiente, un gasto energético excesivo, una seguridad global insuficiente y elevados costes de explotación. Gracias a esta herramienta se procede a la transformación digital de tales complejos y campus y se mejora la percepción del servicio.</w:t>
      </w:r>
    </w:p>
    <w:p w14:paraId="6B35F2EC" w14:textId="77777777" w:rsidR="00356436" w:rsidRPr="00356436" w:rsidRDefault="00356436" w:rsidP="00242AC3">
      <w:pPr>
        <w:ind w:right="-284"/>
        <w:jc w:val="both"/>
        <w:rPr>
          <w:rFonts w:cs="Calibri"/>
          <w:szCs w:val="24"/>
          <w:lang w:val="es-ES"/>
        </w:rPr>
      </w:pPr>
      <w:r w:rsidRPr="00356436">
        <w:rPr>
          <w:szCs w:val="24"/>
          <w:lang w:val="es-ES"/>
        </w:rPr>
        <w:t>En esta Recomendación se exponen los requisitos comunes y el marco de capacidades de gemelos digitales para complejos y campus inteligentes.</w:t>
      </w:r>
    </w:p>
    <w:p w14:paraId="0FB541CC" w14:textId="77777777" w:rsidR="00356436" w:rsidRPr="00356436" w:rsidRDefault="00356436" w:rsidP="00402A87">
      <w:pPr>
        <w:pStyle w:val="Heading1"/>
        <w:jc w:val="both"/>
        <w:rPr>
          <w:rFonts w:cs="Calibri"/>
          <w:szCs w:val="24"/>
          <w:lang w:val="es-ES"/>
        </w:rPr>
      </w:pPr>
      <w:r w:rsidRPr="00356436">
        <w:rPr>
          <w:bCs/>
          <w:szCs w:val="24"/>
          <w:lang w:val="es-ES"/>
        </w:rPr>
        <w:t>2</w:t>
      </w:r>
      <w:r w:rsidRPr="00356436">
        <w:rPr>
          <w:szCs w:val="24"/>
          <w:lang w:val="es-ES"/>
        </w:rPr>
        <w:tab/>
      </w:r>
      <w:proofErr w:type="gramStart"/>
      <w:r w:rsidRPr="00356436">
        <w:rPr>
          <w:szCs w:val="24"/>
          <w:lang w:val="es-ES"/>
        </w:rPr>
        <w:t>Proyecto</w:t>
      </w:r>
      <w:proofErr w:type="gramEnd"/>
      <w:r w:rsidRPr="00356436">
        <w:rPr>
          <w:szCs w:val="24"/>
          <w:lang w:val="es-ES"/>
        </w:rPr>
        <w:t xml:space="preserve"> de nueva Recomendación UIT-T Y.4242 (antes </w:t>
      </w:r>
      <w:proofErr w:type="spellStart"/>
      <w:proofErr w:type="gramStart"/>
      <w:r w:rsidRPr="00356436">
        <w:rPr>
          <w:szCs w:val="24"/>
          <w:lang w:val="es-ES"/>
        </w:rPr>
        <w:t>Y.energy</w:t>
      </w:r>
      <w:proofErr w:type="gramEnd"/>
      <w:r w:rsidRPr="00356436">
        <w:rPr>
          <w:szCs w:val="24"/>
          <w:lang w:val="es-ES"/>
        </w:rPr>
        <w:t>-storage</w:t>
      </w:r>
      <w:proofErr w:type="spellEnd"/>
      <w:r w:rsidRPr="00356436">
        <w:rPr>
          <w:szCs w:val="24"/>
          <w:lang w:val="es-ES"/>
        </w:rPr>
        <w:t>) (</w:t>
      </w:r>
      <w:hyperlink r:id="rId17" w:history="1">
        <w:r w:rsidRPr="00356436">
          <w:rPr>
            <w:rStyle w:val="Hyperlink"/>
            <w:szCs w:val="24"/>
            <w:lang w:val="es-ES"/>
          </w:rPr>
          <w:t>SG20-R13</w:t>
        </w:r>
      </w:hyperlink>
      <w:r w:rsidRPr="00356436">
        <w:rPr>
          <w:szCs w:val="24"/>
          <w:lang w:val="es-ES"/>
        </w:rPr>
        <w:t>)</w:t>
      </w:r>
      <w:hyperlink r:id="rId18" w:history="1"/>
    </w:p>
    <w:p w14:paraId="37A9DE8A" w14:textId="6B35EA5B" w:rsidR="00356436" w:rsidRPr="00356436" w:rsidRDefault="00356436" w:rsidP="00242AC3">
      <w:pPr>
        <w:ind w:right="-284"/>
        <w:jc w:val="both"/>
        <w:rPr>
          <w:rFonts w:cs="Calibri"/>
          <w:szCs w:val="24"/>
          <w:lang w:val="es-ES"/>
        </w:rPr>
      </w:pPr>
      <w:r w:rsidRPr="00356436">
        <w:rPr>
          <w:szCs w:val="24"/>
          <w:lang w:val="es-ES"/>
        </w:rPr>
        <w:t>Requisitos y marco de funciones de servicios de almacenamiento energético en comunidades residenciales de ciudades inteligentes</w:t>
      </w:r>
    </w:p>
    <w:p w14:paraId="0ACB2D27" w14:textId="77777777" w:rsidR="00356436" w:rsidRPr="00356436" w:rsidRDefault="00356436" w:rsidP="00402A87">
      <w:pPr>
        <w:pStyle w:val="Headingb0"/>
        <w:spacing w:after="120"/>
        <w:jc w:val="both"/>
        <w:rPr>
          <w:rFonts w:cs="Calibri"/>
          <w:szCs w:val="24"/>
          <w:lang w:val="es-ES"/>
        </w:rPr>
      </w:pPr>
      <w:r w:rsidRPr="00356436">
        <w:rPr>
          <w:bCs/>
          <w:szCs w:val="24"/>
          <w:lang w:val="es-ES"/>
        </w:rPr>
        <w:t>Resumen</w:t>
      </w:r>
    </w:p>
    <w:p w14:paraId="2F8FDC8E" w14:textId="77777777" w:rsidR="00356436" w:rsidRPr="00356436" w:rsidRDefault="00356436" w:rsidP="00242AC3">
      <w:pPr>
        <w:ind w:right="-284"/>
        <w:jc w:val="both"/>
        <w:rPr>
          <w:szCs w:val="24"/>
          <w:lang w:val="es-ES"/>
        </w:rPr>
      </w:pPr>
      <w:r w:rsidRPr="00356436">
        <w:rPr>
          <w:szCs w:val="24"/>
          <w:lang w:val="es-ES"/>
        </w:rPr>
        <w:t xml:space="preserve">La presente Recomendación especifica los requisitos y marco de funciones de servicios de almacenamiento energético en comunidades residenciales (ESSRC) de ciudades inteligentes. </w:t>
      </w:r>
    </w:p>
    <w:p w14:paraId="3D0CED95" w14:textId="77777777" w:rsidR="00356436" w:rsidRPr="00356436" w:rsidRDefault="00356436" w:rsidP="00242AC3">
      <w:pPr>
        <w:ind w:right="-284"/>
        <w:jc w:val="both"/>
        <w:rPr>
          <w:szCs w:val="24"/>
          <w:lang w:val="es-ES"/>
        </w:rPr>
      </w:pPr>
      <w:r w:rsidRPr="00356436">
        <w:rPr>
          <w:szCs w:val="24"/>
          <w:lang w:val="es-ES"/>
        </w:rPr>
        <w:t xml:space="preserve">Con el fomento de las energías renovables en comunidades residenciales, un gran número de usuarios de comunidades residenciales se transforman en "prosumidores", con un doble papel de productor y consumidor. Un ESSRC es un servicio básico prestado a una comunidad residencial en una ciudad inteligente, cuyo objetivo es mejorar la fiabilidad energética, la utilización de energías renovables y los </w:t>
      </w:r>
      <w:r w:rsidRPr="00356436">
        <w:rPr>
          <w:szCs w:val="24"/>
          <w:lang w:val="es-ES"/>
        </w:rPr>
        <w:lastRenderedPageBreak/>
        <w:t>beneficios económicos para los usuarios de esa comunidad. El ESSRC tiene las características de entrega de energía inteligente y gestión de optimización, monitoreo remoto y mantenimiento predictivo, y una interfaz fácil de usar. El ESSRC se basa en un sistema de gestión de la información basado en las tecnologías de la información y la comunicación (TIC).</w:t>
      </w:r>
    </w:p>
    <w:p w14:paraId="3403373C" w14:textId="77777777" w:rsidR="00356436" w:rsidRPr="00356436" w:rsidRDefault="00356436" w:rsidP="000A7E29">
      <w:pPr>
        <w:tabs>
          <w:tab w:val="clear" w:pos="794"/>
          <w:tab w:val="clear" w:pos="1191"/>
          <w:tab w:val="clear" w:pos="1588"/>
          <w:tab w:val="clear" w:pos="1985"/>
        </w:tabs>
        <w:overflowPunct/>
        <w:autoSpaceDE/>
        <w:autoSpaceDN/>
        <w:adjustRightInd/>
        <w:spacing w:before="0" w:after="120"/>
        <w:textAlignment w:val="auto"/>
        <w:rPr>
          <w:szCs w:val="24"/>
          <w:lang w:val="es-ES"/>
        </w:rPr>
      </w:pPr>
      <w:r w:rsidRPr="00356436">
        <w:rPr>
          <w:szCs w:val="24"/>
          <w:lang w:val="es-ES"/>
        </w:rPr>
        <w:t xml:space="preserve">Esta Recomendación también contribuirá a promover la consecución de ciudades y comunidades inteligentes circulares y sostenibles. </w:t>
      </w:r>
    </w:p>
    <w:p w14:paraId="7CBD4CA8" w14:textId="77777777" w:rsidR="000A7E29" w:rsidRDefault="00356436" w:rsidP="00242AC3">
      <w:pPr>
        <w:ind w:right="-284"/>
        <w:jc w:val="both"/>
        <w:rPr>
          <w:szCs w:val="24"/>
          <w:lang w:val="es-ES"/>
        </w:rPr>
      </w:pPr>
      <w:r w:rsidRPr="00356436">
        <w:rPr>
          <w:szCs w:val="24"/>
          <w:lang w:val="es-ES"/>
        </w:rPr>
        <w:t xml:space="preserve">En el apéndice se presenta un caso de uso del ESSRC. </w:t>
      </w:r>
    </w:p>
    <w:p w14:paraId="6D11808D" w14:textId="77777777" w:rsidR="00356436" w:rsidRPr="00356436" w:rsidRDefault="00356436" w:rsidP="00402A87">
      <w:pPr>
        <w:pStyle w:val="Heading1"/>
        <w:jc w:val="both"/>
        <w:rPr>
          <w:rFonts w:cs="Calibri"/>
          <w:szCs w:val="24"/>
          <w:lang w:val="es-ES"/>
        </w:rPr>
      </w:pPr>
      <w:r w:rsidRPr="00356436">
        <w:rPr>
          <w:bCs/>
          <w:szCs w:val="24"/>
          <w:lang w:val="es-ES"/>
        </w:rPr>
        <w:t>3</w:t>
      </w:r>
      <w:r w:rsidRPr="00356436">
        <w:rPr>
          <w:szCs w:val="24"/>
          <w:lang w:val="es-ES"/>
        </w:rPr>
        <w:tab/>
      </w:r>
      <w:proofErr w:type="gramStart"/>
      <w:r w:rsidRPr="00356436">
        <w:rPr>
          <w:szCs w:val="24"/>
          <w:lang w:val="es-ES"/>
        </w:rPr>
        <w:t>Proyecto</w:t>
      </w:r>
      <w:proofErr w:type="gramEnd"/>
      <w:r w:rsidRPr="00356436">
        <w:rPr>
          <w:szCs w:val="24"/>
          <w:lang w:val="es-ES"/>
        </w:rPr>
        <w:t xml:space="preserve"> de nueva Recomendación UIT-T Y.4243 (antes </w:t>
      </w:r>
      <w:proofErr w:type="spellStart"/>
      <w:proofErr w:type="gramStart"/>
      <w:r w:rsidRPr="00356436">
        <w:rPr>
          <w:szCs w:val="24"/>
          <w:lang w:val="es-ES"/>
        </w:rPr>
        <w:t>Y.IoT</w:t>
      </w:r>
      <w:proofErr w:type="gramEnd"/>
      <w:r w:rsidRPr="00356436">
        <w:rPr>
          <w:szCs w:val="24"/>
          <w:lang w:val="es-ES"/>
        </w:rPr>
        <w:t>-smartschool</w:t>
      </w:r>
      <w:proofErr w:type="spellEnd"/>
      <w:r w:rsidRPr="00356436">
        <w:rPr>
          <w:szCs w:val="24"/>
          <w:lang w:val="es-ES"/>
        </w:rPr>
        <w:t>) (</w:t>
      </w:r>
      <w:hyperlink r:id="rId19" w:history="1">
        <w:r w:rsidRPr="00356436">
          <w:rPr>
            <w:rStyle w:val="Hyperlink"/>
            <w:szCs w:val="24"/>
            <w:lang w:val="es-ES"/>
          </w:rPr>
          <w:t>SG20-R14</w:t>
        </w:r>
      </w:hyperlink>
      <w:r w:rsidRPr="00356436">
        <w:rPr>
          <w:szCs w:val="24"/>
          <w:lang w:val="es-ES"/>
        </w:rPr>
        <w:t>)</w:t>
      </w:r>
      <w:hyperlink r:id="rId20" w:history="1"/>
    </w:p>
    <w:p w14:paraId="537D93F0" w14:textId="77777777" w:rsidR="00356436" w:rsidRPr="00356436" w:rsidRDefault="00356436" w:rsidP="00242AC3">
      <w:pPr>
        <w:ind w:right="-284"/>
        <w:jc w:val="both"/>
        <w:rPr>
          <w:rFonts w:cs="Calibri"/>
          <w:szCs w:val="24"/>
          <w:lang w:val="es-ES"/>
        </w:rPr>
      </w:pPr>
      <w:r w:rsidRPr="00356436">
        <w:rPr>
          <w:szCs w:val="24"/>
          <w:lang w:val="es-ES"/>
        </w:rPr>
        <w:t>Requisitos para la gestión escolar inteligente basada en la Internet de las cosas (</w:t>
      </w:r>
      <w:proofErr w:type="spellStart"/>
      <w:r w:rsidRPr="00356436">
        <w:rPr>
          <w:szCs w:val="24"/>
          <w:lang w:val="es-ES"/>
        </w:rPr>
        <w:t>IoT</w:t>
      </w:r>
      <w:proofErr w:type="spellEnd"/>
      <w:r w:rsidRPr="00356436">
        <w:rPr>
          <w:szCs w:val="24"/>
          <w:lang w:val="es-ES"/>
        </w:rPr>
        <w:t>)</w:t>
      </w:r>
    </w:p>
    <w:p w14:paraId="13A13BA0" w14:textId="77777777" w:rsidR="00356436" w:rsidRPr="00356436" w:rsidRDefault="00356436" w:rsidP="00402A87">
      <w:pPr>
        <w:pStyle w:val="Headingb0"/>
        <w:jc w:val="both"/>
        <w:rPr>
          <w:rFonts w:cs="Calibri"/>
          <w:szCs w:val="24"/>
          <w:lang w:val="es-ES"/>
        </w:rPr>
      </w:pPr>
      <w:r w:rsidRPr="00356436">
        <w:rPr>
          <w:bCs/>
          <w:szCs w:val="24"/>
          <w:lang w:val="es-ES"/>
        </w:rPr>
        <w:t>Resumen</w:t>
      </w:r>
    </w:p>
    <w:p w14:paraId="2B793002" w14:textId="77777777" w:rsidR="00356436" w:rsidRPr="00356436" w:rsidRDefault="00356436" w:rsidP="00242AC3">
      <w:pPr>
        <w:ind w:right="-284"/>
        <w:jc w:val="both"/>
        <w:rPr>
          <w:szCs w:val="24"/>
          <w:lang w:val="es-ES"/>
        </w:rPr>
      </w:pPr>
      <w:r w:rsidRPr="00356436">
        <w:rPr>
          <w:szCs w:val="24"/>
          <w:lang w:val="es-ES"/>
        </w:rPr>
        <w:t>En esta Recomendación se especifican los requisitos integrales para la gestión escolar inteligente basada en la Internet de las cosas (</w:t>
      </w:r>
      <w:proofErr w:type="spellStart"/>
      <w:r w:rsidRPr="00356436">
        <w:rPr>
          <w:szCs w:val="24"/>
          <w:lang w:val="es-ES"/>
        </w:rPr>
        <w:t>IoT</w:t>
      </w:r>
      <w:proofErr w:type="spellEnd"/>
      <w:r w:rsidRPr="00356436">
        <w:rPr>
          <w:szCs w:val="24"/>
          <w:lang w:val="es-ES"/>
        </w:rPr>
        <w:t xml:space="preserve">) para mejorar la eficacia educativa, la eficiencia operativa y la seguridad de los centros a través de tecnologías inteligentes. Los requisitos de los dispositivos abarcan la detección de </w:t>
      </w:r>
      <w:proofErr w:type="spellStart"/>
      <w:r w:rsidRPr="00356436">
        <w:rPr>
          <w:szCs w:val="24"/>
          <w:lang w:val="es-ES"/>
        </w:rPr>
        <w:t>IoT</w:t>
      </w:r>
      <w:proofErr w:type="spellEnd"/>
      <w:r w:rsidRPr="00356436">
        <w:rPr>
          <w:szCs w:val="24"/>
          <w:lang w:val="es-ES"/>
        </w:rPr>
        <w:t xml:space="preserve">, el procesamiento de datos, la comunicación y la transmisión de datos, la gestión de energía y recursos, el control y el mantenimiento y las capacidades de preparación para emergencias. Los requisitos de red abordan la conectividad, la cobertura y la transmisión de datos para garantizar una infraestructura </w:t>
      </w:r>
      <w:proofErr w:type="spellStart"/>
      <w:r w:rsidRPr="00356436">
        <w:rPr>
          <w:szCs w:val="24"/>
          <w:lang w:val="es-ES"/>
        </w:rPr>
        <w:t>IoT</w:t>
      </w:r>
      <w:proofErr w:type="spellEnd"/>
      <w:r w:rsidRPr="00356436">
        <w:rPr>
          <w:szCs w:val="24"/>
          <w:lang w:val="es-ES"/>
        </w:rPr>
        <w:t xml:space="preserve"> fiable. Los requisitos de soporte de servicios y soporte de aplicaciones incluyen el almacenamiento y la gestión de datos, el procesamiento y análisis de los datos, las mejoras basadas en la inteligencia artificial (IA)/aprendizaje automático (ML), la modelización basada en gemelos digitales y el control y la gestión de dispositivos.</w:t>
      </w:r>
    </w:p>
    <w:p w14:paraId="6333901F" w14:textId="77777777" w:rsidR="00356436" w:rsidRPr="00356436" w:rsidRDefault="00356436" w:rsidP="00242AC3">
      <w:pPr>
        <w:ind w:right="-284"/>
        <w:jc w:val="both"/>
        <w:rPr>
          <w:rFonts w:cs="Calibri"/>
          <w:szCs w:val="24"/>
          <w:lang w:val="es-ES"/>
        </w:rPr>
      </w:pPr>
      <w:r w:rsidRPr="00356436">
        <w:rPr>
          <w:szCs w:val="24"/>
          <w:lang w:val="es-ES"/>
        </w:rPr>
        <w:t xml:space="preserve">Al definir requisitos normalizados para la gestión inteligente de escuelas, esta Recomendación permite a las instituciones educativas de todo el mundo desplegar soluciones basadas en </w:t>
      </w:r>
      <w:proofErr w:type="spellStart"/>
      <w:r w:rsidRPr="00356436">
        <w:rPr>
          <w:szCs w:val="24"/>
          <w:lang w:val="es-ES"/>
        </w:rPr>
        <w:t>IoT</w:t>
      </w:r>
      <w:proofErr w:type="spellEnd"/>
      <w:r w:rsidRPr="00356436">
        <w:rPr>
          <w:szCs w:val="24"/>
          <w:lang w:val="es-ES"/>
        </w:rPr>
        <w:t xml:space="preserve"> interoperables, escalables y seguras en diversas situaciones de aplicación escolar, como la enseñanza y el aprendizaje, los asuntos académicos, la vida escolar y la seguridad y la protección, mejorando así los resultados educativos.</w:t>
      </w:r>
    </w:p>
    <w:p w14:paraId="4C2CD578" w14:textId="77777777" w:rsidR="00356436" w:rsidRPr="00356436" w:rsidRDefault="00356436" w:rsidP="00402A87">
      <w:pPr>
        <w:pStyle w:val="Heading1"/>
        <w:jc w:val="both"/>
        <w:rPr>
          <w:rFonts w:cs="Calibri"/>
          <w:szCs w:val="24"/>
          <w:lang w:val="es-ES"/>
        </w:rPr>
      </w:pPr>
      <w:r w:rsidRPr="00356436">
        <w:rPr>
          <w:bCs/>
          <w:szCs w:val="24"/>
          <w:lang w:val="es-ES"/>
        </w:rPr>
        <w:t>4</w:t>
      </w:r>
      <w:r w:rsidRPr="00356436">
        <w:rPr>
          <w:szCs w:val="24"/>
          <w:lang w:val="es-ES"/>
        </w:rPr>
        <w:tab/>
      </w:r>
      <w:proofErr w:type="gramStart"/>
      <w:r w:rsidRPr="00356436">
        <w:rPr>
          <w:bCs/>
          <w:szCs w:val="24"/>
          <w:lang w:val="es-ES"/>
        </w:rPr>
        <w:t>Proyecto</w:t>
      </w:r>
      <w:proofErr w:type="gramEnd"/>
      <w:r w:rsidRPr="00356436">
        <w:rPr>
          <w:bCs/>
          <w:szCs w:val="24"/>
          <w:lang w:val="es-ES"/>
        </w:rPr>
        <w:t xml:space="preserve"> de revisión de la Recomendación UIT-T Y.4420</w:t>
      </w:r>
      <w:r w:rsidRPr="00356436">
        <w:rPr>
          <w:szCs w:val="24"/>
          <w:lang w:val="es-ES"/>
        </w:rPr>
        <w:t xml:space="preserve"> (</w:t>
      </w:r>
      <w:hyperlink r:id="rId21" w:history="1">
        <w:r w:rsidRPr="00356436">
          <w:rPr>
            <w:rStyle w:val="Hyperlink"/>
            <w:szCs w:val="24"/>
            <w:lang w:val="es-ES"/>
          </w:rPr>
          <w:t>SG20-R15</w:t>
        </w:r>
      </w:hyperlink>
      <w:r w:rsidRPr="00356436">
        <w:rPr>
          <w:szCs w:val="24"/>
          <w:lang w:val="es-ES"/>
        </w:rPr>
        <w:t>)</w:t>
      </w:r>
      <w:hyperlink r:id="rId22" w:history="1"/>
    </w:p>
    <w:p w14:paraId="6F063F1F" w14:textId="0E6C8D23" w:rsidR="00356436" w:rsidRPr="00356436" w:rsidRDefault="00356436" w:rsidP="00242AC3">
      <w:pPr>
        <w:ind w:right="-284"/>
        <w:jc w:val="both"/>
        <w:rPr>
          <w:rFonts w:cs="Calibri"/>
          <w:szCs w:val="24"/>
          <w:lang w:val="es-ES"/>
        </w:rPr>
      </w:pPr>
      <w:r w:rsidRPr="00356436">
        <w:rPr>
          <w:szCs w:val="24"/>
          <w:lang w:val="es-ES"/>
        </w:rPr>
        <w:t>Marco de supervisión y gestión de ascensores (elevadores) basado en Internet de las cosas</w:t>
      </w:r>
    </w:p>
    <w:p w14:paraId="5DB082FE" w14:textId="77777777" w:rsidR="00356436" w:rsidRPr="00356436" w:rsidRDefault="00356436" w:rsidP="00402A87">
      <w:pPr>
        <w:pStyle w:val="Headingb0"/>
        <w:jc w:val="both"/>
        <w:rPr>
          <w:rFonts w:cs="Calibri"/>
          <w:szCs w:val="24"/>
          <w:lang w:val="es-ES"/>
        </w:rPr>
      </w:pPr>
      <w:r w:rsidRPr="00356436">
        <w:rPr>
          <w:bCs/>
          <w:szCs w:val="24"/>
          <w:lang w:val="es-ES"/>
        </w:rPr>
        <w:t>Resumen</w:t>
      </w:r>
    </w:p>
    <w:p w14:paraId="579E387E" w14:textId="77777777" w:rsidR="00356436" w:rsidRPr="00356436" w:rsidRDefault="00356436" w:rsidP="00242AC3">
      <w:pPr>
        <w:ind w:right="-284"/>
        <w:jc w:val="both"/>
        <w:rPr>
          <w:szCs w:val="24"/>
          <w:lang w:val="es-ES"/>
        </w:rPr>
      </w:pPr>
      <w:r w:rsidRPr="00356436">
        <w:rPr>
          <w:szCs w:val="24"/>
          <w:lang w:val="es-ES"/>
        </w:rPr>
        <w:t>La Recomendación UIT-T Y.4420 describe un marco de supervisión y gestión de ascensores basado en Internet de las cosas (</w:t>
      </w:r>
      <w:proofErr w:type="spellStart"/>
      <w:r w:rsidRPr="00356436">
        <w:rPr>
          <w:szCs w:val="24"/>
          <w:lang w:val="es-ES"/>
        </w:rPr>
        <w:t>IoT</w:t>
      </w:r>
      <w:proofErr w:type="spellEnd"/>
      <w:r w:rsidRPr="00356436">
        <w:rPr>
          <w:szCs w:val="24"/>
          <w:lang w:val="es-ES"/>
        </w:rPr>
        <w:t xml:space="preserve">), incluidos un protocolo y un modelo de datos, y los requisitos para el control externo de ascensores mediante tecnologías </w:t>
      </w:r>
      <w:proofErr w:type="spellStart"/>
      <w:r w:rsidRPr="00356436">
        <w:rPr>
          <w:szCs w:val="24"/>
          <w:lang w:val="es-ES"/>
        </w:rPr>
        <w:t>IoT</w:t>
      </w:r>
      <w:proofErr w:type="spellEnd"/>
      <w:r w:rsidRPr="00356436">
        <w:rPr>
          <w:szCs w:val="24"/>
          <w:lang w:val="es-ES"/>
        </w:rPr>
        <w:t xml:space="preserve">. Los ascensores necesitan interactuar con las aplicaciones a través de las redes de comunicación para proporcionar diferentes tipos de servicios a los usuarios finales. En muchos casos, los ascensores no pueden conectarse directamente a las redes de comunicación. Por consiguiente, las pasarelas soportan la interconexión de dichos ascensores con las redes de comunicación. En consecuencia, varias empresas de ascensores también aplican sus propios modelos de datos y protocolos. Por este motivo, se han producido problemas de interoperabilidad y, por lo tanto, este marco facilitará la supervisión y la gestión basada en </w:t>
      </w:r>
      <w:proofErr w:type="spellStart"/>
      <w:r w:rsidRPr="00356436">
        <w:rPr>
          <w:szCs w:val="24"/>
          <w:lang w:val="es-ES"/>
        </w:rPr>
        <w:t>IoT</w:t>
      </w:r>
      <w:proofErr w:type="spellEnd"/>
      <w:r w:rsidRPr="00356436">
        <w:rPr>
          <w:szCs w:val="24"/>
          <w:lang w:val="es-ES"/>
        </w:rPr>
        <w:t xml:space="preserve"> para que los ascensores funcionen conjuntamente.</w:t>
      </w:r>
    </w:p>
    <w:p w14:paraId="6BEA1B07" w14:textId="77777777" w:rsidR="00356436" w:rsidRPr="00356436" w:rsidRDefault="00356436" w:rsidP="00242AC3">
      <w:pPr>
        <w:ind w:right="-284"/>
        <w:jc w:val="both"/>
        <w:rPr>
          <w:rFonts w:cs="Calibri"/>
          <w:lang w:val="es-ES"/>
        </w:rPr>
      </w:pPr>
      <w:r w:rsidRPr="00356436">
        <w:rPr>
          <w:lang w:val="es-ES"/>
        </w:rPr>
        <w:t xml:space="preserve">NOTA DE LA TSB – En la fecha de la presente Circular, la TSB había recibido una declaración sobre DPI relativa a este proyecto de texto. Para obtener información actualizada, se invita a los miembros a consultar la base de datos DPI en </w:t>
      </w:r>
      <w:hyperlink r:id="rId23" w:history="1">
        <w:r w:rsidRPr="00356436">
          <w:rPr>
            <w:rStyle w:val="Hyperlink"/>
            <w:szCs w:val="24"/>
            <w:lang w:val="es-ES"/>
          </w:rPr>
          <w:t>www.itu.int/ipr/</w:t>
        </w:r>
      </w:hyperlink>
      <w:r w:rsidRPr="00356436">
        <w:rPr>
          <w:lang w:val="es-ES"/>
        </w:rPr>
        <w:t xml:space="preserve">. </w:t>
      </w:r>
      <w:hyperlink r:id="rId24" w:history="1"/>
    </w:p>
    <w:p w14:paraId="0F1BD2E8" w14:textId="77777777" w:rsidR="00356436" w:rsidRPr="00356436" w:rsidRDefault="00356436" w:rsidP="00402A87">
      <w:pPr>
        <w:pStyle w:val="Heading1"/>
        <w:jc w:val="both"/>
        <w:rPr>
          <w:rFonts w:cs="Calibri"/>
          <w:szCs w:val="24"/>
          <w:lang w:val="es-ES"/>
        </w:rPr>
      </w:pPr>
      <w:r w:rsidRPr="00356436">
        <w:rPr>
          <w:bCs/>
          <w:szCs w:val="24"/>
          <w:lang w:val="es-ES"/>
        </w:rPr>
        <w:lastRenderedPageBreak/>
        <w:t>5</w:t>
      </w:r>
      <w:r w:rsidRPr="00356436">
        <w:rPr>
          <w:szCs w:val="24"/>
          <w:lang w:val="es-ES"/>
        </w:rPr>
        <w:tab/>
      </w:r>
      <w:proofErr w:type="gramStart"/>
      <w:r w:rsidRPr="00356436">
        <w:rPr>
          <w:bCs/>
          <w:szCs w:val="24"/>
          <w:lang w:val="es-ES"/>
        </w:rPr>
        <w:t>Proyecto</w:t>
      </w:r>
      <w:proofErr w:type="gramEnd"/>
      <w:r w:rsidRPr="00356436">
        <w:rPr>
          <w:bCs/>
          <w:szCs w:val="24"/>
          <w:lang w:val="es-ES"/>
        </w:rPr>
        <w:t xml:space="preserve"> de nueva Recomendación UIT-T Y.4614 (antes Y.CL-EDM)</w:t>
      </w:r>
      <w:r w:rsidRPr="00356436">
        <w:rPr>
          <w:szCs w:val="24"/>
          <w:lang w:val="es-ES"/>
        </w:rPr>
        <w:t xml:space="preserve"> (</w:t>
      </w:r>
      <w:hyperlink r:id="rId25" w:history="1">
        <w:r w:rsidRPr="00356436">
          <w:rPr>
            <w:rStyle w:val="Hyperlink"/>
            <w:szCs w:val="24"/>
            <w:lang w:val="es-ES"/>
          </w:rPr>
          <w:t>SG20-R16</w:t>
        </w:r>
      </w:hyperlink>
      <w:r w:rsidRPr="00356436">
        <w:rPr>
          <w:szCs w:val="24"/>
          <w:lang w:val="es-ES"/>
        </w:rPr>
        <w:t>)</w:t>
      </w:r>
      <w:hyperlink r:id="rId26" w:history="1"/>
    </w:p>
    <w:p w14:paraId="3976CF65" w14:textId="756F36BA" w:rsidR="00356436" w:rsidRPr="00356436" w:rsidRDefault="00356436" w:rsidP="00242AC3">
      <w:pPr>
        <w:ind w:right="-284"/>
        <w:jc w:val="both"/>
        <w:rPr>
          <w:rFonts w:cs="Calibri"/>
          <w:szCs w:val="24"/>
          <w:lang w:val="es-ES"/>
        </w:rPr>
      </w:pPr>
      <w:r w:rsidRPr="00356436">
        <w:rPr>
          <w:szCs w:val="24"/>
          <w:lang w:val="es-ES"/>
        </w:rPr>
        <w:t>Modelo de datos energéticos para plataformas de gestión energética urbana</w:t>
      </w:r>
    </w:p>
    <w:p w14:paraId="1DFF299D" w14:textId="77777777" w:rsidR="00356436" w:rsidRPr="00356436" w:rsidRDefault="00356436" w:rsidP="00402A87">
      <w:pPr>
        <w:pStyle w:val="Headingb0"/>
        <w:jc w:val="both"/>
        <w:rPr>
          <w:rFonts w:cs="Calibri"/>
          <w:szCs w:val="24"/>
          <w:lang w:val="es-ES"/>
        </w:rPr>
      </w:pPr>
      <w:r w:rsidRPr="00356436">
        <w:rPr>
          <w:bCs/>
          <w:szCs w:val="24"/>
          <w:lang w:val="es-ES"/>
        </w:rPr>
        <w:t>Resumen</w:t>
      </w:r>
    </w:p>
    <w:p w14:paraId="60EC304B" w14:textId="77777777" w:rsidR="00356436" w:rsidRPr="00356436" w:rsidRDefault="00356436" w:rsidP="00242AC3">
      <w:pPr>
        <w:ind w:right="-284"/>
        <w:jc w:val="both"/>
        <w:rPr>
          <w:rFonts w:cs="Calibri"/>
          <w:szCs w:val="24"/>
          <w:lang w:val="es-ES"/>
        </w:rPr>
      </w:pPr>
      <w:r w:rsidRPr="00356436">
        <w:rPr>
          <w:szCs w:val="24"/>
          <w:lang w:val="es-ES"/>
        </w:rPr>
        <w:t>En esta Recomendación se especifica el modelo de datos energéticos de la plataforma de gestión energética urbana (CL-EMP) que soporta los servicios energéticos en edificios y la compartición de datos energéticos con otras plataformas urbanas para la integración de servicios energéticos urbanos en ciudades inteligentes y sostenibles. Se describen los requisitos, el modelo de datos energéticos y la compartición de datos energéticos. El modelo de datos energéticos define qué datos se comparten para soportar la integración de la CL-EMP y otras plataformas urbanas. Por consiguiente, el modelo permite ofrecer diversos servicios energéticos urbanos integrados en los que están vinculados múltiples sectores urbanos.</w:t>
      </w:r>
    </w:p>
    <w:p w14:paraId="6005994B" w14:textId="77777777" w:rsidR="00356436" w:rsidRPr="00356436" w:rsidRDefault="00356436" w:rsidP="00356436">
      <w:pPr>
        <w:pStyle w:val="Heading1"/>
        <w:rPr>
          <w:rFonts w:cs="Calibri"/>
          <w:szCs w:val="24"/>
          <w:lang w:val="es-ES"/>
        </w:rPr>
      </w:pPr>
      <w:r w:rsidRPr="00356436">
        <w:rPr>
          <w:bCs/>
          <w:szCs w:val="24"/>
          <w:lang w:val="es-ES"/>
        </w:rPr>
        <w:t>6</w:t>
      </w:r>
      <w:r w:rsidRPr="00356436">
        <w:rPr>
          <w:szCs w:val="24"/>
          <w:lang w:val="es-ES"/>
        </w:rPr>
        <w:tab/>
      </w:r>
      <w:proofErr w:type="gramStart"/>
      <w:r w:rsidRPr="00356436">
        <w:rPr>
          <w:bCs/>
          <w:szCs w:val="24"/>
          <w:lang w:val="es-ES"/>
        </w:rPr>
        <w:t>Proyecto</w:t>
      </w:r>
      <w:proofErr w:type="gramEnd"/>
      <w:r w:rsidRPr="00356436">
        <w:rPr>
          <w:bCs/>
          <w:szCs w:val="24"/>
          <w:lang w:val="es-ES"/>
        </w:rPr>
        <w:t xml:space="preserve"> de nueva Recomendación UIT-T Y.4815 (antes </w:t>
      </w:r>
      <w:proofErr w:type="spellStart"/>
      <w:r w:rsidRPr="00356436">
        <w:rPr>
          <w:bCs/>
          <w:szCs w:val="24"/>
          <w:lang w:val="es-ES"/>
        </w:rPr>
        <w:t>Y.uas-dc-fr</w:t>
      </w:r>
      <w:proofErr w:type="spellEnd"/>
      <w:r w:rsidRPr="00356436">
        <w:rPr>
          <w:bCs/>
          <w:szCs w:val="24"/>
          <w:lang w:val="es-ES"/>
        </w:rPr>
        <w:t>)</w:t>
      </w:r>
      <w:r w:rsidRPr="00356436">
        <w:rPr>
          <w:szCs w:val="24"/>
          <w:lang w:val="es-ES"/>
        </w:rPr>
        <w:t xml:space="preserve"> (</w:t>
      </w:r>
      <w:hyperlink r:id="rId27" w:history="1">
        <w:r w:rsidRPr="00356436">
          <w:rPr>
            <w:rStyle w:val="Hyperlink"/>
            <w:szCs w:val="24"/>
            <w:lang w:val="es-ES"/>
          </w:rPr>
          <w:t>SG20-R17</w:t>
        </w:r>
      </w:hyperlink>
      <w:r w:rsidRPr="00356436">
        <w:rPr>
          <w:szCs w:val="24"/>
          <w:lang w:val="es-ES"/>
        </w:rPr>
        <w:t>)</w:t>
      </w:r>
      <w:hyperlink r:id="rId28" w:history="1"/>
    </w:p>
    <w:p w14:paraId="51D6A93D" w14:textId="4693748E" w:rsidR="00356436" w:rsidRPr="00356436" w:rsidRDefault="00356436" w:rsidP="00242AC3">
      <w:pPr>
        <w:ind w:right="-284"/>
        <w:jc w:val="both"/>
        <w:rPr>
          <w:rFonts w:cs="Calibri"/>
          <w:szCs w:val="24"/>
          <w:lang w:val="es-ES"/>
        </w:rPr>
      </w:pPr>
      <w:r w:rsidRPr="00356436">
        <w:rPr>
          <w:szCs w:val="24"/>
          <w:lang w:val="es-ES"/>
        </w:rPr>
        <w:t>Marco del servicio de autenticación unificada para la colaboración de datos en infraestructuras de energía eléctrica basadas en Internet de las cosas (</w:t>
      </w:r>
      <w:proofErr w:type="spellStart"/>
      <w:r w:rsidRPr="00356436">
        <w:rPr>
          <w:szCs w:val="24"/>
          <w:lang w:val="es-ES"/>
        </w:rPr>
        <w:t>IoT</w:t>
      </w:r>
      <w:proofErr w:type="spellEnd"/>
      <w:r w:rsidRPr="00356436">
        <w:rPr>
          <w:szCs w:val="24"/>
          <w:lang w:val="es-ES"/>
        </w:rPr>
        <w:t>)</w:t>
      </w:r>
    </w:p>
    <w:p w14:paraId="33275E94" w14:textId="77777777" w:rsidR="00356436" w:rsidRPr="00356436" w:rsidRDefault="00356436" w:rsidP="00402A87">
      <w:pPr>
        <w:pStyle w:val="Headingb0"/>
        <w:jc w:val="both"/>
        <w:rPr>
          <w:rFonts w:cs="Calibri"/>
          <w:szCs w:val="24"/>
          <w:lang w:val="es-ES"/>
        </w:rPr>
      </w:pPr>
      <w:r w:rsidRPr="00356436">
        <w:rPr>
          <w:bCs/>
          <w:szCs w:val="24"/>
          <w:lang w:val="es-ES"/>
        </w:rPr>
        <w:t>Resumen</w:t>
      </w:r>
    </w:p>
    <w:p w14:paraId="0864304E" w14:textId="77777777" w:rsidR="00356436" w:rsidRPr="00356436" w:rsidRDefault="00356436" w:rsidP="00242AC3">
      <w:pPr>
        <w:ind w:right="-284"/>
        <w:jc w:val="both"/>
        <w:rPr>
          <w:rFonts w:cs="Calibri"/>
          <w:szCs w:val="24"/>
          <w:lang w:val="es-ES"/>
        </w:rPr>
      </w:pPr>
      <w:r w:rsidRPr="00242AC3">
        <w:rPr>
          <w:szCs w:val="24"/>
          <w:lang w:val="es-ES"/>
        </w:rPr>
        <w:t>En</w:t>
      </w:r>
      <w:r w:rsidRPr="00356436">
        <w:rPr>
          <w:rFonts w:cs="Calibri"/>
          <w:szCs w:val="24"/>
          <w:lang w:val="es-ES"/>
        </w:rPr>
        <w:t xml:space="preserve"> una infraestructura de energía eléctrica basada en </w:t>
      </w:r>
      <w:proofErr w:type="spellStart"/>
      <w:r w:rsidRPr="00356436">
        <w:rPr>
          <w:rFonts w:cs="Calibri"/>
          <w:szCs w:val="24"/>
          <w:lang w:val="es-ES"/>
        </w:rPr>
        <w:t>IoT</w:t>
      </w:r>
      <w:proofErr w:type="spellEnd"/>
      <w:r w:rsidRPr="00356436">
        <w:rPr>
          <w:rFonts w:cs="Calibri"/>
          <w:szCs w:val="24"/>
          <w:lang w:val="es-ES"/>
        </w:rPr>
        <w:t xml:space="preserve"> (IEE-</w:t>
      </w:r>
      <w:proofErr w:type="spellStart"/>
      <w:r w:rsidRPr="00356436">
        <w:rPr>
          <w:rFonts w:cs="Calibri"/>
          <w:szCs w:val="24"/>
          <w:lang w:val="es-ES"/>
        </w:rPr>
        <w:t>IoT</w:t>
      </w:r>
      <w:proofErr w:type="spellEnd"/>
      <w:r w:rsidRPr="00356436">
        <w:rPr>
          <w:rFonts w:cs="Calibri"/>
          <w:szCs w:val="24"/>
          <w:lang w:val="es-ES"/>
        </w:rPr>
        <w:t>) es habitual la colaboración de datos entre distintos sistemas de comunicación para las aplicaciones y desempeña un papel fundamental para permitir operaciones como el análisis de datos, la optimización operativa y la toma de decisiones. Tradicionalmente cada aplicación ha de desarrollar un módulo de autentificación distinto para cada sistema de información, lo que aumenta los costes, la complejidad y la superficie de ataque.</w:t>
      </w:r>
    </w:p>
    <w:p w14:paraId="069DE054" w14:textId="77777777" w:rsidR="00356436" w:rsidRPr="00356436" w:rsidRDefault="00356436" w:rsidP="00356436">
      <w:pPr>
        <w:jc w:val="both"/>
        <w:rPr>
          <w:rFonts w:cs="Calibri"/>
          <w:szCs w:val="24"/>
          <w:lang w:val="es-ES"/>
        </w:rPr>
      </w:pPr>
      <w:r w:rsidRPr="00356436">
        <w:rPr>
          <w:rFonts w:cs="Calibri"/>
          <w:szCs w:val="24"/>
          <w:lang w:val="es-ES"/>
        </w:rPr>
        <w:t>En esta Recomendación se especifica un servicio de autentificación unificada (AU) para la colaboración de datos en IEE-</w:t>
      </w:r>
      <w:proofErr w:type="spellStart"/>
      <w:r w:rsidRPr="00356436">
        <w:rPr>
          <w:rFonts w:cs="Calibri"/>
          <w:szCs w:val="24"/>
          <w:lang w:val="es-ES"/>
        </w:rPr>
        <w:t>IoT</w:t>
      </w:r>
      <w:proofErr w:type="spellEnd"/>
      <w:r w:rsidRPr="00356436">
        <w:rPr>
          <w:rFonts w:cs="Calibri"/>
          <w:szCs w:val="24"/>
          <w:lang w:val="es-ES"/>
        </w:rPr>
        <w:t>, incluidas sus características, requisitos, arquitectura funcional, capacidades y procedimientos generales.</w:t>
      </w:r>
    </w:p>
    <w:p w14:paraId="71B3AEA2" w14:textId="77777777" w:rsidR="00356436" w:rsidRPr="00356436" w:rsidRDefault="00356436" w:rsidP="00402A87">
      <w:pPr>
        <w:pStyle w:val="Heading1"/>
        <w:jc w:val="both"/>
        <w:rPr>
          <w:rFonts w:cs="Calibri"/>
          <w:szCs w:val="24"/>
          <w:lang w:val="es-ES"/>
        </w:rPr>
      </w:pPr>
      <w:r w:rsidRPr="00356436">
        <w:rPr>
          <w:bCs/>
          <w:szCs w:val="24"/>
          <w:lang w:val="es-ES"/>
        </w:rPr>
        <w:t>7</w:t>
      </w:r>
      <w:r w:rsidRPr="00356436">
        <w:rPr>
          <w:szCs w:val="24"/>
          <w:lang w:val="es-ES"/>
        </w:rPr>
        <w:tab/>
      </w:r>
      <w:proofErr w:type="gramStart"/>
      <w:r w:rsidRPr="00356436">
        <w:rPr>
          <w:bCs/>
          <w:szCs w:val="24"/>
          <w:lang w:val="es-ES"/>
        </w:rPr>
        <w:t>Proyecto</w:t>
      </w:r>
      <w:proofErr w:type="gramEnd"/>
      <w:r w:rsidRPr="00356436">
        <w:rPr>
          <w:bCs/>
          <w:szCs w:val="24"/>
          <w:lang w:val="es-ES"/>
        </w:rPr>
        <w:t xml:space="preserve"> de nueva Recomendación UIT-T Y.4816 (antes </w:t>
      </w:r>
      <w:proofErr w:type="spellStart"/>
      <w:proofErr w:type="gramStart"/>
      <w:r w:rsidRPr="00356436">
        <w:rPr>
          <w:bCs/>
          <w:szCs w:val="24"/>
          <w:lang w:val="es-ES"/>
        </w:rPr>
        <w:t>Y.bsis</w:t>
      </w:r>
      <w:proofErr w:type="gramEnd"/>
      <w:r w:rsidRPr="00356436">
        <w:rPr>
          <w:bCs/>
          <w:szCs w:val="24"/>
          <w:lang w:val="es-ES"/>
        </w:rPr>
        <w:t>-sec</w:t>
      </w:r>
      <w:proofErr w:type="spellEnd"/>
      <w:r w:rsidRPr="00356436">
        <w:rPr>
          <w:bCs/>
          <w:szCs w:val="24"/>
          <w:lang w:val="es-ES"/>
        </w:rPr>
        <w:t>)</w:t>
      </w:r>
      <w:r w:rsidRPr="00356436">
        <w:rPr>
          <w:szCs w:val="24"/>
          <w:lang w:val="es-ES"/>
        </w:rPr>
        <w:t xml:space="preserve"> (</w:t>
      </w:r>
      <w:hyperlink r:id="rId29" w:history="1">
        <w:r w:rsidRPr="00356436">
          <w:rPr>
            <w:rStyle w:val="Hyperlink"/>
            <w:szCs w:val="24"/>
            <w:lang w:val="es-ES"/>
          </w:rPr>
          <w:t>SG20-R18</w:t>
        </w:r>
      </w:hyperlink>
      <w:r w:rsidRPr="00356436">
        <w:rPr>
          <w:szCs w:val="24"/>
          <w:lang w:val="es-ES"/>
        </w:rPr>
        <w:t>)</w:t>
      </w:r>
      <w:hyperlink r:id="rId30" w:history="1"/>
    </w:p>
    <w:p w14:paraId="153F7EEE" w14:textId="21EB5683" w:rsidR="00356436" w:rsidRPr="00356436" w:rsidRDefault="00356436" w:rsidP="00242AC3">
      <w:pPr>
        <w:ind w:right="-284"/>
        <w:jc w:val="both"/>
        <w:rPr>
          <w:rFonts w:cs="Calibri"/>
          <w:szCs w:val="24"/>
          <w:lang w:val="es-ES"/>
        </w:rPr>
      </w:pPr>
      <w:r w:rsidRPr="00356436">
        <w:rPr>
          <w:szCs w:val="24"/>
          <w:lang w:val="es-ES"/>
        </w:rPr>
        <w:t>Requisitos y capacidades de seguridad de los servicios de inspección de las estaciones base con aeronaves no tripuladas</w:t>
      </w:r>
    </w:p>
    <w:p w14:paraId="3FF53086" w14:textId="77777777" w:rsidR="00356436" w:rsidRPr="00356436" w:rsidRDefault="00356436" w:rsidP="00402A87">
      <w:pPr>
        <w:pStyle w:val="Headingb0"/>
        <w:jc w:val="both"/>
        <w:rPr>
          <w:rFonts w:cs="Calibri"/>
          <w:szCs w:val="24"/>
          <w:lang w:val="es-ES"/>
        </w:rPr>
      </w:pPr>
      <w:r w:rsidRPr="00356436">
        <w:rPr>
          <w:bCs/>
          <w:szCs w:val="24"/>
          <w:lang w:val="es-ES"/>
        </w:rPr>
        <w:t>Resumen</w:t>
      </w:r>
    </w:p>
    <w:p w14:paraId="3C536A22" w14:textId="77777777" w:rsidR="00356436" w:rsidRPr="00356436" w:rsidRDefault="00356436" w:rsidP="00242AC3">
      <w:pPr>
        <w:ind w:right="-284"/>
        <w:jc w:val="both"/>
        <w:rPr>
          <w:szCs w:val="24"/>
          <w:lang w:val="es-ES"/>
        </w:rPr>
      </w:pPr>
      <w:r w:rsidRPr="00356436">
        <w:rPr>
          <w:szCs w:val="24"/>
          <w:lang w:val="es-ES"/>
        </w:rPr>
        <w:t xml:space="preserve">El término estaciones de base se refiere a las estaciones exteriores en ciudades inteligentes que prestan servicios públicos, como estaciones de transmisión de energía, estaciones de base de comunicaciones, estaciones de vigilancia meteorológica y estaciones de supervisión de la calidad del agua. Estas estaciones de base suelen estar situadas en exteriores y pueden sufrir daños debido a los cambios climáticos y al envejecimiento de los materiales. Por lo tanto, requieren inspecciones oportunas y periódicas. </w:t>
      </w:r>
    </w:p>
    <w:p w14:paraId="671B71F1" w14:textId="77777777" w:rsidR="00356436" w:rsidRPr="00356436" w:rsidRDefault="00356436" w:rsidP="00356436">
      <w:pPr>
        <w:jc w:val="both"/>
        <w:rPr>
          <w:szCs w:val="24"/>
          <w:lang w:val="es-ES"/>
        </w:rPr>
      </w:pPr>
      <w:r w:rsidRPr="00356436">
        <w:rPr>
          <w:szCs w:val="24"/>
          <w:lang w:val="es-ES"/>
        </w:rPr>
        <w:t xml:space="preserve">A diferencia de la seguridad tradicional de la </w:t>
      </w:r>
      <w:proofErr w:type="spellStart"/>
      <w:r w:rsidRPr="00356436">
        <w:rPr>
          <w:szCs w:val="24"/>
          <w:lang w:val="es-ES"/>
        </w:rPr>
        <w:t>IoT</w:t>
      </w:r>
      <w:proofErr w:type="spellEnd"/>
      <w:r w:rsidRPr="00356436">
        <w:rPr>
          <w:szCs w:val="24"/>
          <w:lang w:val="es-ES"/>
        </w:rPr>
        <w:t xml:space="preserve">, el servicio de inspección de estas estaciones de base se enfrenta a riesgos de seguridad significativos y únicos. El despliegue generalizado de aeronaves no tripuladas, especialmente desde estaciones de acoplamiento remotas, crea una amplia superficie de ataque y hace que el proceso de servicio sea vulnerable a los ataques. Esas vulnerabilidades podrían dar lugar al robo de datos, incluido el acceso no autorizado a imágenes sensibles de zonas restringidas, lo que plantea importantes riesgos de seguridad. </w:t>
      </w:r>
    </w:p>
    <w:p w14:paraId="22EF115B" w14:textId="77777777" w:rsidR="00356436" w:rsidRPr="00356436" w:rsidRDefault="00356436" w:rsidP="00356436">
      <w:pPr>
        <w:jc w:val="both"/>
        <w:rPr>
          <w:rFonts w:cs="Calibri"/>
          <w:szCs w:val="24"/>
          <w:lang w:val="es-ES"/>
        </w:rPr>
      </w:pPr>
      <w:r w:rsidRPr="00356436">
        <w:rPr>
          <w:szCs w:val="24"/>
          <w:lang w:val="es-ES"/>
        </w:rPr>
        <w:t xml:space="preserve">La presente Recomendación especifica los requisitos y capacidades de seguridad de los servicios de inspección de las estaciones de base con aeronaves no tripuladas. Su objetivo es mejorar la protección de la seguridad de la información y prevenir incidentes de seguridad, como el acceso no autorizado, las intrusiones maliciosas y la manipulación de datos, contribuyendo así a la seguridad </w:t>
      </w:r>
      <w:r w:rsidRPr="00356436">
        <w:rPr>
          <w:szCs w:val="24"/>
          <w:lang w:val="es-ES"/>
        </w:rPr>
        <w:lastRenderedPageBreak/>
        <w:t>general de las estaciones de base y al mantenimiento de la calidad de los servicios públicos en las ciudades inteligentes.</w:t>
      </w:r>
    </w:p>
    <w:p w14:paraId="48798BA0" w14:textId="77777777" w:rsidR="00356436" w:rsidRPr="00356436" w:rsidRDefault="00356436" w:rsidP="00402A87">
      <w:pPr>
        <w:pStyle w:val="Heading1"/>
        <w:jc w:val="both"/>
        <w:rPr>
          <w:rFonts w:cs="Calibri"/>
          <w:szCs w:val="24"/>
          <w:lang w:val="es-ES"/>
        </w:rPr>
      </w:pPr>
      <w:r w:rsidRPr="00356436">
        <w:rPr>
          <w:bCs/>
          <w:szCs w:val="24"/>
          <w:lang w:val="es-ES"/>
        </w:rPr>
        <w:t>8</w:t>
      </w:r>
      <w:r w:rsidRPr="00356436">
        <w:rPr>
          <w:szCs w:val="24"/>
          <w:lang w:val="es-ES"/>
        </w:rPr>
        <w:tab/>
      </w:r>
      <w:proofErr w:type="gramStart"/>
      <w:r w:rsidRPr="00356436">
        <w:rPr>
          <w:bCs/>
          <w:szCs w:val="24"/>
          <w:lang w:val="es-ES"/>
        </w:rPr>
        <w:t>Proyecto</w:t>
      </w:r>
      <w:proofErr w:type="gramEnd"/>
      <w:r w:rsidRPr="00356436">
        <w:rPr>
          <w:bCs/>
          <w:szCs w:val="24"/>
          <w:lang w:val="es-ES"/>
        </w:rPr>
        <w:t xml:space="preserve"> de nueva Recomendación UIT-T Y.4912 (antes </w:t>
      </w:r>
      <w:proofErr w:type="gramStart"/>
      <w:r w:rsidRPr="00356436">
        <w:rPr>
          <w:bCs/>
          <w:szCs w:val="24"/>
          <w:lang w:val="es-ES"/>
        </w:rPr>
        <w:t>Y.SNPG</w:t>
      </w:r>
      <w:proofErr w:type="gramEnd"/>
      <w:r w:rsidRPr="00356436">
        <w:rPr>
          <w:bCs/>
          <w:szCs w:val="24"/>
          <w:lang w:val="es-ES"/>
        </w:rPr>
        <w:t>-</w:t>
      </w:r>
      <w:proofErr w:type="spellStart"/>
      <w:r w:rsidRPr="00356436">
        <w:rPr>
          <w:bCs/>
          <w:szCs w:val="24"/>
          <w:lang w:val="es-ES"/>
        </w:rPr>
        <w:t>ref</w:t>
      </w:r>
      <w:proofErr w:type="spellEnd"/>
      <w:r w:rsidRPr="00356436">
        <w:rPr>
          <w:bCs/>
          <w:szCs w:val="24"/>
          <w:lang w:val="es-ES"/>
        </w:rPr>
        <w:t>)</w:t>
      </w:r>
      <w:r w:rsidRPr="00356436">
        <w:rPr>
          <w:szCs w:val="24"/>
          <w:lang w:val="es-ES"/>
        </w:rPr>
        <w:t xml:space="preserve"> (</w:t>
      </w:r>
      <w:hyperlink r:id="rId31" w:history="1">
        <w:r w:rsidRPr="00356436">
          <w:rPr>
            <w:rStyle w:val="Hyperlink"/>
            <w:szCs w:val="24"/>
            <w:lang w:val="es-ES"/>
          </w:rPr>
          <w:t>SG20-R19</w:t>
        </w:r>
      </w:hyperlink>
      <w:r w:rsidRPr="00356436">
        <w:rPr>
          <w:szCs w:val="24"/>
          <w:lang w:val="es-ES"/>
        </w:rPr>
        <w:t>)</w:t>
      </w:r>
      <w:hyperlink r:id="rId32" w:history="1"/>
    </w:p>
    <w:p w14:paraId="79EE6279" w14:textId="77777777" w:rsidR="00356436" w:rsidRPr="00356436" w:rsidRDefault="00356436" w:rsidP="00242AC3">
      <w:pPr>
        <w:ind w:right="-284"/>
        <w:jc w:val="both"/>
        <w:rPr>
          <w:rFonts w:cs="Calibri"/>
          <w:szCs w:val="24"/>
          <w:lang w:val="es-ES"/>
        </w:rPr>
      </w:pPr>
      <w:r w:rsidRPr="00356436">
        <w:rPr>
          <w:szCs w:val="24"/>
          <w:lang w:val="es-ES"/>
        </w:rPr>
        <w:t>Marco de evaluación de la fiabilidad de las redes de detección en las redes de suministro eléctrico</w:t>
      </w:r>
    </w:p>
    <w:p w14:paraId="4944A4A2" w14:textId="77777777" w:rsidR="00356436" w:rsidRPr="00356436" w:rsidRDefault="00356436" w:rsidP="00402A87">
      <w:pPr>
        <w:pStyle w:val="Headingb0"/>
        <w:jc w:val="both"/>
        <w:rPr>
          <w:rFonts w:cs="Calibri"/>
          <w:szCs w:val="24"/>
          <w:lang w:val="es-ES"/>
        </w:rPr>
      </w:pPr>
      <w:r w:rsidRPr="00356436">
        <w:rPr>
          <w:bCs/>
          <w:szCs w:val="24"/>
          <w:lang w:val="es-ES"/>
        </w:rPr>
        <w:t>Resumen</w:t>
      </w:r>
    </w:p>
    <w:p w14:paraId="696CAB3F" w14:textId="77777777" w:rsidR="00356436" w:rsidRPr="00356436" w:rsidRDefault="00356436" w:rsidP="00356436">
      <w:pPr>
        <w:jc w:val="both"/>
        <w:rPr>
          <w:szCs w:val="24"/>
          <w:lang w:val="es-ES"/>
        </w:rPr>
      </w:pPr>
      <w:r w:rsidRPr="00356436">
        <w:rPr>
          <w:szCs w:val="24"/>
          <w:lang w:val="es-ES"/>
        </w:rPr>
        <w:t>Esta Recomendación especifica la visión general, los requisitos de evaluación de la fiabilidad y el marco de las redes de detección en las redes de suministro eléctrico (SNPG).</w:t>
      </w:r>
    </w:p>
    <w:p w14:paraId="08F28C45" w14:textId="77777777" w:rsidR="00356436" w:rsidRPr="00356436" w:rsidRDefault="00356436" w:rsidP="00356436">
      <w:pPr>
        <w:jc w:val="both"/>
        <w:rPr>
          <w:rFonts w:cs="Calibri"/>
          <w:szCs w:val="24"/>
          <w:lang w:val="es-ES"/>
        </w:rPr>
      </w:pPr>
      <w:r w:rsidRPr="00356436">
        <w:rPr>
          <w:szCs w:val="24"/>
          <w:lang w:val="es-ES"/>
        </w:rPr>
        <w:t>La Internet de las cosas (</w:t>
      </w:r>
      <w:proofErr w:type="spellStart"/>
      <w:r w:rsidRPr="00356436">
        <w:rPr>
          <w:szCs w:val="24"/>
          <w:lang w:val="es-ES"/>
        </w:rPr>
        <w:t>IoT</w:t>
      </w:r>
      <w:proofErr w:type="spellEnd"/>
      <w:r w:rsidRPr="00356436">
        <w:rPr>
          <w:szCs w:val="24"/>
          <w:lang w:val="es-ES"/>
        </w:rPr>
        <w:t>), como tecnología relativamente nueva, está transformando las redes de detección en redes eléctricas para mejorar aún más los servicios de transformación de los datos de detección. Sin embargo, esta transformación crea simultáneamente la necesidad de un marco eficaz de evaluación de la fiabilidad de la red de detección en la red de suministro eléctrico. Este marco proporciona una referencia completa para la evaluación de la fiabilidad de las redes de detección en las redes de suministro eléctrico.</w:t>
      </w:r>
    </w:p>
    <w:p w14:paraId="5BFBFA9F" w14:textId="77777777" w:rsidR="00356436" w:rsidRPr="00356436" w:rsidRDefault="00356436" w:rsidP="00356436">
      <w:pPr>
        <w:pStyle w:val="Heading1"/>
        <w:rPr>
          <w:rFonts w:cs="Calibri"/>
          <w:szCs w:val="24"/>
          <w:lang w:val="es-ES"/>
        </w:rPr>
      </w:pPr>
      <w:r w:rsidRPr="00356436">
        <w:rPr>
          <w:bCs/>
          <w:szCs w:val="24"/>
          <w:lang w:val="es-ES"/>
        </w:rPr>
        <w:t>9</w:t>
      </w:r>
      <w:r w:rsidRPr="00356436">
        <w:rPr>
          <w:szCs w:val="24"/>
          <w:lang w:val="es-ES"/>
        </w:rPr>
        <w:tab/>
      </w:r>
      <w:proofErr w:type="gramStart"/>
      <w:r w:rsidRPr="00356436">
        <w:rPr>
          <w:szCs w:val="24"/>
          <w:lang w:val="es-ES"/>
        </w:rPr>
        <w:t>Proyecto</w:t>
      </w:r>
      <w:proofErr w:type="gramEnd"/>
      <w:r w:rsidRPr="00356436">
        <w:rPr>
          <w:szCs w:val="24"/>
          <w:lang w:val="es-ES"/>
        </w:rPr>
        <w:t xml:space="preserve"> de nueva Recomendación UIT-T Y.4512 (antes Y.SC-DESMS) (</w:t>
      </w:r>
      <w:hyperlink r:id="rId33" w:history="1">
        <w:r w:rsidRPr="00356436">
          <w:rPr>
            <w:rStyle w:val="Hyperlink"/>
            <w:szCs w:val="24"/>
            <w:lang w:val="es-ES"/>
          </w:rPr>
          <w:t>SG20-R20</w:t>
        </w:r>
      </w:hyperlink>
      <w:r w:rsidRPr="00356436">
        <w:rPr>
          <w:szCs w:val="24"/>
          <w:lang w:val="es-ES"/>
        </w:rPr>
        <w:t>)</w:t>
      </w:r>
      <w:hyperlink r:id="rId34" w:history="1"/>
    </w:p>
    <w:p w14:paraId="6CCA9182" w14:textId="77777777" w:rsidR="00356436" w:rsidRPr="00356436" w:rsidRDefault="00356436" w:rsidP="00242AC3">
      <w:pPr>
        <w:ind w:right="-284"/>
        <w:jc w:val="both"/>
        <w:rPr>
          <w:rFonts w:cs="Calibri"/>
          <w:szCs w:val="24"/>
          <w:lang w:val="es-ES"/>
        </w:rPr>
      </w:pPr>
      <w:r w:rsidRPr="00356436">
        <w:rPr>
          <w:szCs w:val="24"/>
          <w:lang w:val="es-ES"/>
        </w:rPr>
        <w:t xml:space="preserve">Arquitectura funcional de sistemas de gestión de almacenamiento energético distribuido mediante </w:t>
      </w:r>
      <w:proofErr w:type="spellStart"/>
      <w:r w:rsidRPr="00356436">
        <w:rPr>
          <w:szCs w:val="24"/>
          <w:lang w:val="es-ES"/>
        </w:rPr>
        <w:t>IoT</w:t>
      </w:r>
      <w:proofErr w:type="spellEnd"/>
      <w:r w:rsidRPr="00356436">
        <w:rPr>
          <w:szCs w:val="24"/>
          <w:lang w:val="es-ES"/>
        </w:rPr>
        <w:t xml:space="preserve"> en ciudades inteligentes</w:t>
      </w:r>
    </w:p>
    <w:p w14:paraId="323D09B6" w14:textId="77777777" w:rsidR="00356436" w:rsidRPr="00356436" w:rsidRDefault="00356436" w:rsidP="00402A87">
      <w:pPr>
        <w:pStyle w:val="Headingb0"/>
        <w:jc w:val="both"/>
        <w:rPr>
          <w:rFonts w:cs="Calibri"/>
          <w:szCs w:val="24"/>
          <w:lang w:val="es-ES"/>
        </w:rPr>
      </w:pPr>
      <w:r w:rsidRPr="00356436">
        <w:rPr>
          <w:bCs/>
          <w:szCs w:val="24"/>
          <w:lang w:val="es-ES"/>
        </w:rPr>
        <w:t>Resumen</w:t>
      </w:r>
    </w:p>
    <w:p w14:paraId="6AAA4ABB" w14:textId="77777777" w:rsidR="00356436" w:rsidRPr="00356436" w:rsidRDefault="00356436" w:rsidP="00242AC3">
      <w:pPr>
        <w:ind w:right="-284"/>
        <w:jc w:val="both"/>
        <w:rPr>
          <w:rFonts w:cs="Calibri"/>
          <w:szCs w:val="24"/>
          <w:lang w:val="es-ES"/>
        </w:rPr>
      </w:pPr>
      <w:r w:rsidRPr="00356436">
        <w:rPr>
          <w:szCs w:val="24"/>
          <w:lang w:val="es-ES"/>
        </w:rPr>
        <w:t xml:space="preserve">En la Recomendación UIT-T Y.SC-DESMS se especifican los requisitos y el marco arquitectónico funcional del sistema distribuido de gestión del almacenamiento energético (DESMS). Proporciona orientaciones para el diseño, desarrollo y aplicación de DESMS mediante </w:t>
      </w:r>
      <w:proofErr w:type="spellStart"/>
      <w:r w:rsidRPr="00356436">
        <w:rPr>
          <w:szCs w:val="24"/>
          <w:lang w:val="es-ES"/>
        </w:rPr>
        <w:t>IoT</w:t>
      </w:r>
      <w:proofErr w:type="spellEnd"/>
      <w:r w:rsidRPr="00356436">
        <w:rPr>
          <w:szCs w:val="24"/>
          <w:lang w:val="es-ES"/>
        </w:rPr>
        <w:t xml:space="preserve"> para ciudades inteligentes. Las ciudades inteligentes imponen nuevos requisitos a los sistemas energéticos, especialmente la fiabilidad y la limpieza. Esto impulsa la adopción generalizada del almacenamiento distribuido de energía (DES), mejorando la confiabilidad del suministro de energía y avanzando en la utilización de energía renovable. Con el avance de la tecnología de Internet de las cosas (</w:t>
      </w:r>
      <w:proofErr w:type="spellStart"/>
      <w:r w:rsidRPr="00356436">
        <w:rPr>
          <w:szCs w:val="24"/>
          <w:lang w:val="es-ES"/>
        </w:rPr>
        <w:t>IoT</w:t>
      </w:r>
      <w:proofErr w:type="spellEnd"/>
      <w:r w:rsidRPr="00356436">
        <w:rPr>
          <w:szCs w:val="24"/>
          <w:lang w:val="es-ES"/>
        </w:rPr>
        <w:t xml:space="preserve">), se han implantado sistemas de gestión DES mediante </w:t>
      </w:r>
      <w:proofErr w:type="spellStart"/>
      <w:r w:rsidRPr="00356436">
        <w:rPr>
          <w:szCs w:val="24"/>
          <w:lang w:val="es-ES"/>
        </w:rPr>
        <w:t>IoT</w:t>
      </w:r>
      <w:proofErr w:type="spellEnd"/>
      <w:r w:rsidRPr="00356436">
        <w:rPr>
          <w:szCs w:val="24"/>
          <w:lang w:val="es-ES"/>
        </w:rPr>
        <w:t xml:space="preserve"> (DESMS) en algunos países y regiones.</w:t>
      </w:r>
    </w:p>
    <w:p w14:paraId="2201C9F1" w14:textId="77777777" w:rsidR="00356436" w:rsidRPr="00356436" w:rsidRDefault="00356436" w:rsidP="00402A87">
      <w:pPr>
        <w:pStyle w:val="Heading1"/>
        <w:jc w:val="both"/>
        <w:rPr>
          <w:rFonts w:cs="Calibri"/>
          <w:szCs w:val="24"/>
          <w:lang w:val="es-ES"/>
        </w:rPr>
      </w:pPr>
      <w:r w:rsidRPr="00356436">
        <w:rPr>
          <w:bCs/>
          <w:szCs w:val="24"/>
          <w:lang w:val="es-ES"/>
        </w:rPr>
        <w:t>10</w:t>
      </w:r>
      <w:r w:rsidRPr="00356436">
        <w:rPr>
          <w:szCs w:val="24"/>
          <w:lang w:val="es-ES"/>
        </w:rPr>
        <w:tab/>
      </w:r>
      <w:proofErr w:type="gramStart"/>
      <w:r w:rsidRPr="00356436">
        <w:rPr>
          <w:bCs/>
          <w:szCs w:val="24"/>
          <w:lang w:val="es-ES"/>
        </w:rPr>
        <w:t>Proyecto</w:t>
      </w:r>
      <w:proofErr w:type="gramEnd"/>
      <w:r w:rsidRPr="00356436">
        <w:rPr>
          <w:bCs/>
          <w:szCs w:val="24"/>
          <w:lang w:val="es-ES"/>
        </w:rPr>
        <w:t xml:space="preserve"> de nueva Recomendación UIT-T Y.4244 (antes </w:t>
      </w:r>
      <w:proofErr w:type="gramStart"/>
      <w:r w:rsidRPr="00356436">
        <w:rPr>
          <w:bCs/>
          <w:szCs w:val="24"/>
          <w:lang w:val="es-ES"/>
        </w:rPr>
        <w:t>Y.EPWS</w:t>
      </w:r>
      <w:proofErr w:type="gramEnd"/>
      <w:r w:rsidRPr="00356436">
        <w:rPr>
          <w:bCs/>
          <w:szCs w:val="24"/>
          <w:lang w:val="es-ES"/>
        </w:rPr>
        <w:t>-</w:t>
      </w:r>
      <w:proofErr w:type="spellStart"/>
      <w:r w:rsidRPr="00356436">
        <w:rPr>
          <w:bCs/>
          <w:szCs w:val="24"/>
          <w:lang w:val="es-ES"/>
        </w:rPr>
        <w:t>fc</w:t>
      </w:r>
      <w:proofErr w:type="spellEnd"/>
      <w:r w:rsidRPr="00356436">
        <w:rPr>
          <w:bCs/>
          <w:szCs w:val="24"/>
          <w:lang w:val="es-ES"/>
        </w:rPr>
        <w:t xml:space="preserve">) </w:t>
      </w:r>
      <w:r w:rsidRPr="00356436">
        <w:rPr>
          <w:szCs w:val="24"/>
          <w:lang w:val="es-ES"/>
        </w:rPr>
        <w:t>(</w:t>
      </w:r>
      <w:hyperlink r:id="rId35" w:history="1">
        <w:r w:rsidRPr="00356436">
          <w:rPr>
            <w:rStyle w:val="Hyperlink"/>
            <w:szCs w:val="24"/>
            <w:lang w:val="es-ES"/>
          </w:rPr>
          <w:t>SG20-R21</w:t>
        </w:r>
      </w:hyperlink>
      <w:r w:rsidRPr="00356436">
        <w:rPr>
          <w:szCs w:val="24"/>
          <w:lang w:val="es-ES"/>
        </w:rPr>
        <w:t>)</w:t>
      </w:r>
      <w:hyperlink r:id="rId36" w:history="1"/>
    </w:p>
    <w:p w14:paraId="39ACEC81" w14:textId="77777777" w:rsidR="00356436" w:rsidRPr="00356436" w:rsidRDefault="00356436" w:rsidP="00242AC3">
      <w:pPr>
        <w:ind w:right="-284"/>
        <w:jc w:val="both"/>
        <w:rPr>
          <w:rFonts w:cs="Calibri"/>
          <w:szCs w:val="24"/>
          <w:lang w:val="es-ES"/>
        </w:rPr>
      </w:pPr>
      <w:r w:rsidRPr="00356436">
        <w:rPr>
          <w:szCs w:val="24"/>
          <w:lang w:val="es-ES"/>
        </w:rPr>
        <w:t>Capacidades funcionales para facilitar la prestación de servicios de operación de instalaciones eléctricas mediante la Internet de las cosas (</w:t>
      </w:r>
      <w:proofErr w:type="spellStart"/>
      <w:r w:rsidRPr="00356436">
        <w:rPr>
          <w:szCs w:val="24"/>
          <w:lang w:val="es-ES"/>
        </w:rPr>
        <w:t>IoT</w:t>
      </w:r>
      <w:proofErr w:type="spellEnd"/>
      <w:r w:rsidRPr="00356436">
        <w:rPr>
          <w:szCs w:val="24"/>
          <w:lang w:val="es-ES"/>
        </w:rPr>
        <w:t>)</w:t>
      </w:r>
    </w:p>
    <w:p w14:paraId="39F9F56B" w14:textId="77777777" w:rsidR="00356436" w:rsidRPr="00356436" w:rsidRDefault="00356436" w:rsidP="00402A87">
      <w:pPr>
        <w:pStyle w:val="Headingb0"/>
        <w:jc w:val="both"/>
        <w:rPr>
          <w:rFonts w:cs="Calibri"/>
          <w:szCs w:val="24"/>
          <w:lang w:val="es-ES"/>
        </w:rPr>
      </w:pPr>
      <w:r w:rsidRPr="00242AC3">
        <w:rPr>
          <w:lang w:val="es-ES"/>
        </w:rPr>
        <w:t>Resumen</w:t>
      </w:r>
    </w:p>
    <w:p w14:paraId="4548DA92" w14:textId="77777777" w:rsidR="00356436" w:rsidRPr="00356436" w:rsidRDefault="00356436" w:rsidP="00242AC3">
      <w:pPr>
        <w:ind w:right="-284"/>
        <w:jc w:val="both"/>
        <w:rPr>
          <w:szCs w:val="24"/>
          <w:lang w:val="es-ES"/>
        </w:rPr>
      </w:pPr>
      <w:r w:rsidRPr="00356436">
        <w:rPr>
          <w:szCs w:val="24"/>
          <w:lang w:val="es-ES"/>
        </w:rPr>
        <w:t xml:space="preserve">Las instalaciones eléctricas son el núcleo de la operación y el mantenimiento de la infraestructura eléctrica, y desempeñan un papel crucial para garantizar la seguridad de los trabajadores y el funcionamiento estable del sistema eléctrico. La amplia distribución, la colaboración multipunto y la complejidad y variabilidad de los emplazamientos de alimentación eléctrica son insuficientes para satisfacer las necesidades prácticas de la participación </w:t>
      </w:r>
      <w:proofErr w:type="spellStart"/>
      <w:r w:rsidRPr="00356436">
        <w:rPr>
          <w:szCs w:val="24"/>
          <w:lang w:val="es-ES"/>
        </w:rPr>
        <w:t>multipartita</w:t>
      </w:r>
      <w:proofErr w:type="spellEnd"/>
      <w:r w:rsidRPr="00356436">
        <w:rPr>
          <w:szCs w:val="24"/>
          <w:lang w:val="es-ES"/>
        </w:rPr>
        <w:t>.</w:t>
      </w:r>
    </w:p>
    <w:p w14:paraId="16F5DE92" w14:textId="77777777" w:rsidR="00356436" w:rsidRPr="00356436" w:rsidRDefault="00356436" w:rsidP="00242AC3">
      <w:pPr>
        <w:ind w:right="-284"/>
        <w:jc w:val="both"/>
        <w:rPr>
          <w:rFonts w:cs="Calibri"/>
          <w:bCs/>
          <w:szCs w:val="24"/>
          <w:lang w:val="es-ES"/>
        </w:rPr>
      </w:pPr>
      <w:r w:rsidRPr="00356436">
        <w:rPr>
          <w:szCs w:val="24"/>
          <w:lang w:val="es-ES"/>
        </w:rPr>
        <w:t xml:space="preserve">Esta Recomendación proporciona capacidades funcionales para soportar servicios de operación de instalaciones eléctricas mediante la Internet de las cosas, incluidos el concepto, los objetivos, los componentes clave, los requisitos y las capacidades funcionales. En el apéndice se presentan casos de uso relacionados con capacidades funcionales para facilitar la prestación de servicios de operación de instalaciones eléctricas mediante la </w:t>
      </w:r>
      <w:proofErr w:type="spellStart"/>
      <w:r w:rsidRPr="00356436">
        <w:rPr>
          <w:szCs w:val="24"/>
          <w:lang w:val="es-ES"/>
        </w:rPr>
        <w:t>IoT</w:t>
      </w:r>
      <w:proofErr w:type="spellEnd"/>
      <w:r w:rsidRPr="00356436">
        <w:rPr>
          <w:szCs w:val="24"/>
          <w:lang w:val="es-ES"/>
        </w:rPr>
        <w:t>.</w:t>
      </w:r>
    </w:p>
    <w:p w14:paraId="71683E1C" w14:textId="77777777" w:rsidR="00356436" w:rsidRPr="00356436" w:rsidRDefault="00356436" w:rsidP="00356436">
      <w:pPr>
        <w:rPr>
          <w:rFonts w:cs="Calibri"/>
          <w:szCs w:val="24"/>
          <w:lang w:val="es-ES"/>
        </w:rPr>
      </w:pPr>
    </w:p>
    <w:p w14:paraId="4723A56B" w14:textId="77777777" w:rsidR="00356436" w:rsidRPr="00356436" w:rsidRDefault="00356436" w:rsidP="00356436">
      <w:pPr>
        <w:tabs>
          <w:tab w:val="clear" w:pos="794"/>
          <w:tab w:val="clear" w:pos="1191"/>
          <w:tab w:val="clear" w:pos="1588"/>
          <w:tab w:val="clear" w:pos="1985"/>
        </w:tabs>
        <w:overflowPunct/>
        <w:autoSpaceDE/>
        <w:autoSpaceDN/>
        <w:adjustRightInd/>
        <w:spacing w:before="0"/>
        <w:textAlignment w:val="auto"/>
        <w:rPr>
          <w:rFonts w:cs="Calibri"/>
          <w:b/>
          <w:szCs w:val="24"/>
          <w:lang w:val="es-ES"/>
        </w:rPr>
      </w:pPr>
      <w:r w:rsidRPr="00356436">
        <w:rPr>
          <w:rFonts w:cs="Calibri"/>
          <w:szCs w:val="24"/>
          <w:lang w:val="es-ES"/>
        </w:rPr>
        <w:br w:type="page"/>
      </w:r>
    </w:p>
    <w:p w14:paraId="040E49A8" w14:textId="001D4046" w:rsidR="00356436" w:rsidRPr="00EA7607" w:rsidRDefault="00356436" w:rsidP="00D43F81">
      <w:pPr>
        <w:pStyle w:val="Annextitle0"/>
        <w:spacing w:before="120"/>
        <w:rPr>
          <w:rFonts w:cs="Calibri"/>
          <w:sz w:val="24"/>
          <w:szCs w:val="24"/>
          <w:lang w:val="es-ES"/>
        </w:rPr>
      </w:pPr>
      <w:r w:rsidRPr="00EA7607">
        <w:rPr>
          <w:bCs/>
          <w:sz w:val="24"/>
          <w:szCs w:val="24"/>
          <w:lang w:val="es-ES"/>
        </w:rPr>
        <w:lastRenderedPageBreak/>
        <w:t>ANEXO 2</w:t>
      </w:r>
      <w:r w:rsidR="00D43F81" w:rsidRPr="00EA7607">
        <w:rPr>
          <w:rFonts w:cs="Calibri"/>
          <w:sz w:val="24"/>
          <w:szCs w:val="24"/>
          <w:lang w:val="es-ES"/>
        </w:rPr>
        <w:br/>
      </w:r>
      <w:r w:rsidR="00D43F81" w:rsidRPr="00EA7607">
        <w:rPr>
          <w:rFonts w:cs="Calibri"/>
          <w:sz w:val="24"/>
          <w:szCs w:val="24"/>
          <w:lang w:val="es-ES"/>
        </w:rPr>
        <w:br/>
      </w:r>
      <w:r w:rsidRPr="00EA7607">
        <w:rPr>
          <w:bCs/>
          <w:sz w:val="24"/>
          <w:szCs w:val="24"/>
          <w:lang w:val="es-ES"/>
        </w:rPr>
        <w:t xml:space="preserve">Respuesta de los Estados Miembros a la Circular TSB 106: Consulta sobre los proyectos determinados de Recomendación UIT-T Y.4241 (antes </w:t>
      </w:r>
      <w:proofErr w:type="spellStart"/>
      <w:proofErr w:type="gramStart"/>
      <w:r w:rsidRPr="00EA7607">
        <w:rPr>
          <w:bCs/>
          <w:sz w:val="24"/>
          <w:szCs w:val="24"/>
          <w:lang w:val="es-ES"/>
        </w:rPr>
        <w:t>Y.dt</w:t>
      </w:r>
      <w:proofErr w:type="gramEnd"/>
      <w:r w:rsidRPr="00EA7607">
        <w:rPr>
          <w:bCs/>
          <w:sz w:val="24"/>
          <w:szCs w:val="24"/>
          <w:lang w:val="es-ES"/>
        </w:rPr>
        <w:t>-SComCam</w:t>
      </w:r>
      <w:proofErr w:type="spellEnd"/>
      <w:r w:rsidRPr="00EA7607">
        <w:rPr>
          <w:bCs/>
          <w:sz w:val="24"/>
          <w:szCs w:val="24"/>
          <w:lang w:val="es-ES"/>
        </w:rPr>
        <w:t xml:space="preserve">), UIT-T Y.4242 (antes </w:t>
      </w:r>
      <w:proofErr w:type="spellStart"/>
      <w:proofErr w:type="gramStart"/>
      <w:r w:rsidRPr="00EA7607">
        <w:rPr>
          <w:bCs/>
          <w:sz w:val="24"/>
          <w:szCs w:val="24"/>
          <w:lang w:val="es-ES"/>
        </w:rPr>
        <w:t>Y.energy</w:t>
      </w:r>
      <w:proofErr w:type="gramEnd"/>
      <w:r w:rsidRPr="00EA7607">
        <w:rPr>
          <w:bCs/>
          <w:sz w:val="24"/>
          <w:szCs w:val="24"/>
          <w:lang w:val="es-ES"/>
        </w:rPr>
        <w:t>-storage</w:t>
      </w:r>
      <w:proofErr w:type="spellEnd"/>
      <w:r w:rsidRPr="00EA7607">
        <w:rPr>
          <w:bCs/>
          <w:sz w:val="24"/>
          <w:szCs w:val="24"/>
          <w:lang w:val="es-ES"/>
        </w:rPr>
        <w:t xml:space="preserve">), UIT-T Y.4243 (antes </w:t>
      </w:r>
      <w:proofErr w:type="spellStart"/>
      <w:proofErr w:type="gramStart"/>
      <w:r w:rsidRPr="00EA7607">
        <w:rPr>
          <w:bCs/>
          <w:sz w:val="24"/>
          <w:szCs w:val="24"/>
          <w:lang w:val="es-ES"/>
        </w:rPr>
        <w:t>Y.IoT</w:t>
      </w:r>
      <w:proofErr w:type="gramEnd"/>
      <w:r w:rsidRPr="00EA7607">
        <w:rPr>
          <w:bCs/>
          <w:sz w:val="24"/>
          <w:szCs w:val="24"/>
          <w:lang w:val="es-ES"/>
        </w:rPr>
        <w:t>-smartschool</w:t>
      </w:r>
      <w:proofErr w:type="spellEnd"/>
      <w:r w:rsidRPr="00EA7607">
        <w:rPr>
          <w:bCs/>
          <w:sz w:val="24"/>
          <w:szCs w:val="24"/>
          <w:lang w:val="es-ES"/>
        </w:rPr>
        <w:t xml:space="preserve">), UIT-T Y.4244 (antes </w:t>
      </w:r>
      <w:proofErr w:type="gramStart"/>
      <w:r w:rsidRPr="00EA7607">
        <w:rPr>
          <w:bCs/>
          <w:sz w:val="24"/>
          <w:szCs w:val="24"/>
          <w:lang w:val="es-ES"/>
        </w:rPr>
        <w:t>Y.EPWS</w:t>
      </w:r>
      <w:proofErr w:type="gramEnd"/>
      <w:r w:rsidRPr="00EA7607">
        <w:rPr>
          <w:bCs/>
          <w:sz w:val="24"/>
          <w:szCs w:val="24"/>
          <w:lang w:val="es-ES"/>
        </w:rPr>
        <w:t>-</w:t>
      </w:r>
      <w:proofErr w:type="spellStart"/>
      <w:r w:rsidRPr="00EA7607">
        <w:rPr>
          <w:bCs/>
          <w:sz w:val="24"/>
          <w:szCs w:val="24"/>
          <w:lang w:val="es-ES"/>
        </w:rPr>
        <w:t>fc</w:t>
      </w:r>
      <w:proofErr w:type="spellEnd"/>
      <w:r w:rsidRPr="00EA7607">
        <w:rPr>
          <w:bCs/>
          <w:sz w:val="24"/>
          <w:szCs w:val="24"/>
          <w:lang w:val="es-ES"/>
        </w:rPr>
        <w:t xml:space="preserve">), UIT-T Y.4420, UIT-T Y.4512 (antes Y.SC-DESMS), UIT-T Y.4614 (antes Y.CL-EDM), UIT-T Y.4815 (antes </w:t>
      </w:r>
      <w:proofErr w:type="spellStart"/>
      <w:r w:rsidRPr="00EA7607">
        <w:rPr>
          <w:bCs/>
          <w:sz w:val="24"/>
          <w:szCs w:val="24"/>
          <w:lang w:val="es-ES"/>
        </w:rPr>
        <w:t>Y.uas-dc-fr</w:t>
      </w:r>
      <w:proofErr w:type="spellEnd"/>
      <w:r w:rsidRPr="00EA7607">
        <w:rPr>
          <w:bCs/>
          <w:sz w:val="24"/>
          <w:szCs w:val="24"/>
          <w:lang w:val="es-ES"/>
        </w:rPr>
        <w:t xml:space="preserve">), UIT-T Y.4816 (antes </w:t>
      </w:r>
      <w:proofErr w:type="spellStart"/>
      <w:proofErr w:type="gramStart"/>
      <w:r w:rsidRPr="00EA7607">
        <w:rPr>
          <w:bCs/>
          <w:sz w:val="24"/>
          <w:szCs w:val="24"/>
          <w:lang w:val="es-ES"/>
        </w:rPr>
        <w:t>Y.bsis</w:t>
      </w:r>
      <w:proofErr w:type="gramEnd"/>
      <w:r w:rsidRPr="00EA7607">
        <w:rPr>
          <w:bCs/>
          <w:sz w:val="24"/>
          <w:szCs w:val="24"/>
          <w:lang w:val="es-ES"/>
        </w:rPr>
        <w:t>-sec</w:t>
      </w:r>
      <w:proofErr w:type="spellEnd"/>
      <w:r w:rsidRPr="00EA7607">
        <w:rPr>
          <w:bCs/>
          <w:sz w:val="24"/>
          <w:szCs w:val="24"/>
          <w:lang w:val="es-ES"/>
        </w:rPr>
        <w:t xml:space="preserve">) y UIT-T Y.4912 (antes </w:t>
      </w:r>
      <w:proofErr w:type="gramStart"/>
      <w:r w:rsidRPr="00EA7607">
        <w:rPr>
          <w:bCs/>
          <w:sz w:val="24"/>
          <w:szCs w:val="24"/>
          <w:lang w:val="es-ES"/>
        </w:rPr>
        <w:t>Y.SNPG</w:t>
      </w:r>
      <w:proofErr w:type="gramEnd"/>
      <w:r w:rsidRPr="00EA7607">
        <w:rPr>
          <w:bCs/>
          <w:sz w:val="24"/>
          <w:szCs w:val="24"/>
          <w:lang w:val="es-ES"/>
        </w:rPr>
        <w:t>-</w:t>
      </w:r>
      <w:proofErr w:type="spellStart"/>
      <w:r w:rsidRPr="00EA7607">
        <w:rPr>
          <w:bCs/>
          <w:sz w:val="24"/>
          <w:szCs w:val="24"/>
          <w:lang w:val="es-ES"/>
        </w:rPr>
        <w:t>ref</w:t>
      </w:r>
      <w:proofErr w:type="spellEnd"/>
      <w:r w:rsidRPr="00EA7607">
        <w:rPr>
          <w:bCs/>
          <w:sz w:val="24"/>
          <w:szCs w:val="24"/>
          <w:lang w:val="es-ES"/>
        </w:rPr>
        <w:t>)</w:t>
      </w:r>
    </w:p>
    <w:tbl>
      <w:tblPr>
        <w:tblW w:w="9957" w:type="dxa"/>
        <w:tblInd w:w="-176" w:type="dxa"/>
        <w:tblLayout w:type="fixed"/>
        <w:tblLook w:val="04A0" w:firstRow="1" w:lastRow="0" w:firstColumn="1" w:lastColumn="0" w:noHBand="0" w:noVBand="1"/>
      </w:tblPr>
      <w:tblGrid>
        <w:gridCol w:w="1169"/>
        <w:gridCol w:w="4394"/>
        <w:gridCol w:w="1276"/>
        <w:gridCol w:w="3118"/>
      </w:tblGrid>
      <w:tr w:rsidR="00356436" w:rsidRPr="00FF364E" w14:paraId="4E539FBF" w14:textId="77777777" w:rsidTr="00D43F81">
        <w:tc>
          <w:tcPr>
            <w:tcW w:w="1169" w:type="dxa"/>
          </w:tcPr>
          <w:p w14:paraId="332C65F5" w14:textId="77777777" w:rsidR="00356436" w:rsidRPr="00356436" w:rsidRDefault="00356436" w:rsidP="00EA1782">
            <w:pPr>
              <w:jc w:val="right"/>
              <w:rPr>
                <w:rFonts w:cs="Calibri"/>
                <w:szCs w:val="24"/>
              </w:rPr>
            </w:pPr>
            <w:r w:rsidRPr="00356436">
              <w:rPr>
                <w:b/>
                <w:bCs/>
                <w:color w:val="000000"/>
                <w:szCs w:val="24"/>
                <w:lang w:val="es-ES"/>
              </w:rPr>
              <w:t>A</w:t>
            </w:r>
            <w:r w:rsidRPr="00356436">
              <w:rPr>
                <w:color w:val="000000"/>
                <w:szCs w:val="24"/>
                <w:lang w:val="es-ES"/>
              </w:rPr>
              <w:t>:</w:t>
            </w:r>
          </w:p>
        </w:tc>
        <w:tc>
          <w:tcPr>
            <w:tcW w:w="4394" w:type="dxa"/>
            <w:tcBorders>
              <w:right w:val="single" w:sz="8" w:space="0" w:color="auto"/>
            </w:tcBorders>
          </w:tcPr>
          <w:p w14:paraId="49503D1F" w14:textId="55690CFC" w:rsidR="00356436" w:rsidRPr="00356436" w:rsidRDefault="00356436" w:rsidP="00EA1782">
            <w:pPr>
              <w:rPr>
                <w:rFonts w:cs="Calibri"/>
                <w:szCs w:val="24"/>
                <w:lang w:val="es-ES"/>
              </w:rPr>
            </w:pPr>
            <w:r w:rsidRPr="00356436">
              <w:rPr>
                <w:color w:val="000000"/>
                <w:szCs w:val="24"/>
                <w:lang w:val="es-ES"/>
              </w:rPr>
              <w:t>Director de</w:t>
            </w:r>
            <w:r w:rsidR="00D43F81">
              <w:rPr>
                <w:color w:val="000000"/>
                <w:szCs w:val="24"/>
                <w:lang w:val="es-ES"/>
              </w:rPr>
              <w:br/>
            </w:r>
            <w:r w:rsidRPr="00356436">
              <w:rPr>
                <w:color w:val="000000"/>
                <w:szCs w:val="24"/>
                <w:lang w:val="es-ES"/>
              </w:rPr>
              <w:t>la Oficina de Normalización</w:t>
            </w:r>
            <w:r w:rsidR="00D43F81">
              <w:rPr>
                <w:color w:val="000000"/>
                <w:szCs w:val="24"/>
                <w:lang w:val="es-ES"/>
              </w:rPr>
              <w:t xml:space="preserve"> </w:t>
            </w:r>
            <w:r w:rsidRPr="00356436">
              <w:rPr>
                <w:color w:val="000000"/>
                <w:szCs w:val="24"/>
                <w:lang w:val="es-ES"/>
              </w:rPr>
              <w:t>de las</w:t>
            </w:r>
            <w:r w:rsidR="005D2D79">
              <w:rPr>
                <w:color w:val="000000"/>
                <w:szCs w:val="24"/>
                <w:lang w:val="es-ES"/>
              </w:rPr>
              <w:br/>
            </w:r>
            <w:r w:rsidRPr="00356436">
              <w:rPr>
                <w:color w:val="000000"/>
                <w:szCs w:val="24"/>
                <w:lang w:val="es-ES"/>
              </w:rPr>
              <w:t>Telecomunicaciones,</w:t>
            </w:r>
          </w:p>
          <w:p w14:paraId="2645B54A" w14:textId="759390D5" w:rsidR="00356436" w:rsidRPr="00356436" w:rsidRDefault="00356436" w:rsidP="00EA1782">
            <w:pPr>
              <w:spacing w:before="0"/>
              <w:rPr>
                <w:rFonts w:cs="Calibri"/>
                <w:szCs w:val="24"/>
                <w:lang w:val="es-ES"/>
              </w:rPr>
            </w:pPr>
            <w:r w:rsidRPr="00356436">
              <w:rPr>
                <w:color w:val="000000"/>
                <w:szCs w:val="24"/>
                <w:lang w:val="es-ES"/>
              </w:rPr>
              <w:t>Unión Internacional de</w:t>
            </w:r>
            <w:r w:rsidR="005D2D79">
              <w:rPr>
                <w:color w:val="000000"/>
                <w:szCs w:val="24"/>
                <w:lang w:val="es-ES"/>
              </w:rPr>
              <w:br/>
            </w:r>
            <w:r w:rsidRPr="00356436">
              <w:rPr>
                <w:color w:val="000000"/>
                <w:szCs w:val="24"/>
                <w:lang w:val="es-ES"/>
              </w:rPr>
              <w:t>Telecomunicaciones</w:t>
            </w:r>
          </w:p>
          <w:p w14:paraId="5B48A85B" w14:textId="77777777" w:rsidR="00356436" w:rsidRPr="00356436" w:rsidRDefault="00356436" w:rsidP="00EA1782">
            <w:pPr>
              <w:spacing w:before="0"/>
              <w:rPr>
                <w:rFonts w:cs="Calibri"/>
                <w:szCs w:val="24"/>
                <w:lang w:val="es-ES"/>
              </w:rPr>
            </w:pPr>
            <w:r w:rsidRPr="00356436">
              <w:rPr>
                <w:color w:val="000000"/>
                <w:szCs w:val="24"/>
                <w:lang w:val="es-ES"/>
              </w:rPr>
              <w:t>Place des Nations</w:t>
            </w:r>
          </w:p>
          <w:p w14:paraId="0D6F880C" w14:textId="77777777" w:rsidR="00356436" w:rsidRPr="00356436" w:rsidRDefault="00356436" w:rsidP="00EA1782">
            <w:pPr>
              <w:spacing w:before="0"/>
              <w:rPr>
                <w:rFonts w:cs="Calibri"/>
                <w:szCs w:val="24"/>
              </w:rPr>
            </w:pPr>
            <w:r w:rsidRPr="00356436">
              <w:rPr>
                <w:color w:val="000000"/>
                <w:szCs w:val="24"/>
                <w:lang w:val="es-ES"/>
              </w:rPr>
              <w:t>CH 1211 Ginebra 20, Suiza</w:t>
            </w:r>
          </w:p>
        </w:tc>
        <w:tc>
          <w:tcPr>
            <w:tcW w:w="1276" w:type="dxa"/>
            <w:tcBorders>
              <w:left w:val="single" w:sz="8" w:space="0" w:color="auto"/>
            </w:tcBorders>
          </w:tcPr>
          <w:p w14:paraId="0AC2F7CC" w14:textId="77777777" w:rsidR="00356436" w:rsidRPr="00356436" w:rsidRDefault="00356436" w:rsidP="00EA1782">
            <w:pPr>
              <w:jc w:val="right"/>
              <w:rPr>
                <w:rFonts w:cs="Calibri"/>
                <w:szCs w:val="24"/>
              </w:rPr>
            </w:pPr>
            <w:r w:rsidRPr="00356436">
              <w:rPr>
                <w:b/>
                <w:bCs/>
                <w:color w:val="000000"/>
                <w:szCs w:val="24"/>
                <w:lang w:val="es-ES"/>
              </w:rPr>
              <w:t>De:</w:t>
            </w:r>
          </w:p>
        </w:tc>
        <w:tc>
          <w:tcPr>
            <w:tcW w:w="3118" w:type="dxa"/>
          </w:tcPr>
          <w:p w14:paraId="74A912DD" w14:textId="77777777" w:rsidR="00356436" w:rsidRPr="00356436" w:rsidRDefault="00356436" w:rsidP="00EA1782">
            <w:pPr>
              <w:rPr>
                <w:rFonts w:cs="Calibri"/>
                <w:szCs w:val="24"/>
                <w:highlight w:val="green"/>
                <w:lang w:val="es-ES"/>
              </w:rPr>
            </w:pPr>
            <w:r w:rsidRPr="00356436">
              <w:rPr>
                <w:color w:val="000000"/>
                <w:szCs w:val="24"/>
                <w:highlight w:val="green"/>
                <w:lang w:val="es-ES"/>
              </w:rPr>
              <w:t>[Nombre]</w:t>
            </w:r>
          </w:p>
          <w:p w14:paraId="1545AC9D" w14:textId="77777777" w:rsidR="00356436" w:rsidRPr="00356436" w:rsidRDefault="00356436" w:rsidP="00EA1782">
            <w:pPr>
              <w:spacing w:before="0"/>
              <w:rPr>
                <w:rFonts w:cs="Calibri"/>
                <w:szCs w:val="24"/>
                <w:highlight w:val="green"/>
                <w:lang w:val="es-ES"/>
              </w:rPr>
            </w:pPr>
            <w:r w:rsidRPr="00356436">
              <w:rPr>
                <w:color w:val="000000"/>
                <w:szCs w:val="24"/>
                <w:highlight w:val="green"/>
                <w:lang w:val="es-ES"/>
              </w:rPr>
              <w:t>[Función/título oficial]</w:t>
            </w:r>
          </w:p>
          <w:p w14:paraId="2CFBAE1F" w14:textId="77777777" w:rsidR="00356436" w:rsidRPr="00356436" w:rsidRDefault="00356436" w:rsidP="00EA1782">
            <w:pPr>
              <w:spacing w:before="0"/>
              <w:rPr>
                <w:rFonts w:cs="Calibri"/>
                <w:szCs w:val="24"/>
                <w:lang w:val="es-ES"/>
              </w:rPr>
            </w:pPr>
            <w:r w:rsidRPr="00356436">
              <w:rPr>
                <w:color w:val="000000"/>
                <w:szCs w:val="24"/>
                <w:highlight w:val="green"/>
                <w:lang w:val="es-ES"/>
              </w:rPr>
              <w:t>[Dirección]</w:t>
            </w:r>
          </w:p>
        </w:tc>
      </w:tr>
      <w:tr w:rsidR="00356436" w:rsidRPr="00FF364E" w14:paraId="71B0199B" w14:textId="77777777" w:rsidTr="00D43F81">
        <w:tc>
          <w:tcPr>
            <w:tcW w:w="1169" w:type="dxa"/>
          </w:tcPr>
          <w:p w14:paraId="79243CF9" w14:textId="77777777" w:rsidR="00356436" w:rsidRPr="005D2D79" w:rsidRDefault="00356436" w:rsidP="00EA1782">
            <w:pPr>
              <w:spacing w:before="0"/>
              <w:jc w:val="right"/>
              <w:rPr>
                <w:rFonts w:cs="Calibri"/>
                <w:b/>
                <w:bCs/>
                <w:szCs w:val="24"/>
              </w:rPr>
            </w:pPr>
            <w:r w:rsidRPr="005D2D79">
              <w:rPr>
                <w:b/>
                <w:bCs/>
                <w:color w:val="000000"/>
                <w:szCs w:val="24"/>
                <w:lang w:val="es-ES"/>
              </w:rPr>
              <w:t>Fax:</w:t>
            </w:r>
          </w:p>
        </w:tc>
        <w:tc>
          <w:tcPr>
            <w:tcW w:w="4394" w:type="dxa"/>
            <w:tcBorders>
              <w:right w:val="single" w:sz="8" w:space="0" w:color="auto"/>
            </w:tcBorders>
          </w:tcPr>
          <w:p w14:paraId="7E440D72" w14:textId="77777777" w:rsidR="00356436" w:rsidRPr="00356436" w:rsidRDefault="00356436" w:rsidP="00EA1782">
            <w:pPr>
              <w:spacing w:before="0"/>
              <w:rPr>
                <w:rFonts w:cs="Calibri"/>
                <w:szCs w:val="24"/>
              </w:rPr>
            </w:pPr>
            <w:r w:rsidRPr="00356436">
              <w:rPr>
                <w:color w:val="000000"/>
                <w:szCs w:val="24"/>
                <w:lang w:val="es-ES"/>
              </w:rPr>
              <w:t>+41-22-730-5853</w:t>
            </w:r>
          </w:p>
        </w:tc>
        <w:tc>
          <w:tcPr>
            <w:tcW w:w="1276" w:type="dxa"/>
            <w:tcBorders>
              <w:left w:val="single" w:sz="8" w:space="0" w:color="auto"/>
            </w:tcBorders>
          </w:tcPr>
          <w:p w14:paraId="13C4CB53" w14:textId="77777777" w:rsidR="00356436" w:rsidRPr="00356436" w:rsidRDefault="00356436" w:rsidP="00EA1782">
            <w:pPr>
              <w:spacing w:before="0"/>
              <w:jc w:val="right"/>
              <w:rPr>
                <w:rFonts w:cs="Calibri"/>
                <w:szCs w:val="24"/>
              </w:rPr>
            </w:pPr>
            <w:r w:rsidRPr="00356436">
              <w:rPr>
                <w:b/>
                <w:bCs/>
                <w:color w:val="000000"/>
                <w:szCs w:val="24"/>
                <w:lang w:val="es-ES"/>
              </w:rPr>
              <w:t>Fax:</w:t>
            </w:r>
          </w:p>
        </w:tc>
        <w:tc>
          <w:tcPr>
            <w:tcW w:w="3118" w:type="dxa"/>
          </w:tcPr>
          <w:p w14:paraId="7FB8DAD5" w14:textId="77777777" w:rsidR="00356436" w:rsidRPr="00356436" w:rsidRDefault="00356436" w:rsidP="00EA1782">
            <w:pPr>
              <w:spacing w:before="0"/>
              <w:rPr>
                <w:rFonts w:cs="Calibri"/>
                <w:szCs w:val="24"/>
              </w:rPr>
            </w:pPr>
          </w:p>
        </w:tc>
      </w:tr>
      <w:tr w:rsidR="00356436" w:rsidRPr="00FF364E" w14:paraId="76C8E8D8" w14:textId="77777777" w:rsidTr="00D43F81">
        <w:tc>
          <w:tcPr>
            <w:tcW w:w="1169" w:type="dxa"/>
          </w:tcPr>
          <w:p w14:paraId="0BD355CF" w14:textId="77777777" w:rsidR="00356436" w:rsidRPr="00356436" w:rsidRDefault="00356436" w:rsidP="00EA1782">
            <w:pPr>
              <w:spacing w:before="0"/>
              <w:jc w:val="right"/>
              <w:rPr>
                <w:rFonts w:cs="Calibri"/>
                <w:szCs w:val="24"/>
              </w:rPr>
            </w:pPr>
            <w:r w:rsidRPr="00356436">
              <w:rPr>
                <w:b/>
                <w:bCs/>
                <w:color w:val="000000"/>
                <w:szCs w:val="24"/>
                <w:lang w:val="es-ES"/>
              </w:rPr>
              <w:t>Correo-e:</w:t>
            </w:r>
          </w:p>
        </w:tc>
        <w:tc>
          <w:tcPr>
            <w:tcW w:w="4394" w:type="dxa"/>
            <w:tcBorders>
              <w:right w:val="single" w:sz="8" w:space="0" w:color="auto"/>
            </w:tcBorders>
          </w:tcPr>
          <w:p w14:paraId="458F9B79" w14:textId="77777777" w:rsidR="00356436" w:rsidRPr="005B7C04" w:rsidRDefault="00356436" w:rsidP="00EA1782">
            <w:pPr>
              <w:spacing w:before="0"/>
              <w:rPr>
                <w:rStyle w:val="Hyperlink"/>
              </w:rPr>
            </w:pPr>
            <w:hyperlink r:id="rId37" w:history="1">
              <w:r w:rsidRPr="005B7C04">
                <w:rPr>
                  <w:rStyle w:val="Hyperlink"/>
                </w:rPr>
                <w:t xml:space="preserve">tsbdir@itu.int </w:t>
              </w:r>
            </w:hyperlink>
          </w:p>
        </w:tc>
        <w:tc>
          <w:tcPr>
            <w:tcW w:w="1276" w:type="dxa"/>
            <w:tcBorders>
              <w:left w:val="single" w:sz="8" w:space="0" w:color="auto"/>
            </w:tcBorders>
          </w:tcPr>
          <w:p w14:paraId="314C506B" w14:textId="77777777" w:rsidR="00356436" w:rsidRPr="00356436" w:rsidRDefault="00356436" w:rsidP="00EA1782">
            <w:pPr>
              <w:spacing w:before="0"/>
              <w:jc w:val="right"/>
              <w:rPr>
                <w:rFonts w:cs="Calibri"/>
                <w:szCs w:val="24"/>
              </w:rPr>
            </w:pPr>
            <w:r w:rsidRPr="00356436">
              <w:rPr>
                <w:b/>
                <w:bCs/>
                <w:color w:val="000000"/>
                <w:szCs w:val="24"/>
                <w:lang w:val="es-ES"/>
              </w:rPr>
              <w:t>Correo-e:</w:t>
            </w:r>
          </w:p>
        </w:tc>
        <w:tc>
          <w:tcPr>
            <w:tcW w:w="3118" w:type="dxa"/>
          </w:tcPr>
          <w:p w14:paraId="57B5DC15" w14:textId="77777777" w:rsidR="00356436" w:rsidRPr="00356436" w:rsidRDefault="00356436" w:rsidP="00EA1782">
            <w:pPr>
              <w:spacing w:before="0"/>
              <w:rPr>
                <w:rFonts w:cs="Calibri"/>
                <w:szCs w:val="24"/>
              </w:rPr>
            </w:pPr>
          </w:p>
        </w:tc>
      </w:tr>
      <w:tr w:rsidR="00356436" w:rsidRPr="00FF364E" w14:paraId="032B3D94" w14:textId="77777777" w:rsidTr="00D43F81">
        <w:tc>
          <w:tcPr>
            <w:tcW w:w="1169" w:type="dxa"/>
          </w:tcPr>
          <w:p w14:paraId="149990CC" w14:textId="77777777" w:rsidR="00356436" w:rsidRPr="00356436" w:rsidRDefault="00356436" w:rsidP="00EA1782">
            <w:pPr>
              <w:spacing w:before="0"/>
              <w:jc w:val="right"/>
              <w:rPr>
                <w:rFonts w:cs="Calibri"/>
                <w:szCs w:val="24"/>
              </w:rPr>
            </w:pPr>
          </w:p>
        </w:tc>
        <w:tc>
          <w:tcPr>
            <w:tcW w:w="4394" w:type="dxa"/>
            <w:tcBorders>
              <w:right w:val="single" w:sz="8" w:space="0" w:color="auto"/>
            </w:tcBorders>
          </w:tcPr>
          <w:p w14:paraId="62548BFE" w14:textId="77777777" w:rsidR="00356436" w:rsidRPr="00356436" w:rsidRDefault="00356436" w:rsidP="00EA1782">
            <w:pPr>
              <w:spacing w:before="0"/>
              <w:rPr>
                <w:rFonts w:cs="Calibri"/>
                <w:szCs w:val="24"/>
              </w:rPr>
            </w:pPr>
          </w:p>
        </w:tc>
        <w:tc>
          <w:tcPr>
            <w:tcW w:w="1276" w:type="dxa"/>
            <w:tcBorders>
              <w:left w:val="single" w:sz="8" w:space="0" w:color="auto"/>
            </w:tcBorders>
          </w:tcPr>
          <w:p w14:paraId="608B7DB7" w14:textId="77777777" w:rsidR="00356436" w:rsidRPr="00356436" w:rsidRDefault="00356436" w:rsidP="00EA1782">
            <w:pPr>
              <w:spacing w:before="0"/>
              <w:jc w:val="right"/>
              <w:rPr>
                <w:rFonts w:cs="Calibri"/>
                <w:szCs w:val="24"/>
              </w:rPr>
            </w:pPr>
            <w:r w:rsidRPr="00356436">
              <w:rPr>
                <w:b/>
                <w:bCs/>
                <w:color w:val="000000"/>
                <w:szCs w:val="24"/>
                <w:lang w:val="es-ES"/>
              </w:rPr>
              <w:t>Fecha:</w:t>
            </w:r>
          </w:p>
        </w:tc>
        <w:tc>
          <w:tcPr>
            <w:tcW w:w="3118" w:type="dxa"/>
          </w:tcPr>
          <w:p w14:paraId="6262CBA4" w14:textId="77777777" w:rsidR="00356436" w:rsidRPr="00356436" w:rsidRDefault="00356436" w:rsidP="00EA1782">
            <w:pPr>
              <w:spacing w:before="0"/>
              <w:rPr>
                <w:rFonts w:cs="Calibri"/>
                <w:szCs w:val="24"/>
              </w:rPr>
            </w:pPr>
            <w:r w:rsidRPr="00356436">
              <w:rPr>
                <w:color w:val="000000"/>
                <w:szCs w:val="24"/>
                <w:highlight w:val="green"/>
                <w:lang w:val="es-ES"/>
              </w:rPr>
              <w:t>[Lugar,] [fecha]</w:t>
            </w:r>
          </w:p>
        </w:tc>
      </w:tr>
    </w:tbl>
    <w:p w14:paraId="2CE618EE" w14:textId="77777777" w:rsidR="00356436" w:rsidRPr="00356436" w:rsidRDefault="00356436" w:rsidP="00242AC3">
      <w:pPr>
        <w:spacing w:before="360"/>
        <w:jc w:val="both"/>
        <w:rPr>
          <w:rFonts w:cs="Calibri"/>
          <w:szCs w:val="24"/>
        </w:rPr>
      </w:pPr>
      <w:r w:rsidRPr="00356436">
        <w:rPr>
          <w:szCs w:val="24"/>
          <w:lang w:val="es-ES"/>
        </w:rPr>
        <w:t>Estimado señor/señora:</w:t>
      </w:r>
    </w:p>
    <w:p w14:paraId="125724DA" w14:textId="77777777" w:rsidR="00356436" w:rsidRPr="00356436" w:rsidRDefault="00356436" w:rsidP="00242AC3">
      <w:pPr>
        <w:spacing w:after="120"/>
        <w:jc w:val="both"/>
        <w:rPr>
          <w:rFonts w:cs="Calibri"/>
          <w:szCs w:val="24"/>
          <w:lang w:val="es-ES"/>
        </w:rPr>
      </w:pPr>
      <w:r w:rsidRPr="00356436">
        <w:rPr>
          <w:szCs w:val="24"/>
          <w:lang w:val="es-ES"/>
        </w:rPr>
        <w:t>En lo que respecta a la consulta a los Estados Miembros sobre los proyectos de texto determinados que figuran en la Circular TSB 106, deseo informarle de la opinión de esta Administración, que se refleja en el siguiente cuadro:</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30"/>
      </w:tblGrid>
      <w:tr w:rsidR="00356436" w:rsidRPr="00356436" w14:paraId="5E977E12" w14:textId="77777777" w:rsidTr="00D222CF">
        <w:trPr>
          <w:tblHeader/>
        </w:trPr>
        <w:tc>
          <w:tcPr>
            <w:tcW w:w="2689" w:type="dxa"/>
            <w:vAlign w:val="center"/>
          </w:tcPr>
          <w:p w14:paraId="342D8721" w14:textId="77777777" w:rsidR="00356436" w:rsidRPr="00A556D5" w:rsidRDefault="00356436" w:rsidP="00A556D5">
            <w:pPr>
              <w:pStyle w:val="Tablehead0"/>
              <w:rPr>
                <w:rFonts w:cs="Calibri"/>
                <w:sz w:val="24"/>
                <w:szCs w:val="24"/>
                <w:lang w:val="es-ES"/>
              </w:rPr>
            </w:pPr>
          </w:p>
        </w:tc>
        <w:tc>
          <w:tcPr>
            <w:tcW w:w="7030" w:type="dxa"/>
            <w:vAlign w:val="center"/>
          </w:tcPr>
          <w:p w14:paraId="51A5BED9" w14:textId="77777777" w:rsidR="00356436" w:rsidRPr="00A556D5" w:rsidRDefault="00356436" w:rsidP="00A556D5">
            <w:pPr>
              <w:pStyle w:val="Tablehead0"/>
              <w:rPr>
                <w:rFonts w:cs="Calibri"/>
                <w:sz w:val="24"/>
                <w:szCs w:val="24"/>
                <w:lang w:val="es-ES"/>
              </w:rPr>
            </w:pPr>
            <w:r w:rsidRPr="00A556D5">
              <w:rPr>
                <w:sz w:val="24"/>
                <w:szCs w:val="24"/>
                <w:lang w:val="es-ES"/>
              </w:rPr>
              <w:t>Seleccione una de las dos casillas</w:t>
            </w:r>
          </w:p>
        </w:tc>
      </w:tr>
      <w:tr w:rsidR="00356436" w:rsidRPr="00356436" w14:paraId="15C51186" w14:textId="77777777" w:rsidTr="00D222CF">
        <w:trPr>
          <w:trHeight w:val="748"/>
        </w:trPr>
        <w:tc>
          <w:tcPr>
            <w:tcW w:w="2689" w:type="dxa"/>
            <w:vMerge w:val="restart"/>
            <w:vAlign w:val="center"/>
          </w:tcPr>
          <w:p w14:paraId="74CC6050" w14:textId="6ECCA597"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nueva Recomendación UIT-T Y.4241</w:t>
            </w:r>
            <w:r w:rsidR="00D222CF">
              <w:rPr>
                <w:b/>
                <w:bCs/>
                <w:sz w:val="24"/>
                <w:szCs w:val="24"/>
                <w:lang w:val="es-ES"/>
              </w:rPr>
              <w:br/>
            </w:r>
            <w:r w:rsidRPr="00A556D5">
              <w:rPr>
                <w:b/>
                <w:bCs/>
                <w:sz w:val="24"/>
                <w:szCs w:val="24"/>
                <w:lang w:val="es-ES"/>
              </w:rPr>
              <w:t xml:space="preserve">(antes </w:t>
            </w:r>
            <w:proofErr w:type="spellStart"/>
            <w:proofErr w:type="gramStart"/>
            <w:r w:rsidRPr="00A556D5">
              <w:rPr>
                <w:b/>
                <w:bCs/>
                <w:sz w:val="24"/>
                <w:szCs w:val="24"/>
                <w:lang w:val="es-ES"/>
              </w:rPr>
              <w:t>Y.dt</w:t>
            </w:r>
            <w:proofErr w:type="gramEnd"/>
            <w:r w:rsidRPr="00A556D5">
              <w:rPr>
                <w:b/>
                <w:bCs/>
                <w:sz w:val="24"/>
                <w:szCs w:val="24"/>
                <w:lang w:val="es-ES"/>
              </w:rPr>
              <w:t>-SComCam</w:t>
            </w:r>
            <w:proofErr w:type="spellEnd"/>
            <w:r w:rsidRPr="00A556D5">
              <w:rPr>
                <w:b/>
                <w:bCs/>
                <w:sz w:val="24"/>
                <w:szCs w:val="24"/>
                <w:lang w:val="es-ES"/>
              </w:rPr>
              <w:t>)</w:t>
            </w:r>
          </w:p>
        </w:tc>
        <w:tc>
          <w:tcPr>
            <w:tcW w:w="7030" w:type="dxa"/>
            <w:vAlign w:val="center"/>
          </w:tcPr>
          <w:p w14:paraId="5F97CCDB" w14:textId="5AB208DC"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00356436" w:rsidRPr="00A556D5">
              <w:rPr>
                <w:sz w:val="24"/>
                <w:szCs w:val="24"/>
                <w:lang w:val="es-ES"/>
              </w:rPr>
              <w:tab/>
            </w:r>
            <w:r>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5D9AC7B2" w14:textId="390342DF" w:rsidR="00356436" w:rsidRPr="00A556D5" w:rsidRDefault="00A556D5" w:rsidP="00A556D5">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15EBE536" w14:textId="16BE3BD2"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3F02820F" w14:textId="77777777" w:rsidTr="00D222CF">
        <w:trPr>
          <w:trHeight w:val="747"/>
        </w:trPr>
        <w:tc>
          <w:tcPr>
            <w:tcW w:w="2689" w:type="dxa"/>
            <w:vMerge/>
            <w:vAlign w:val="center"/>
          </w:tcPr>
          <w:p w14:paraId="443E1167"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1C2E8073" w14:textId="781E0B46"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17C25816" w14:textId="77777777" w:rsidTr="00D222CF">
        <w:trPr>
          <w:trHeight w:val="748"/>
        </w:trPr>
        <w:tc>
          <w:tcPr>
            <w:tcW w:w="2689" w:type="dxa"/>
            <w:vMerge w:val="restart"/>
            <w:vAlign w:val="center"/>
          </w:tcPr>
          <w:p w14:paraId="5E4461D3" w14:textId="0F12845F"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nueva Recomendación UIT-T Y.4242</w:t>
            </w:r>
            <w:r w:rsidR="00D222CF">
              <w:rPr>
                <w:b/>
                <w:bCs/>
                <w:sz w:val="24"/>
                <w:szCs w:val="24"/>
                <w:lang w:val="es-ES"/>
              </w:rPr>
              <w:br/>
            </w:r>
            <w:r w:rsidRPr="00A556D5">
              <w:rPr>
                <w:b/>
                <w:bCs/>
                <w:sz w:val="24"/>
                <w:szCs w:val="24"/>
                <w:lang w:val="es-ES"/>
              </w:rPr>
              <w:t xml:space="preserve">(antes </w:t>
            </w:r>
            <w:proofErr w:type="spellStart"/>
            <w:proofErr w:type="gramStart"/>
            <w:r w:rsidRPr="00A556D5">
              <w:rPr>
                <w:b/>
                <w:bCs/>
                <w:sz w:val="24"/>
                <w:szCs w:val="24"/>
                <w:lang w:val="es-ES"/>
              </w:rPr>
              <w:t>Y.energy</w:t>
            </w:r>
            <w:proofErr w:type="gramEnd"/>
            <w:r w:rsidRPr="00A556D5">
              <w:rPr>
                <w:b/>
                <w:bCs/>
                <w:sz w:val="24"/>
                <w:szCs w:val="24"/>
                <w:lang w:val="es-ES"/>
              </w:rPr>
              <w:t>-storage</w:t>
            </w:r>
            <w:proofErr w:type="spellEnd"/>
            <w:r w:rsidRPr="00A556D5">
              <w:rPr>
                <w:b/>
                <w:bCs/>
                <w:sz w:val="24"/>
                <w:szCs w:val="24"/>
                <w:lang w:val="es-ES"/>
              </w:rPr>
              <w:t>)</w:t>
            </w:r>
          </w:p>
        </w:tc>
        <w:tc>
          <w:tcPr>
            <w:tcW w:w="7030" w:type="dxa"/>
            <w:vAlign w:val="center"/>
          </w:tcPr>
          <w:p w14:paraId="0069B678" w14:textId="33A36508"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7289D2C3" w14:textId="1B09A329"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2C677363" w14:textId="5BC51464"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055C0A7E" w14:textId="77777777" w:rsidTr="00D222CF">
        <w:trPr>
          <w:trHeight w:val="747"/>
        </w:trPr>
        <w:tc>
          <w:tcPr>
            <w:tcW w:w="2689" w:type="dxa"/>
            <w:vMerge/>
            <w:vAlign w:val="center"/>
          </w:tcPr>
          <w:p w14:paraId="15BA0389"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1C265372" w14:textId="545C8AE4"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2E6B42DF" w14:textId="77777777" w:rsidTr="00D222CF">
        <w:trPr>
          <w:trHeight w:val="748"/>
        </w:trPr>
        <w:tc>
          <w:tcPr>
            <w:tcW w:w="2689" w:type="dxa"/>
            <w:vMerge w:val="restart"/>
            <w:vAlign w:val="center"/>
          </w:tcPr>
          <w:p w14:paraId="370B4197" w14:textId="065A8E41"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nueva Recomendación UIT-T Y.4243</w:t>
            </w:r>
            <w:r w:rsidR="00D222CF">
              <w:rPr>
                <w:b/>
                <w:bCs/>
                <w:sz w:val="24"/>
                <w:szCs w:val="24"/>
                <w:lang w:val="es-ES"/>
              </w:rPr>
              <w:br/>
            </w:r>
            <w:r w:rsidRPr="00A556D5">
              <w:rPr>
                <w:b/>
                <w:bCs/>
                <w:sz w:val="24"/>
                <w:szCs w:val="24"/>
                <w:lang w:val="es-ES"/>
              </w:rPr>
              <w:t xml:space="preserve">(antes </w:t>
            </w:r>
            <w:proofErr w:type="spellStart"/>
            <w:proofErr w:type="gramStart"/>
            <w:r w:rsidRPr="00A556D5">
              <w:rPr>
                <w:b/>
                <w:bCs/>
                <w:sz w:val="24"/>
                <w:szCs w:val="24"/>
                <w:lang w:val="es-ES"/>
              </w:rPr>
              <w:t>Y.IoT</w:t>
            </w:r>
            <w:proofErr w:type="gramEnd"/>
            <w:r w:rsidRPr="00A556D5">
              <w:rPr>
                <w:b/>
                <w:bCs/>
                <w:sz w:val="24"/>
                <w:szCs w:val="24"/>
                <w:lang w:val="es-ES"/>
              </w:rPr>
              <w:t>-smartschool</w:t>
            </w:r>
            <w:proofErr w:type="spellEnd"/>
            <w:r w:rsidRPr="00A556D5">
              <w:rPr>
                <w:b/>
                <w:bCs/>
                <w:sz w:val="24"/>
                <w:szCs w:val="24"/>
                <w:lang w:val="es-ES"/>
              </w:rPr>
              <w:t>)</w:t>
            </w:r>
          </w:p>
        </w:tc>
        <w:tc>
          <w:tcPr>
            <w:tcW w:w="7030" w:type="dxa"/>
            <w:vAlign w:val="center"/>
          </w:tcPr>
          <w:p w14:paraId="45E01213" w14:textId="7D493BB8"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40224309" w14:textId="08469491"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7D728BD4" w14:textId="2708663A"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18A216F0" w14:textId="77777777" w:rsidTr="00D222CF">
        <w:trPr>
          <w:trHeight w:val="747"/>
        </w:trPr>
        <w:tc>
          <w:tcPr>
            <w:tcW w:w="2689" w:type="dxa"/>
            <w:vMerge/>
            <w:vAlign w:val="center"/>
          </w:tcPr>
          <w:p w14:paraId="63F12C6B"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3641E2AF" w14:textId="70887DDC"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350F7035" w14:textId="77777777" w:rsidTr="00D222CF">
        <w:trPr>
          <w:trHeight w:val="748"/>
        </w:trPr>
        <w:tc>
          <w:tcPr>
            <w:tcW w:w="2689" w:type="dxa"/>
            <w:vMerge w:val="restart"/>
            <w:vAlign w:val="center"/>
          </w:tcPr>
          <w:p w14:paraId="1D56B3FB" w14:textId="77777777"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revisión de la Recomendación UIT-T Y.4420</w:t>
            </w:r>
          </w:p>
        </w:tc>
        <w:tc>
          <w:tcPr>
            <w:tcW w:w="7030" w:type="dxa"/>
            <w:vAlign w:val="center"/>
          </w:tcPr>
          <w:p w14:paraId="22435FE7" w14:textId="3F515DD4"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0DC2F1D8" w14:textId="7A22E06B"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0AC4A58B" w14:textId="5C59BFE0"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555778BD" w14:textId="77777777" w:rsidTr="00D222CF">
        <w:trPr>
          <w:trHeight w:val="747"/>
        </w:trPr>
        <w:tc>
          <w:tcPr>
            <w:tcW w:w="2689" w:type="dxa"/>
            <w:vMerge/>
            <w:vAlign w:val="center"/>
          </w:tcPr>
          <w:p w14:paraId="2C506943"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23E2F82C" w14:textId="112DC232"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6DF3EAC0" w14:textId="77777777" w:rsidTr="00D222CF">
        <w:trPr>
          <w:trHeight w:val="748"/>
        </w:trPr>
        <w:tc>
          <w:tcPr>
            <w:tcW w:w="2689" w:type="dxa"/>
            <w:vMerge w:val="restart"/>
            <w:vAlign w:val="center"/>
          </w:tcPr>
          <w:p w14:paraId="17BFD2D0" w14:textId="77777777"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nueva Recomendación UIT-T Y.4614 (antes Y.CL-EDM)</w:t>
            </w:r>
          </w:p>
        </w:tc>
        <w:tc>
          <w:tcPr>
            <w:tcW w:w="7030" w:type="dxa"/>
            <w:vAlign w:val="center"/>
          </w:tcPr>
          <w:p w14:paraId="35073B79" w14:textId="237FC5CB"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7181567D" w14:textId="78BF08D1"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09DFE8D5" w14:textId="53C23435"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3E52E02A" w14:textId="77777777" w:rsidTr="00D222CF">
        <w:trPr>
          <w:trHeight w:val="747"/>
        </w:trPr>
        <w:tc>
          <w:tcPr>
            <w:tcW w:w="2689" w:type="dxa"/>
            <w:vMerge/>
            <w:vAlign w:val="center"/>
          </w:tcPr>
          <w:p w14:paraId="4181AA81"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2677004A" w14:textId="6CF90CB7"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0F62E9F4" w14:textId="77777777" w:rsidTr="00D222CF">
        <w:trPr>
          <w:trHeight w:val="748"/>
        </w:trPr>
        <w:tc>
          <w:tcPr>
            <w:tcW w:w="2689" w:type="dxa"/>
            <w:vMerge w:val="restart"/>
            <w:vAlign w:val="center"/>
          </w:tcPr>
          <w:p w14:paraId="0C6E7777" w14:textId="7177C705"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nueva Recomendación UIT-T Y.4815</w:t>
            </w:r>
            <w:r w:rsidR="00D222CF">
              <w:rPr>
                <w:b/>
                <w:bCs/>
                <w:sz w:val="24"/>
                <w:szCs w:val="24"/>
                <w:lang w:val="es-ES"/>
              </w:rPr>
              <w:br/>
            </w:r>
            <w:r w:rsidRPr="00A556D5">
              <w:rPr>
                <w:b/>
                <w:bCs/>
                <w:sz w:val="24"/>
                <w:szCs w:val="24"/>
                <w:lang w:val="es-ES"/>
              </w:rPr>
              <w:t xml:space="preserve">(antes </w:t>
            </w:r>
            <w:proofErr w:type="spellStart"/>
            <w:r w:rsidRPr="00A556D5">
              <w:rPr>
                <w:b/>
                <w:bCs/>
                <w:sz w:val="24"/>
                <w:szCs w:val="24"/>
                <w:lang w:val="es-ES"/>
              </w:rPr>
              <w:t>Y.uas-dc-fr</w:t>
            </w:r>
            <w:proofErr w:type="spellEnd"/>
            <w:r w:rsidRPr="00A556D5">
              <w:rPr>
                <w:b/>
                <w:bCs/>
                <w:sz w:val="24"/>
                <w:szCs w:val="24"/>
                <w:lang w:val="es-ES"/>
              </w:rPr>
              <w:t>)</w:t>
            </w:r>
          </w:p>
        </w:tc>
        <w:tc>
          <w:tcPr>
            <w:tcW w:w="7030" w:type="dxa"/>
            <w:vAlign w:val="center"/>
          </w:tcPr>
          <w:p w14:paraId="04E9B94C" w14:textId="2969C71C"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15763A68" w14:textId="489AE138"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73AB582F" w14:textId="7A0FBB8C"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18B54958" w14:textId="77777777" w:rsidTr="00D222CF">
        <w:trPr>
          <w:trHeight w:val="747"/>
        </w:trPr>
        <w:tc>
          <w:tcPr>
            <w:tcW w:w="2689" w:type="dxa"/>
            <w:vMerge/>
            <w:vAlign w:val="center"/>
          </w:tcPr>
          <w:p w14:paraId="60B5F840"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40019B72" w14:textId="73679FF9"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71718239" w14:textId="77777777" w:rsidTr="00D222CF">
        <w:trPr>
          <w:trHeight w:val="748"/>
        </w:trPr>
        <w:tc>
          <w:tcPr>
            <w:tcW w:w="2689" w:type="dxa"/>
            <w:vMerge w:val="restart"/>
            <w:vAlign w:val="center"/>
          </w:tcPr>
          <w:p w14:paraId="7DCB8224" w14:textId="77777777" w:rsidR="00356436" w:rsidRPr="00A556D5" w:rsidRDefault="00356436" w:rsidP="00A556D5">
            <w:pPr>
              <w:pStyle w:val="Tabletext0"/>
              <w:jc w:val="center"/>
              <w:rPr>
                <w:rFonts w:cs="Calibri"/>
                <w:b/>
                <w:bCs/>
                <w:sz w:val="24"/>
                <w:szCs w:val="24"/>
                <w:lang w:val="es-ES"/>
              </w:rPr>
            </w:pPr>
            <w:r w:rsidRPr="00A556D5">
              <w:rPr>
                <w:b/>
                <w:bCs/>
                <w:sz w:val="24"/>
                <w:szCs w:val="24"/>
                <w:lang w:val="es-ES"/>
              </w:rPr>
              <w:t xml:space="preserve">Proyecto de nueva Recomendación UIT-T Y.4816 (antes </w:t>
            </w:r>
            <w:proofErr w:type="spellStart"/>
            <w:proofErr w:type="gramStart"/>
            <w:r w:rsidRPr="00A556D5">
              <w:rPr>
                <w:b/>
                <w:bCs/>
                <w:sz w:val="24"/>
                <w:szCs w:val="24"/>
                <w:lang w:val="es-ES"/>
              </w:rPr>
              <w:t>Y.bsis</w:t>
            </w:r>
            <w:proofErr w:type="gramEnd"/>
            <w:r w:rsidRPr="00A556D5">
              <w:rPr>
                <w:b/>
                <w:bCs/>
                <w:sz w:val="24"/>
                <w:szCs w:val="24"/>
                <w:lang w:val="es-ES"/>
              </w:rPr>
              <w:t>-sec</w:t>
            </w:r>
            <w:proofErr w:type="spellEnd"/>
            <w:r w:rsidRPr="00A556D5">
              <w:rPr>
                <w:b/>
                <w:bCs/>
                <w:sz w:val="24"/>
                <w:szCs w:val="24"/>
                <w:lang w:val="es-ES"/>
              </w:rPr>
              <w:t>)</w:t>
            </w:r>
          </w:p>
        </w:tc>
        <w:tc>
          <w:tcPr>
            <w:tcW w:w="7030" w:type="dxa"/>
            <w:vAlign w:val="center"/>
          </w:tcPr>
          <w:p w14:paraId="034CA2BB" w14:textId="69711874"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2E0B98F5" w14:textId="55927065"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0DF7AB41" w14:textId="6DEEB7D8"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3AC8EE69" w14:textId="77777777" w:rsidTr="00D222CF">
        <w:trPr>
          <w:trHeight w:val="747"/>
        </w:trPr>
        <w:tc>
          <w:tcPr>
            <w:tcW w:w="2689" w:type="dxa"/>
            <w:vMerge/>
            <w:vAlign w:val="center"/>
          </w:tcPr>
          <w:p w14:paraId="2A9DCBF4"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02A6243D" w14:textId="1E641CC5"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4D7FA8B2" w14:textId="77777777" w:rsidTr="00D222CF">
        <w:trPr>
          <w:trHeight w:val="748"/>
        </w:trPr>
        <w:tc>
          <w:tcPr>
            <w:tcW w:w="2689" w:type="dxa"/>
            <w:vMerge w:val="restart"/>
            <w:vAlign w:val="center"/>
          </w:tcPr>
          <w:p w14:paraId="496EF91B" w14:textId="7809AA8F"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nueva Recomendación UIT-T Y.4912</w:t>
            </w:r>
            <w:r w:rsidR="00D222CF">
              <w:rPr>
                <w:b/>
                <w:bCs/>
                <w:sz w:val="24"/>
                <w:szCs w:val="24"/>
                <w:lang w:val="es-ES"/>
              </w:rPr>
              <w:br/>
            </w:r>
            <w:r w:rsidRPr="00A556D5">
              <w:rPr>
                <w:b/>
                <w:bCs/>
                <w:sz w:val="24"/>
                <w:szCs w:val="24"/>
                <w:lang w:val="es-ES"/>
              </w:rPr>
              <w:t xml:space="preserve">(antes </w:t>
            </w:r>
            <w:proofErr w:type="gramStart"/>
            <w:r w:rsidRPr="00A556D5">
              <w:rPr>
                <w:b/>
                <w:bCs/>
                <w:sz w:val="24"/>
                <w:szCs w:val="24"/>
                <w:lang w:val="es-ES"/>
              </w:rPr>
              <w:t>Y.SNPG</w:t>
            </w:r>
            <w:proofErr w:type="gramEnd"/>
            <w:r w:rsidRPr="00A556D5">
              <w:rPr>
                <w:b/>
                <w:bCs/>
                <w:sz w:val="24"/>
                <w:szCs w:val="24"/>
                <w:lang w:val="es-ES"/>
              </w:rPr>
              <w:t>-</w:t>
            </w:r>
            <w:proofErr w:type="spellStart"/>
            <w:r w:rsidRPr="00A556D5">
              <w:rPr>
                <w:b/>
                <w:bCs/>
                <w:sz w:val="24"/>
                <w:szCs w:val="24"/>
                <w:lang w:val="es-ES"/>
              </w:rPr>
              <w:t>ref</w:t>
            </w:r>
            <w:proofErr w:type="spellEnd"/>
            <w:r w:rsidRPr="00A556D5">
              <w:rPr>
                <w:b/>
                <w:bCs/>
                <w:sz w:val="24"/>
                <w:szCs w:val="24"/>
                <w:lang w:val="es-ES"/>
              </w:rPr>
              <w:t>)</w:t>
            </w:r>
          </w:p>
        </w:tc>
        <w:tc>
          <w:tcPr>
            <w:tcW w:w="7030" w:type="dxa"/>
            <w:vAlign w:val="center"/>
          </w:tcPr>
          <w:p w14:paraId="41574BD0" w14:textId="01B0827E"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4D043D95" w14:textId="70D64C41"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36BB60DC" w14:textId="68385E9C"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353323E0" w14:textId="77777777" w:rsidTr="00D222CF">
        <w:trPr>
          <w:trHeight w:val="747"/>
        </w:trPr>
        <w:tc>
          <w:tcPr>
            <w:tcW w:w="2689" w:type="dxa"/>
            <w:vMerge/>
            <w:vAlign w:val="center"/>
          </w:tcPr>
          <w:p w14:paraId="35778729"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45890936" w14:textId="09C80395"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4F3888E4" w14:textId="77777777" w:rsidTr="00D222CF">
        <w:trPr>
          <w:trHeight w:val="748"/>
        </w:trPr>
        <w:tc>
          <w:tcPr>
            <w:tcW w:w="2689" w:type="dxa"/>
            <w:vMerge w:val="restart"/>
            <w:vAlign w:val="center"/>
          </w:tcPr>
          <w:p w14:paraId="05F41841" w14:textId="46FEE829"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nueva Recomendación UIT-T Y.4512</w:t>
            </w:r>
            <w:r w:rsidR="00D222CF">
              <w:rPr>
                <w:b/>
                <w:bCs/>
                <w:sz w:val="24"/>
                <w:szCs w:val="24"/>
                <w:lang w:val="es-ES"/>
              </w:rPr>
              <w:br/>
            </w:r>
            <w:r w:rsidRPr="00A556D5">
              <w:rPr>
                <w:b/>
                <w:bCs/>
                <w:sz w:val="24"/>
                <w:szCs w:val="24"/>
                <w:lang w:val="es-ES"/>
              </w:rPr>
              <w:t>(antes Y.SC-DESMS)</w:t>
            </w:r>
          </w:p>
        </w:tc>
        <w:tc>
          <w:tcPr>
            <w:tcW w:w="7030" w:type="dxa"/>
            <w:vAlign w:val="center"/>
          </w:tcPr>
          <w:p w14:paraId="00531ADB" w14:textId="593E31DC"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0F3A019A" w14:textId="05F3B0E7"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3F5C33B5" w14:textId="5B5FD177"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0CDBCB80" w14:textId="77777777" w:rsidTr="00D222CF">
        <w:trPr>
          <w:trHeight w:val="747"/>
        </w:trPr>
        <w:tc>
          <w:tcPr>
            <w:tcW w:w="2689" w:type="dxa"/>
            <w:vMerge/>
            <w:vAlign w:val="center"/>
          </w:tcPr>
          <w:p w14:paraId="46E87296" w14:textId="77777777" w:rsidR="00356436" w:rsidRPr="00A556D5" w:rsidRDefault="00356436" w:rsidP="00A556D5">
            <w:pPr>
              <w:pStyle w:val="Tabletext0"/>
              <w:jc w:val="center"/>
              <w:rPr>
                <w:rFonts w:cs="Calibri"/>
                <w:b/>
                <w:bCs/>
                <w:sz w:val="24"/>
                <w:szCs w:val="24"/>
                <w:lang w:val="es-ES"/>
              </w:rPr>
            </w:pPr>
          </w:p>
        </w:tc>
        <w:tc>
          <w:tcPr>
            <w:tcW w:w="7030" w:type="dxa"/>
            <w:vAlign w:val="center"/>
          </w:tcPr>
          <w:p w14:paraId="5E80C393" w14:textId="69AA70BC"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r w:rsidR="00356436" w:rsidRPr="00356436" w14:paraId="46E0395C" w14:textId="77777777" w:rsidTr="00D222CF">
        <w:trPr>
          <w:trHeight w:val="748"/>
        </w:trPr>
        <w:tc>
          <w:tcPr>
            <w:tcW w:w="2689" w:type="dxa"/>
            <w:vMerge w:val="restart"/>
            <w:vAlign w:val="center"/>
          </w:tcPr>
          <w:p w14:paraId="671AB2F5" w14:textId="48779FC1" w:rsidR="00356436" w:rsidRPr="00A556D5" w:rsidRDefault="00356436" w:rsidP="00A556D5">
            <w:pPr>
              <w:pStyle w:val="Tabletext0"/>
              <w:jc w:val="center"/>
              <w:rPr>
                <w:rFonts w:cs="Calibri"/>
                <w:b/>
                <w:bCs/>
                <w:sz w:val="24"/>
                <w:szCs w:val="24"/>
                <w:lang w:val="es-ES"/>
              </w:rPr>
            </w:pPr>
            <w:r w:rsidRPr="00A556D5">
              <w:rPr>
                <w:b/>
                <w:bCs/>
                <w:sz w:val="24"/>
                <w:szCs w:val="24"/>
                <w:lang w:val="es-ES"/>
              </w:rPr>
              <w:t>Proyecto de nueva Recomendación UIT-T Y.4244</w:t>
            </w:r>
            <w:r w:rsidR="00D222CF">
              <w:rPr>
                <w:b/>
                <w:bCs/>
                <w:sz w:val="24"/>
                <w:szCs w:val="24"/>
                <w:lang w:val="es-ES"/>
              </w:rPr>
              <w:br/>
            </w:r>
            <w:r w:rsidRPr="00A556D5">
              <w:rPr>
                <w:b/>
                <w:bCs/>
                <w:sz w:val="24"/>
                <w:szCs w:val="24"/>
                <w:lang w:val="es-ES"/>
              </w:rPr>
              <w:t xml:space="preserve">(antes </w:t>
            </w:r>
            <w:proofErr w:type="gramStart"/>
            <w:r w:rsidRPr="00A556D5">
              <w:rPr>
                <w:b/>
                <w:bCs/>
                <w:sz w:val="24"/>
                <w:szCs w:val="24"/>
                <w:lang w:val="es-ES"/>
              </w:rPr>
              <w:t>Y.EPWS</w:t>
            </w:r>
            <w:proofErr w:type="gramEnd"/>
            <w:r w:rsidRPr="00A556D5">
              <w:rPr>
                <w:b/>
                <w:bCs/>
                <w:sz w:val="24"/>
                <w:szCs w:val="24"/>
                <w:lang w:val="es-ES"/>
              </w:rPr>
              <w:t>-</w:t>
            </w:r>
            <w:proofErr w:type="spellStart"/>
            <w:r w:rsidRPr="00A556D5">
              <w:rPr>
                <w:b/>
                <w:bCs/>
                <w:sz w:val="24"/>
                <w:szCs w:val="24"/>
                <w:lang w:val="es-ES"/>
              </w:rPr>
              <w:t>fc</w:t>
            </w:r>
            <w:proofErr w:type="spellEnd"/>
            <w:r w:rsidRPr="00A556D5">
              <w:rPr>
                <w:b/>
                <w:bCs/>
                <w:sz w:val="24"/>
                <w:szCs w:val="24"/>
                <w:lang w:val="es-ES"/>
              </w:rPr>
              <w:t>)</w:t>
            </w:r>
          </w:p>
        </w:tc>
        <w:tc>
          <w:tcPr>
            <w:tcW w:w="7030" w:type="dxa"/>
            <w:vAlign w:val="center"/>
          </w:tcPr>
          <w:p w14:paraId="06504975" w14:textId="4AB3DE13"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3812A1">
              <w:rPr>
                <w:b/>
                <w:bCs/>
                <w:sz w:val="24"/>
                <w:szCs w:val="24"/>
                <w:lang w:val="es-ES"/>
              </w:rPr>
              <w:t>otorga autoridad</w:t>
            </w:r>
            <w:r w:rsidR="00356436" w:rsidRPr="00A556D5">
              <w:rPr>
                <w:sz w:val="24"/>
                <w:szCs w:val="24"/>
                <w:lang w:val="es-ES"/>
              </w:rPr>
              <w:t xml:space="preserve"> a la Comisión de Estudio 20 del UIT-T a fin de examinar este texto para aprobación (en cuyo caso seleccionará una de las dos opciones ⃝):</w:t>
            </w:r>
          </w:p>
          <w:p w14:paraId="511EC8EC" w14:textId="5B335564"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Sin comentarios o cambios sugeridos</w:t>
            </w:r>
          </w:p>
          <w:p w14:paraId="250EE126" w14:textId="1AC6E45C" w:rsidR="00356436" w:rsidRPr="00A556D5" w:rsidRDefault="00A556D5" w:rsidP="003812A1">
            <w:pPr>
              <w:pStyle w:val="Tabletext0"/>
              <w:tabs>
                <w:tab w:val="clear" w:pos="284"/>
                <w:tab w:val="clear" w:pos="851"/>
                <w:tab w:val="clear" w:pos="1985"/>
                <w:tab w:val="left" w:pos="941"/>
                <w:tab w:val="left" w:pos="1508"/>
                <w:tab w:val="left" w:pos="3067"/>
              </w:tabs>
              <w:ind w:left="2075" w:hanging="1559"/>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Se adjuntan los comentarios o cambios sugeridos</w:t>
            </w:r>
          </w:p>
        </w:tc>
      </w:tr>
      <w:tr w:rsidR="00356436" w:rsidRPr="00356436" w14:paraId="6C7EA575" w14:textId="77777777" w:rsidTr="00D222CF">
        <w:trPr>
          <w:trHeight w:val="747"/>
        </w:trPr>
        <w:tc>
          <w:tcPr>
            <w:tcW w:w="2689" w:type="dxa"/>
            <w:vMerge/>
            <w:vAlign w:val="center"/>
          </w:tcPr>
          <w:p w14:paraId="23054DFF" w14:textId="77777777" w:rsidR="00356436" w:rsidRPr="00A556D5" w:rsidRDefault="00356436" w:rsidP="00A556D5">
            <w:pPr>
              <w:pStyle w:val="Tabletext0"/>
              <w:rPr>
                <w:rFonts w:cs="Calibri"/>
                <w:sz w:val="24"/>
                <w:szCs w:val="24"/>
                <w:lang w:val="es-ES"/>
              </w:rPr>
            </w:pPr>
          </w:p>
        </w:tc>
        <w:tc>
          <w:tcPr>
            <w:tcW w:w="7030" w:type="dxa"/>
            <w:vAlign w:val="center"/>
          </w:tcPr>
          <w:p w14:paraId="1D8E05BB" w14:textId="52B71E82" w:rsidR="00356436" w:rsidRPr="00A556D5" w:rsidRDefault="00A556D5" w:rsidP="00A556D5">
            <w:pPr>
              <w:pStyle w:val="Tabletext0"/>
              <w:ind w:left="516" w:hanging="516"/>
              <w:rPr>
                <w:rFonts w:cs="Calibri"/>
                <w:sz w:val="24"/>
                <w:szCs w:val="24"/>
                <w:lang w:val="es-ES"/>
              </w:rPr>
            </w:pPr>
            <w:r w:rsidRPr="001F4132">
              <w:rPr>
                <w:rFonts w:cs="Calibri"/>
                <w:szCs w:val="22"/>
              </w:rPr>
              <w:fldChar w:fldCharType="begin">
                <w:ffData>
                  <w:name w:val="Check1"/>
                  <w:enabled/>
                  <w:calcOnExit w:val="0"/>
                  <w:checkBox>
                    <w:sizeAuto/>
                    <w:default w:val="0"/>
                  </w:checkBox>
                </w:ffData>
              </w:fldChar>
            </w:r>
            <w:r w:rsidRPr="001F4132">
              <w:rPr>
                <w:rFonts w:cs="Calibri"/>
                <w:szCs w:val="22"/>
              </w:rPr>
              <w:instrText xml:space="preserve"> FORMCHECKBOX </w:instrText>
            </w:r>
            <w:r w:rsidRPr="001F4132">
              <w:rPr>
                <w:rFonts w:cs="Calibri"/>
                <w:szCs w:val="22"/>
              </w:rPr>
            </w:r>
            <w:r w:rsidRPr="001F4132">
              <w:rPr>
                <w:rFonts w:cs="Calibri"/>
                <w:szCs w:val="22"/>
              </w:rPr>
              <w:fldChar w:fldCharType="separate"/>
            </w:r>
            <w:r w:rsidRPr="001F4132">
              <w:rPr>
                <w:rFonts w:cs="Calibri"/>
                <w:szCs w:val="22"/>
              </w:rPr>
              <w:fldChar w:fldCharType="end"/>
            </w:r>
            <w:r w:rsidRPr="00A556D5">
              <w:rPr>
                <w:sz w:val="24"/>
                <w:szCs w:val="24"/>
                <w:lang w:val="es-ES"/>
              </w:rPr>
              <w:tab/>
            </w:r>
            <w:r w:rsidR="00356436" w:rsidRPr="00A556D5">
              <w:rPr>
                <w:sz w:val="24"/>
                <w:szCs w:val="24"/>
                <w:lang w:val="es-ES"/>
              </w:rPr>
              <w:tab/>
            </w:r>
            <w:r w:rsidR="00356436" w:rsidRPr="00A556D5">
              <w:rPr>
                <w:b/>
                <w:bCs/>
                <w:sz w:val="24"/>
                <w:szCs w:val="24"/>
                <w:lang w:val="es-ES"/>
              </w:rPr>
              <w:t>no otorga autoridad</w:t>
            </w:r>
            <w:r w:rsidR="00356436" w:rsidRPr="00A556D5">
              <w:rPr>
                <w:sz w:val="24"/>
                <w:szCs w:val="24"/>
                <w:lang w:val="es-ES"/>
              </w:rPr>
              <w:t xml:space="preserve"> a la Comisión de Estudio 20 del UIT-T a fin de examinar este texto para aprobación (se adjuntan los motivos en que se fundamenta esta opinión y las modificaciones que podrían permitir el proseguimiento de los trabajos)</w:t>
            </w:r>
          </w:p>
        </w:tc>
      </w:tr>
    </w:tbl>
    <w:p w14:paraId="77F2F0B8" w14:textId="77777777" w:rsidR="00356436" w:rsidRPr="00356436" w:rsidRDefault="00356436" w:rsidP="00D222CF">
      <w:pPr>
        <w:spacing w:before="720" w:after="600"/>
        <w:rPr>
          <w:rFonts w:cs="Calibri"/>
          <w:szCs w:val="24"/>
          <w:lang w:val="es-ES"/>
        </w:rPr>
      </w:pPr>
      <w:r w:rsidRPr="00356436">
        <w:rPr>
          <w:szCs w:val="24"/>
          <w:lang w:val="es-ES"/>
        </w:rPr>
        <w:t>Le saluda atentamente,</w:t>
      </w:r>
    </w:p>
    <w:p w14:paraId="1405DDB8" w14:textId="77777777" w:rsidR="00356436" w:rsidRPr="00356436" w:rsidRDefault="00356436" w:rsidP="00356436">
      <w:pPr>
        <w:rPr>
          <w:rFonts w:cs="Calibri"/>
          <w:szCs w:val="24"/>
          <w:highlight w:val="green"/>
          <w:lang w:val="es-ES"/>
        </w:rPr>
      </w:pPr>
      <w:r w:rsidRPr="00356436">
        <w:rPr>
          <w:szCs w:val="24"/>
          <w:highlight w:val="green"/>
          <w:lang w:val="es-ES"/>
        </w:rPr>
        <w:t>[Nombre]</w:t>
      </w:r>
    </w:p>
    <w:p w14:paraId="40178B80" w14:textId="77777777" w:rsidR="00356436" w:rsidRPr="00356436" w:rsidRDefault="00356436" w:rsidP="00356436">
      <w:pPr>
        <w:rPr>
          <w:rFonts w:cs="Calibri"/>
          <w:szCs w:val="24"/>
          <w:lang w:val="es-ES"/>
        </w:rPr>
      </w:pPr>
      <w:r w:rsidRPr="00356436">
        <w:rPr>
          <w:szCs w:val="24"/>
          <w:highlight w:val="green"/>
          <w:lang w:val="es-ES"/>
        </w:rPr>
        <w:t>[Función/título oficial]</w:t>
      </w:r>
    </w:p>
    <w:p w14:paraId="52EBE1FC" w14:textId="49F55E6B" w:rsidR="00D222CF" w:rsidRDefault="00356436" w:rsidP="00E06488">
      <w:pPr>
        <w:rPr>
          <w:szCs w:val="24"/>
          <w:lang w:val="es-ES"/>
        </w:rPr>
      </w:pPr>
      <w:r w:rsidRPr="00356436">
        <w:rPr>
          <w:szCs w:val="24"/>
          <w:lang w:val="es-ES"/>
        </w:rPr>
        <w:t xml:space="preserve">Administración de </w:t>
      </w:r>
      <w:r w:rsidRPr="00356436">
        <w:rPr>
          <w:szCs w:val="24"/>
          <w:highlight w:val="green"/>
          <w:lang w:val="es-ES"/>
        </w:rPr>
        <w:t>[Estado Miembro]</w:t>
      </w:r>
    </w:p>
    <w:p w14:paraId="65D00AD8" w14:textId="77777777" w:rsidR="00024232" w:rsidRDefault="00024232" w:rsidP="00E06488">
      <w:pPr>
        <w:rPr>
          <w:szCs w:val="24"/>
          <w:lang w:val="es-ES"/>
        </w:rPr>
      </w:pPr>
    </w:p>
    <w:p w14:paraId="32D9E8F8" w14:textId="0AFD3936" w:rsidR="00024232" w:rsidRPr="00E06488" w:rsidRDefault="00024232" w:rsidP="00024232">
      <w:pPr>
        <w:jc w:val="center"/>
        <w:rPr>
          <w:rFonts w:cs="Calibri"/>
          <w:szCs w:val="24"/>
        </w:rPr>
      </w:pPr>
      <w:r>
        <w:rPr>
          <w:szCs w:val="24"/>
          <w:lang w:val="es-ES"/>
        </w:rPr>
        <w:t>________________</w:t>
      </w:r>
    </w:p>
    <w:sectPr w:rsidR="00024232" w:rsidRPr="00E06488" w:rsidSect="00024232">
      <w:headerReference w:type="default" r:id="rId38"/>
      <w:footerReference w:type="first" r:id="rId39"/>
      <w:pgSz w:w="11907" w:h="16840" w:code="9"/>
      <w:pgMar w:top="1134" w:right="1134" w:bottom="540" w:left="1134" w:header="567" w:footer="38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C07F" w14:textId="77777777" w:rsidR="00821362" w:rsidRDefault="00821362">
      <w:r>
        <w:separator/>
      </w:r>
    </w:p>
  </w:endnote>
  <w:endnote w:type="continuationSeparator" w:id="0">
    <w:p w14:paraId="2E8CF563" w14:textId="77777777" w:rsidR="00821362" w:rsidRDefault="0082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5EC3"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6167" w14:textId="77777777" w:rsidR="00821362" w:rsidRDefault="00821362">
      <w:r>
        <w:t>____________________</w:t>
      </w:r>
    </w:p>
  </w:footnote>
  <w:footnote w:type="continuationSeparator" w:id="0">
    <w:p w14:paraId="2A3087DC" w14:textId="77777777" w:rsidR="00821362" w:rsidRDefault="00821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2D6" w14:textId="70914263"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0D2B62">
      <w:rPr>
        <w:rStyle w:val="PageNumber"/>
        <w:sz w:val="18"/>
        <w:szCs w:val="18"/>
      </w:rPr>
      <w:br/>
      <w:t>TSB Circular 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62"/>
    <w:rsid w:val="00002529"/>
    <w:rsid w:val="00024232"/>
    <w:rsid w:val="00043878"/>
    <w:rsid w:val="00085662"/>
    <w:rsid w:val="000A7E29"/>
    <w:rsid w:val="000C382F"/>
    <w:rsid w:val="000D2B62"/>
    <w:rsid w:val="001173CC"/>
    <w:rsid w:val="001350B9"/>
    <w:rsid w:val="0014464D"/>
    <w:rsid w:val="001A54CC"/>
    <w:rsid w:val="001E5376"/>
    <w:rsid w:val="00242AC3"/>
    <w:rsid w:val="00257FB4"/>
    <w:rsid w:val="00263922"/>
    <w:rsid w:val="002E496E"/>
    <w:rsid w:val="00303D62"/>
    <w:rsid w:val="00335367"/>
    <w:rsid w:val="00356436"/>
    <w:rsid w:val="00370C2D"/>
    <w:rsid w:val="003812A1"/>
    <w:rsid w:val="003D1E8D"/>
    <w:rsid w:val="003D673B"/>
    <w:rsid w:val="003F2855"/>
    <w:rsid w:val="00401C20"/>
    <w:rsid w:val="00402A87"/>
    <w:rsid w:val="004036B4"/>
    <w:rsid w:val="00422EF7"/>
    <w:rsid w:val="004A7957"/>
    <w:rsid w:val="004C4144"/>
    <w:rsid w:val="004D22A7"/>
    <w:rsid w:val="0055719E"/>
    <w:rsid w:val="005B7C04"/>
    <w:rsid w:val="005D2D79"/>
    <w:rsid w:val="006245B1"/>
    <w:rsid w:val="006969B4"/>
    <w:rsid w:val="006A4083"/>
    <w:rsid w:val="006E4F7B"/>
    <w:rsid w:val="00750EFB"/>
    <w:rsid w:val="00781E2A"/>
    <w:rsid w:val="007933A2"/>
    <w:rsid w:val="007B6316"/>
    <w:rsid w:val="00814503"/>
    <w:rsid w:val="00821362"/>
    <w:rsid w:val="008258C2"/>
    <w:rsid w:val="008505BD"/>
    <w:rsid w:val="00850C78"/>
    <w:rsid w:val="00876165"/>
    <w:rsid w:val="00884D12"/>
    <w:rsid w:val="008C17AD"/>
    <w:rsid w:val="008D02CD"/>
    <w:rsid w:val="008E34BC"/>
    <w:rsid w:val="0091370C"/>
    <w:rsid w:val="0095172A"/>
    <w:rsid w:val="009A0BA0"/>
    <w:rsid w:val="00A54E47"/>
    <w:rsid w:val="00A556D5"/>
    <w:rsid w:val="00AA3358"/>
    <w:rsid w:val="00AB6E3A"/>
    <w:rsid w:val="00AE7093"/>
    <w:rsid w:val="00B422BC"/>
    <w:rsid w:val="00B43F77"/>
    <w:rsid w:val="00B55A3E"/>
    <w:rsid w:val="00B570B7"/>
    <w:rsid w:val="00B87E9E"/>
    <w:rsid w:val="00B95F0A"/>
    <w:rsid w:val="00B96180"/>
    <w:rsid w:val="00BA3511"/>
    <w:rsid w:val="00BE7F41"/>
    <w:rsid w:val="00C116FE"/>
    <w:rsid w:val="00C17AC0"/>
    <w:rsid w:val="00C34772"/>
    <w:rsid w:val="00C5465A"/>
    <w:rsid w:val="00D222CF"/>
    <w:rsid w:val="00D43F81"/>
    <w:rsid w:val="00D54642"/>
    <w:rsid w:val="00D834E7"/>
    <w:rsid w:val="00DD77C9"/>
    <w:rsid w:val="00DF3538"/>
    <w:rsid w:val="00E06488"/>
    <w:rsid w:val="00E66B39"/>
    <w:rsid w:val="00E839B0"/>
    <w:rsid w:val="00E92C09"/>
    <w:rsid w:val="00EA7607"/>
    <w:rsid w:val="00F14380"/>
    <w:rsid w:val="00F6461F"/>
    <w:rsid w:val="00FC416A"/>
    <w:rsid w:val="00FD2B2D"/>
    <w:rsid w:val="00FE5B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92B6F"/>
  <w15:docId w15:val="{889E5CCD-E640-4D70-BA85-22700E63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821362"/>
    <w:rPr>
      <w:color w:val="605E5C"/>
      <w:shd w:val="clear" w:color="auto" w:fill="E1DFDD"/>
    </w:rPr>
  </w:style>
  <w:style w:type="paragraph" w:customStyle="1" w:styleId="Annextitle0">
    <w:name w:val="Annex_title"/>
    <w:basedOn w:val="Normal"/>
    <w:next w:val="Normal"/>
    <w:rsid w:val="00356436"/>
    <w:pPr>
      <w:keepNext/>
      <w:keepLines/>
      <w:spacing w:before="240" w:after="280"/>
      <w:jc w:val="center"/>
    </w:pPr>
    <w:rPr>
      <w:rFonts w:ascii="Calibri" w:hAnsi="Calibri"/>
      <w:b/>
      <w:sz w:val="28"/>
      <w:lang w:val="en-GB" w:eastAsia="en-GB"/>
    </w:rPr>
  </w:style>
  <w:style w:type="paragraph" w:customStyle="1" w:styleId="Reasons">
    <w:name w:val="Reasons"/>
    <w:basedOn w:val="Normal"/>
    <w:qFormat/>
    <w:rsid w:val="00D222CF"/>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SG20-COL-0003/en" TargetMode="External"/><Relationship Id="rId18" Type="http://schemas.openxmlformats.org/officeDocument/2006/relationships/hyperlink" Target="https://www.itu.int/md/T25-SG20-R-0013/en" TargetMode="External"/><Relationship Id="rId26" Type="http://schemas.openxmlformats.org/officeDocument/2006/relationships/hyperlink" Target="https://www.itu.int/md/T25-SG20-R-0016/en" TargetMode="External"/><Relationship Id="rId39" Type="http://schemas.openxmlformats.org/officeDocument/2006/relationships/footer" Target="footer1.xml"/><Relationship Id="rId21" Type="http://schemas.openxmlformats.org/officeDocument/2006/relationships/hyperlink" Target="https://www.itu.int/md/T25-SG20-R-0015/es" TargetMode="External"/><Relationship Id="rId34" Type="http://schemas.openxmlformats.org/officeDocument/2006/relationships/hyperlink" Target="https://www.itu.int/md/T25-SG20-R-0020/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T25-SG20-R-0012/en" TargetMode="External"/><Relationship Id="rId20" Type="http://schemas.openxmlformats.org/officeDocument/2006/relationships/hyperlink" Target="https://www.itu.int/md/T25-SG20-R-0014/en" TargetMode="External"/><Relationship Id="rId29" Type="http://schemas.openxmlformats.org/officeDocument/2006/relationships/hyperlink" Target="https://www.itu.int/md/T25-SG20-R-0018/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20-COL-0003/es" TargetMode="External"/><Relationship Id="rId24" Type="http://schemas.openxmlformats.org/officeDocument/2006/relationships/hyperlink" Target="http://www.itu.int/ipr/" TargetMode="External"/><Relationship Id="rId32" Type="http://schemas.openxmlformats.org/officeDocument/2006/relationships/hyperlink" Target="https://www.itu.int/md/T25-SG20-R-0019/en" TargetMode="External"/><Relationship Id="rId37" Type="http://schemas.openxmlformats.org/officeDocument/2006/relationships/hyperlink" Target="mailto:tsbdir@itu.in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T25-SG20-R-0012/es" TargetMode="External"/><Relationship Id="rId23" Type="http://schemas.openxmlformats.org/officeDocument/2006/relationships/hyperlink" Target="http://www.itu.int/ipr/" TargetMode="External"/><Relationship Id="rId28" Type="http://schemas.openxmlformats.org/officeDocument/2006/relationships/hyperlink" Target="https://www.itu.int/md/T25-SG20-R-0017/en" TargetMode="External"/><Relationship Id="rId36" Type="http://schemas.openxmlformats.org/officeDocument/2006/relationships/hyperlink" Target="https://www.itu.int/md/T25-SG20-R-0021/en" TargetMode="External"/><Relationship Id="rId10" Type="http://schemas.openxmlformats.org/officeDocument/2006/relationships/hyperlink" Target="https://www.itu.int/dms_pub/itu-t/opb/res/T-RES-T.1-2022-PDF-S.pdf" TargetMode="External"/><Relationship Id="rId19" Type="http://schemas.openxmlformats.org/officeDocument/2006/relationships/hyperlink" Target="https://www.itu.int/md/T25-SG20-R-0014/es" TargetMode="External"/><Relationship Id="rId31" Type="http://schemas.openxmlformats.org/officeDocument/2006/relationships/hyperlink" Target="https://www.itu.int/md/T25-SG20-R-0019/es"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image" Target="media/image2.png"/><Relationship Id="rId22" Type="http://schemas.openxmlformats.org/officeDocument/2006/relationships/hyperlink" Target="https://www.itu.int/md/T25-SG20-R-0015/en" TargetMode="External"/><Relationship Id="rId27" Type="http://schemas.openxmlformats.org/officeDocument/2006/relationships/hyperlink" Target="https://www.itu.int/md/T25-SG20-R-0017/es" TargetMode="External"/><Relationship Id="rId30" Type="http://schemas.openxmlformats.org/officeDocument/2006/relationships/hyperlink" Target="https://www.itu.int/md/T25-SG20-R-0018/en" TargetMode="External"/><Relationship Id="rId35" Type="http://schemas.openxmlformats.org/officeDocument/2006/relationships/hyperlink" Target="https://www.itu.int/md/T25-SG20-R-0021/e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dms_pub/itu-t/opb/res/T-RES-T.1-2022-PDF-E.pdf" TargetMode="External"/><Relationship Id="rId17" Type="http://schemas.openxmlformats.org/officeDocument/2006/relationships/hyperlink" Target="https://www.itu.int/md/T25-SG20-R-0013/es" TargetMode="External"/><Relationship Id="rId25" Type="http://schemas.openxmlformats.org/officeDocument/2006/relationships/hyperlink" Target="https://www.itu.int/md/T25-SG20-R-0016/es" TargetMode="External"/><Relationship Id="rId33" Type="http://schemas.openxmlformats.org/officeDocument/2006/relationships/hyperlink" Target="https://www.itu.int/md/T25-SG20-R-0020/es"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134</TotalTime>
  <Pages>8</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25785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23</cp:revision>
  <cp:lastPrinted>2026-03-27T09:01:00Z</cp:lastPrinted>
  <dcterms:created xsi:type="dcterms:W3CDTF">2026-02-19T08:55:00Z</dcterms:created>
  <dcterms:modified xsi:type="dcterms:W3CDTF">2026-03-27T09:01:00Z</dcterms:modified>
</cp:coreProperties>
</file>