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421"/>
        <w:tblW w:w="9900" w:type="dxa"/>
        <w:tblCellMar>
          <w:left w:w="0" w:type="dxa"/>
          <w:right w:w="0" w:type="dxa"/>
        </w:tblCellMar>
        <w:tblLook w:val="0000" w:firstRow="0" w:lastRow="0" w:firstColumn="0" w:lastColumn="0" w:noHBand="0" w:noVBand="0"/>
      </w:tblPr>
      <w:tblGrid>
        <w:gridCol w:w="1279"/>
        <w:gridCol w:w="2766"/>
        <w:gridCol w:w="5855"/>
      </w:tblGrid>
      <w:tr w:rsidR="00D033C0" w:rsidRPr="000D6356" w14:paraId="5A57BBC7" w14:textId="77777777" w:rsidTr="00D033C0">
        <w:trPr>
          <w:cantSplit/>
        </w:trPr>
        <w:tc>
          <w:tcPr>
            <w:tcW w:w="1279" w:type="dxa"/>
            <w:vAlign w:val="center"/>
          </w:tcPr>
          <w:p w14:paraId="53B8067D" w14:textId="77777777" w:rsidR="00D033C0" w:rsidRPr="000D6356" w:rsidRDefault="00D033C0" w:rsidP="00D033C0">
            <w:pPr>
              <w:tabs>
                <w:tab w:val="right" w:pos="8732"/>
              </w:tabs>
              <w:spacing w:before="0"/>
              <w:rPr>
                <w:b/>
                <w:bCs/>
                <w:iCs/>
                <w:color w:val="FFFFFF"/>
                <w:sz w:val="30"/>
                <w:szCs w:val="30"/>
              </w:rPr>
            </w:pPr>
            <w:r w:rsidRPr="000D6356">
              <w:rPr>
                <w:noProof/>
                <w:lang w:eastAsia="zh-CN"/>
              </w:rPr>
              <w:drawing>
                <wp:inline distT="0" distB="0" distL="0" distR="0" wp14:anchorId="0EB435DD" wp14:editId="32832365">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621" w:type="dxa"/>
            <w:gridSpan w:val="2"/>
            <w:vAlign w:val="center"/>
          </w:tcPr>
          <w:p w14:paraId="55DDDEE6" w14:textId="77777777" w:rsidR="00D033C0" w:rsidRPr="000D6356" w:rsidRDefault="00D033C0" w:rsidP="00D033C0">
            <w:pPr>
              <w:spacing w:before="0"/>
              <w:rPr>
                <w:rFonts w:cs="Times New Roman Bold"/>
                <w:b/>
                <w:bCs/>
                <w:iCs/>
                <w:smallCaps/>
                <w:sz w:val="34"/>
                <w:szCs w:val="34"/>
              </w:rPr>
            </w:pPr>
            <w:r w:rsidRPr="000D6356">
              <w:rPr>
                <w:rFonts w:cs="Times New Roman Bold"/>
                <w:b/>
                <w:bCs/>
                <w:iCs/>
                <w:smallCaps/>
                <w:sz w:val="34"/>
                <w:szCs w:val="34"/>
              </w:rPr>
              <w:t>Union internationale des télécommunications</w:t>
            </w:r>
          </w:p>
          <w:p w14:paraId="3BBCF034" w14:textId="77777777" w:rsidR="00D033C0" w:rsidRPr="000D6356" w:rsidRDefault="00D033C0" w:rsidP="00D033C0">
            <w:pPr>
              <w:spacing w:before="0"/>
              <w:rPr>
                <w:color w:val="FFFFFF"/>
                <w:sz w:val="26"/>
                <w:szCs w:val="26"/>
              </w:rPr>
            </w:pPr>
            <w:r w:rsidRPr="000D6356">
              <w:rPr>
                <w:rFonts w:cs="Times New Roman Bold"/>
                <w:b/>
                <w:bCs/>
                <w:iCs/>
                <w:smallCaps/>
                <w:sz w:val="28"/>
                <w:szCs w:val="28"/>
              </w:rPr>
              <w:t>B</w:t>
            </w:r>
            <w:r w:rsidRPr="000D6356">
              <w:rPr>
                <w:b/>
                <w:bCs/>
                <w:iCs/>
                <w:smallCaps/>
                <w:sz w:val="28"/>
                <w:szCs w:val="28"/>
              </w:rPr>
              <w:t>ureau de la Normalisation des Télécommunications</w:t>
            </w:r>
          </w:p>
        </w:tc>
      </w:tr>
      <w:tr w:rsidR="00D033C0" w:rsidRPr="00893944" w14:paraId="1648127E" w14:textId="77777777" w:rsidTr="00D033C0">
        <w:trPr>
          <w:cantSplit/>
          <w:trHeight w:val="342"/>
        </w:trPr>
        <w:tc>
          <w:tcPr>
            <w:tcW w:w="1279" w:type="dxa"/>
          </w:tcPr>
          <w:p w14:paraId="72CBA6AB" w14:textId="77777777" w:rsidR="00D033C0" w:rsidRPr="00893944" w:rsidRDefault="00D033C0" w:rsidP="00D033C0">
            <w:pPr>
              <w:tabs>
                <w:tab w:val="left" w:pos="4111"/>
              </w:tabs>
              <w:spacing w:before="10"/>
              <w:ind w:left="57"/>
              <w:rPr>
                <w:sz w:val="22"/>
                <w:szCs w:val="22"/>
              </w:rPr>
            </w:pPr>
          </w:p>
        </w:tc>
        <w:tc>
          <w:tcPr>
            <w:tcW w:w="2766" w:type="dxa"/>
          </w:tcPr>
          <w:p w14:paraId="09C5E51C" w14:textId="77777777" w:rsidR="00D033C0" w:rsidRPr="00893944" w:rsidRDefault="00D033C0" w:rsidP="00D033C0">
            <w:pPr>
              <w:tabs>
                <w:tab w:val="left" w:pos="4111"/>
              </w:tabs>
              <w:spacing w:before="10"/>
              <w:ind w:left="57"/>
              <w:rPr>
                <w:b/>
                <w:sz w:val="22"/>
                <w:szCs w:val="22"/>
              </w:rPr>
            </w:pPr>
          </w:p>
        </w:tc>
        <w:tc>
          <w:tcPr>
            <w:tcW w:w="5855" w:type="dxa"/>
          </w:tcPr>
          <w:p w14:paraId="07F327BC" w14:textId="77777777" w:rsidR="00D033C0" w:rsidRPr="00893944" w:rsidRDefault="00D033C0" w:rsidP="00D033C0">
            <w:pPr>
              <w:tabs>
                <w:tab w:val="clear" w:pos="794"/>
                <w:tab w:val="clear" w:pos="1191"/>
                <w:tab w:val="clear" w:pos="1588"/>
                <w:tab w:val="clear" w:pos="1985"/>
                <w:tab w:val="left" w:pos="284"/>
              </w:tabs>
              <w:spacing w:before="0" w:after="120"/>
              <w:ind w:left="288" w:hanging="230"/>
              <w:rPr>
                <w:sz w:val="22"/>
                <w:szCs w:val="22"/>
              </w:rPr>
            </w:pPr>
            <w:r w:rsidRPr="00893944">
              <w:rPr>
                <w:sz w:val="22"/>
                <w:szCs w:val="22"/>
              </w:rPr>
              <w:t>Genève, le 13 février 2026</w:t>
            </w:r>
          </w:p>
        </w:tc>
      </w:tr>
      <w:tr w:rsidR="00D033C0" w:rsidRPr="00893944" w14:paraId="277272D6" w14:textId="77777777" w:rsidTr="00D033C0">
        <w:trPr>
          <w:cantSplit/>
          <w:trHeight w:val="340"/>
        </w:trPr>
        <w:tc>
          <w:tcPr>
            <w:tcW w:w="1279" w:type="dxa"/>
          </w:tcPr>
          <w:p w14:paraId="65FA3247" w14:textId="77777777" w:rsidR="00D033C0" w:rsidRPr="00893944" w:rsidRDefault="00D033C0" w:rsidP="00D033C0">
            <w:pPr>
              <w:tabs>
                <w:tab w:val="left" w:pos="4111"/>
              </w:tabs>
              <w:spacing w:before="10"/>
              <w:rPr>
                <w:b/>
                <w:bCs/>
                <w:sz w:val="22"/>
                <w:szCs w:val="22"/>
              </w:rPr>
            </w:pPr>
            <w:proofErr w:type="gramStart"/>
            <w:r w:rsidRPr="00893944">
              <w:rPr>
                <w:b/>
                <w:bCs/>
                <w:sz w:val="22"/>
                <w:szCs w:val="22"/>
              </w:rPr>
              <w:t>Réf.:</w:t>
            </w:r>
            <w:proofErr w:type="gramEnd"/>
          </w:p>
        </w:tc>
        <w:tc>
          <w:tcPr>
            <w:tcW w:w="2766" w:type="dxa"/>
          </w:tcPr>
          <w:p w14:paraId="4A67CB13" w14:textId="77777777" w:rsidR="00D033C0" w:rsidRPr="00893944" w:rsidRDefault="00D033C0" w:rsidP="00D033C0">
            <w:pPr>
              <w:tabs>
                <w:tab w:val="left" w:pos="4111"/>
              </w:tabs>
              <w:spacing w:before="10"/>
              <w:ind w:left="57"/>
              <w:rPr>
                <w:b/>
                <w:sz w:val="22"/>
                <w:szCs w:val="22"/>
              </w:rPr>
            </w:pPr>
            <w:r w:rsidRPr="00893944">
              <w:rPr>
                <w:b/>
                <w:sz w:val="22"/>
                <w:szCs w:val="22"/>
              </w:rPr>
              <w:t>Circulaire TSB 106</w:t>
            </w:r>
          </w:p>
          <w:p w14:paraId="0AE6665B" w14:textId="77777777" w:rsidR="00D033C0" w:rsidRPr="00893944" w:rsidRDefault="00D033C0" w:rsidP="00D033C0">
            <w:pPr>
              <w:tabs>
                <w:tab w:val="left" w:pos="4111"/>
              </w:tabs>
              <w:spacing w:before="10"/>
              <w:ind w:left="57"/>
              <w:rPr>
                <w:sz w:val="22"/>
                <w:szCs w:val="22"/>
              </w:rPr>
            </w:pPr>
            <w:r w:rsidRPr="00893944">
              <w:rPr>
                <w:sz w:val="22"/>
                <w:szCs w:val="22"/>
              </w:rPr>
              <w:t>CE 20/CB</w:t>
            </w:r>
          </w:p>
        </w:tc>
        <w:tc>
          <w:tcPr>
            <w:tcW w:w="5855" w:type="dxa"/>
            <w:vMerge w:val="restart"/>
          </w:tcPr>
          <w:p w14:paraId="43F16B5A" w14:textId="77777777" w:rsidR="00D033C0" w:rsidRPr="00893944" w:rsidRDefault="00D033C0" w:rsidP="00D033C0">
            <w:pPr>
              <w:tabs>
                <w:tab w:val="clear" w:pos="794"/>
                <w:tab w:val="clear" w:pos="1191"/>
                <w:tab w:val="clear" w:pos="1588"/>
                <w:tab w:val="clear" w:pos="1985"/>
              </w:tabs>
              <w:spacing w:before="0"/>
              <w:ind w:left="422" w:hanging="365"/>
              <w:rPr>
                <w:sz w:val="22"/>
                <w:szCs w:val="22"/>
              </w:rPr>
            </w:pPr>
            <w:bookmarkStart w:id="0" w:name="Addressee_F"/>
            <w:bookmarkEnd w:id="0"/>
            <w:r w:rsidRPr="00893944">
              <w:rPr>
                <w:sz w:val="22"/>
                <w:szCs w:val="22"/>
              </w:rPr>
              <w:t>–</w:t>
            </w:r>
            <w:r w:rsidRPr="00893944">
              <w:rPr>
                <w:sz w:val="22"/>
                <w:szCs w:val="22"/>
              </w:rPr>
              <w:tab/>
              <w:t xml:space="preserve">Aux Administrations des États Membres de </w:t>
            </w:r>
            <w:proofErr w:type="gramStart"/>
            <w:r w:rsidRPr="00893944">
              <w:rPr>
                <w:sz w:val="22"/>
                <w:szCs w:val="22"/>
              </w:rPr>
              <w:t>l'Union;</w:t>
            </w:r>
            <w:proofErr w:type="gramEnd"/>
          </w:p>
          <w:p w14:paraId="1FB041AD" w14:textId="77777777" w:rsidR="00D033C0" w:rsidRPr="00893944" w:rsidRDefault="00D033C0" w:rsidP="00D033C0">
            <w:pPr>
              <w:tabs>
                <w:tab w:val="clear" w:pos="794"/>
                <w:tab w:val="clear" w:pos="1191"/>
                <w:tab w:val="clear" w:pos="1588"/>
                <w:tab w:val="clear" w:pos="1985"/>
              </w:tabs>
              <w:spacing w:before="0"/>
              <w:ind w:left="422" w:hanging="365"/>
              <w:rPr>
                <w:sz w:val="22"/>
                <w:szCs w:val="22"/>
              </w:rPr>
            </w:pPr>
            <w:r w:rsidRPr="00893944">
              <w:rPr>
                <w:sz w:val="22"/>
                <w:szCs w:val="22"/>
              </w:rPr>
              <w:t>–</w:t>
            </w:r>
            <w:r w:rsidRPr="00893944">
              <w:rPr>
                <w:sz w:val="22"/>
                <w:szCs w:val="22"/>
              </w:rPr>
              <w:tab/>
              <w:t>À l'État de Palestine (Résolution 99 (Rév. Dubaï, 2018))</w:t>
            </w:r>
          </w:p>
          <w:p w14:paraId="47D4457E" w14:textId="77777777" w:rsidR="00D033C0" w:rsidRPr="00893944" w:rsidRDefault="00D033C0" w:rsidP="00D033C0">
            <w:pPr>
              <w:tabs>
                <w:tab w:val="clear" w:pos="794"/>
                <w:tab w:val="clear" w:pos="1191"/>
                <w:tab w:val="clear" w:pos="1588"/>
                <w:tab w:val="clear" w:pos="1985"/>
              </w:tabs>
              <w:spacing w:before="0"/>
              <w:ind w:left="422" w:hanging="365"/>
              <w:rPr>
                <w:b/>
                <w:bCs/>
                <w:sz w:val="22"/>
                <w:szCs w:val="22"/>
              </w:rPr>
            </w:pPr>
            <w:proofErr w:type="gramStart"/>
            <w:r w:rsidRPr="00893944">
              <w:rPr>
                <w:b/>
                <w:bCs/>
                <w:sz w:val="22"/>
                <w:szCs w:val="22"/>
              </w:rPr>
              <w:t>Copie:</w:t>
            </w:r>
            <w:proofErr w:type="gramEnd"/>
          </w:p>
          <w:p w14:paraId="357ABCBB" w14:textId="77777777" w:rsidR="00D033C0" w:rsidRPr="00893944" w:rsidRDefault="00D033C0" w:rsidP="00D033C0">
            <w:pPr>
              <w:tabs>
                <w:tab w:val="clear" w:pos="1191"/>
                <w:tab w:val="clear" w:pos="1588"/>
                <w:tab w:val="clear" w:pos="1985"/>
              </w:tabs>
              <w:spacing w:before="0"/>
              <w:ind w:left="422" w:hanging="365"/>
              <w:rPr>
                <w:sz w:val="22"/>
                <w:szCs w:val="22"/>
              </w:rPr>
            </w:pPr>
            <w:r w:rsidRPr="00893944">
              <w:rPr>
                <w:sz w:val="22"/>
                <w:szCs w:val="22"/>
              </w:rPr>
              <w:t>–</w:t>
            </w:r>
            <w:r w:rsidRPr="00893944">
              <w:rPr>
                <w:sz w:val="22"/>
                <w:szCs w:val="22"/>
              </w:rPr>
              <w:tab/>
              <w:t>Aux Membres du Secteur de l'UIT-</w:t>
            </w:r>
            <w:proofErr w:type="gramStart"/>
            <w:r w:rsidRPr="00893944">
              <w:rPr>
                <w:sz w:val="22"/>
                <w:szCs w:val="22"/>
              </w:rPr>
              <w:t>T;</w:t>
            </w:r>
            <w:proofErr w:type="gramEnd"/>
          </w:p>
          <w:p w14:paraId="40A71020" w14:textId="77777777" w:rsidR="00D033C0" w:rsidRPr="00893944" w:rsidRDefault="00D033C0" w:rsidP="00D033C0">
            <w:pPr>
              <w:tabs>
                <w:tab w:val="clear" w:pos="1191"/>
                <w:tab w:val="clear" w:pos="1588"/>
                <w:tab w:val="clear" w:pos="1985"/>
              </w:tabs>
              <w:spacing w:before="0"/>
              <w:ind w:left="422" w:hanging="365"/>
              <w:rPr>
                <w:sz w:val="22"/>
                <w:szCs w:val="22"/>
              </w:rPr>
            </w:pPr>
            <w:r w:rsidRPr="00893944">
              <w:rPr>
                <w:sz w:val="22"/>
                <w:szCs w:val="22"/>
              </w:rPr>
              <w:t>–</w:t>
            </w:r>
            <w:r w:rsidRPr="00893944">
              <w:rPr>
                <w:sz w:val="22"/>
                <w:szCs w:val="22"/>
              </w:rPr>
              <w:tab/>
              <w:t>Aux Associés de la Commission d'études 20 de l'UIT-</w:t>
            </w:r>
            <w:proofErr w:type="gramStart"/>
            <w:r w:rsidRPr="00893944">
              <w:rPr>
                <w:sz w:val="22"/>
                <w:szCs w:val="22"/>
              </w:rPr>
              <w:t>T;</w:t>
            </w:r>
            <w:proofErr w:type="gramEnd"/>
          </w:p>
          <w:p w14:paraId="64226C52" w14:textId="77777777" w:rsidR="00D033C0" w:rsidRPr="00893944" w:rsidRDefault="00D033C0" w:rsidP="00D033C0">
            <w:pPr>
              <w:tabs>
                <w:tab w:val="clear" w:pos="794"/>
                <w:tab w:val="clear" w:pos="1191"/>
                <w:tab w:val="clear" w:pos="1588"/>
                <w:tab w:val="clear" w:pos="1985"/>
              </w:tabs>
              <w:spacing w:before="0"/>
              <w:ind w:left="422" w:hanging="365"/>
              <w:rPr>
                <w:sz w:val="22"/>
                <w:szCs w:val="22"/>
              </w:rPr>
            </w:pPr>
            <w:r w:rsidRPr="00893944">
              <w:rPr>
                <w:sz w:val="22"/>
                <w:szCs w:val="22"/>
              </w:rPr>
              <w:t>–</w:t>
            </w:r>
            <w:r w:rsidRPr="00893944">
              <w:rPr>
                <w:sz w:val="22"/>
                <w:szCs w:val="22"/>
              </w:rPr>
              <w:tab/>
              <w:t xml:space="preserve">Aux établissements universitaires participant aux travaux de </w:t>
            </w:r>
            <w:proofErr w:type="gramStart"/>
            <w:r w:rsidRPr="00893944">
              <w:rPr>
                <w:sz w:val="22"/>
                <w:szCs w:val="22"/>
              </w:rPr>
              <w:t>l'UIT;</w:t>
            </w:r>
            <w:proofErr w:type="gramEnd"/>
          </w:p>
          <w:p w14:paraId="17A277AF" w14:textId="77777777" w:rsidR="00D033C0" w:rsidRPr="00893944" w:rsidRDefault="00D033C0" w:rsidP="00D033C0">
            <w:pPr>
              <w:tabs>
                <w:tab w:val="clear" w:pos="794"/>
                <w:tab w:val="clear" w:pos="1191"/>
                <w:tab w:val="clear" w:pos="1588"/>
                <w:tab w:val="clear" w:pos="1985"/>
              </w:tabs>
              <w:spacing w:before="0"/>
              <w:ind w:left="422" w:hanging="365"/>
              <w:rPr>
                <w:sz w:val="22"/>
                <w:szCs w:val="22"/>
              </w:rPr>
            </w:pPr>
            <w:r w:rsidRPr="00893944">
              <w:rPr>
                <w:sz w:val="22"/>
                <w:szCs w:val="22"/>
              </w:rPr>
              <w:t>–</w:t>
            </w:r>
            <w:r w:rsidRPr="00893944">
              <w:rPr>
                <w:sz w:val="22"/>
                <w:szCs w:val="22"/>
              </w:rPr>
              <w:tab/>
              <w:t>Aux Président et Vice-Présidents de la Commission d'études 20 de l'UIT-</w:t>
            </w:r>
            <w:proofErr w:type="gramStart"/>
            <w:r w:rsidRPr="00893944">
              <w:rPr>
                <w:sz w:val="22"/>
                <w:szCs w:val="22"/>
              </w:rPr>
              <w:t>T;</w:t>
            </w:r>
            <w:proofErr w:type="gramEnd"/>
          </w:p>
          <w:p w14:paraId="4ED62BA5" w14:textId="77777777" w:rsidR="00D033C0" w:rsidRPr="00893944" w:rsidRDefault="00D033C0" w:rsidP="00D033C0">
            <w:pPr>
              <w:tabs>
                <w:tab w:val="clear" w:pos="794"/>
                <w:tab w:val="clear" w:pos="1191"/>
                <w:tab w:val="clear" w:pos="1588"/>
                <w:tab w:val="clear" w:pos="1985"/>
              </w:tabs>
              <w:spacing w:before="0"/>
              <w:ind w:left="422" w:hanging="365"/>
              <w:rPr>
                <w:sz w:val="22"/>
                <w:szCs w:val="22"/>
              </w:rPr>
            </w:pPr>
            <w:r w:rsidRPr="00893944">
              <w:rPr>
                <w:sz w:val="22"/>
                <w:szCs w:val="22"/>
              </w:rPr>
              <w:t>–</w:t>
            </w:r>
            <w:r w:rsidRPr="00893944">
              <w:rPr>
                <w:sz w:val="22"/>
                <w:szCs w:val="22"/>
              </w:rPr>
              <w:tab/>
              <w:t xml:space="preserve">Au Directeur du Bureau de développement des </w:t>
            </w:r>
            <w:proofErr w:type="gramStart"/>
            <w:r w:rsidRPr="00893944">
              <w:rPr>
                <w:sz w:val="22"/>
                <w:szCs w:val="22"/>
              </w:rPr>
              <w:t>télécommunications;</w:t>
            </w:r>
            <w:proofErr w:type="gramEnd"/>
          </w:p>
          <w:p w14:paraId="09554631" w14:textId="77777777" w:rsidR="00D033C0" w:rsidRPr="00893944" w:rsidRDefault="00D033C0" w:rsidP="00D033C0">
            <w:pPr>
              <w:spacing w:before="0"/>
              <w:ind w:left="422" w:hanging="365"/>
              <w:rPr>
                <w:sz w:val="22"/>
                <w:szCs w:val="22"/>
              </w:rPr>
            </w:pPr>
            <w:r w:rsidRPr="00893944">
              <w:rPr>
                <w:sz w:val="22"/>
                <w:szCs w:val="22"/>
              </w:rPr>
              <w:t>–</w:t>
            </w:r>
            <w:r w:rsidRPr="00893944">
              <w:rPr>
                <w:sz w:val="22"/>
                <w:szCs w:val="22"/>
              </w:rPr>
              <w:tab/>
              <w:t>Au Directeur du Bureau des radiocommunications</w:t>
            </w:r>
          </w:p>
        </w:tc>
      </w:tr>
      <w:tr w:rsidR="00D033C0" w:rsidRPr="00893944" w14:paraId="1DEF68CD" w14:textId="77777777" w:rsidTr="00D033C0">
        <w:trPr>
          <w:cantSplit/>
        </w:trPr>
        <w:tc>
          <w:tcPr>
            <w:tcW w:w="1279" w:type="dxa"/>
          </w:tcPr>
          <w:p w14:paraId="6CAC3596" w14:textId="77777777" w:rsidR="00D033C0" w:rsidRPr="00D033C0" w:rsidRDefault="00D033C0" w:rsidP="00D033C0">
            <w:pPr>
              <w:tabs>
                <w:tab w:val="left" w:pos="4111"/>
              </w:tabs>
              <w:spacing w:before="10"/>
              <w:rPr>
                <w:sz w:val="22"/>
                <w:szCs w:val="22"/>
              </w:rPr>
            </w:pPr>
            <w:proofErr w:type="gramStart"/>
            <w:r w:rsidRPr="00D033C0">
              <w:rPr>
                <w:sz w:val="22"/>
                <w:szCs w:val="22"/>
              </w:rPr>
              <w:t>Tél.:</w:t>
            </w:r>
            <w:proofErr w:type="gramEnd"/>
          </w:p>
        </w:tc>
        <w:tc>
          <w:tcPr>
            <w:tcW w:w="2766" w:type="dxa"/>
          </w:tcPr>
          <w:p w14:paraId="25909E06" w14:textId="77777777" w:rsidR="00D033C0" w:rsidRPr="00893944" w:rsidRDefault="00D033C0" w:rsidP="00D033C0">
            <w:pPr>
              <w:tabs>
                <w:tab w:val="left" w:pos="4111"/>
              </w:tabs>
              <w:spacing w:before="0"/>
              <w:ind w:left="57"/>
              <w:rPr>
                <w:sz w:val="22"/>
                <w:szCs w:val="22"/>
              </w:rPr>
            </w:pPr>
            <w:r w:rsidRPr="00893944">
              <w:rPr>
                <w:sz w:val="22"/>
                <w:szCs w:val="22"/>
              </w:rPr>
              <w:t>+41 22 730 6301</w:t>
            </w:r>
          </w:p>
        </w:tc>
        <w:tc>
          <w:tcPr>
            <w:tcW w:w="5855" w:type="dxa"/>
            <w:vMerge/>
          </w:tcPr>
          <w:p w14:paraId="380B20A0" w14:textId="77777777" w:rsidR="00D033C0" w:rsidRPr="00893944" w:rsidRDefault="00D033C0" w:rsidP="00D033C0">
            <w:pPr>
              <w:spacing w:before="0"/>
              <w:ind w:left="422" w:hanging="365"/>
              <w:rPr>
                <w:b/>
                <w:sz w:val="22"/>
                <w:szCs w:val="22"/>
              </w:rPr>
            </w:pPr>
          </w:p>
        </w:tc>
      </w:tr>
      <w:tr w:rsidR="00D033C0" w:rsidRPr="00893944" w14:paraId="2F3D025F" w14:textId="77777777" w:rsidTr="00D033C0">
        <w:trPr>
          <w:cantSplit/>
          <w:trHeight w:val="263"/>
        </w:trPr>
        <w:tc>
          <w:tcPr>
            <w:tcW w:w="1279" w:type="dxa"/>
          </w:tcPr>
          <w:p w14:paraId="04944FAD" w14:textId="77777777" w:rsidR="00D033C0" w:rsidRPr="00D033C0" w:rsidRDefault="00D033C0" w:rsidP="00D033C0">
            <w:pPr>
              <w:tabs>
                <w:tab w:val="left" w:pos="4111"/>
              </w:tabs>
              <w:spacing w:before="10"/>
              <w:rPr>
                <w:sz w:val="22"/>
                <w:szCs w:val="22"/>
              </w:rPr>
            </w:pPr>
            <w:proofErr w:type="gramStart"/>
            <w:r w:rsidRPr="00D033C0">
              <w:rPr>
                <w:sz w:val="22"/>
                <w:szCs w:val="22"/>
              </w:rPr>
              <w:t>Télécopie:</w:t>
            </w:r>
            <w:proofErr w:type="gramEnd"/>
          </w:p>
        </w:tc>
        <w:tc>
          <w:tcPr>
            <w:tcW w:w="2766" w:type="dxa"/>
          </w:tcPr>
          <w:p w14:paraId="48C15319" w14:textId="77777777" w:rsidR="00D033C0" w:rsidRPr="00893944" w:rsidRDefault="00D033C0" w:rsidP="00D033C0">
            <w:pPr>
              <w:tabs>
                <w:tab w:val="left" w:pos="4111"/>
              </w:tabs>
              <w:spacing w:before="0"/>
              <w:ind w:left="57"/>
              <w:rPr>
                <w:sz w:val="22"/>
                <w:szCs w:val="22"/>
              </w:rPr>
            </w:pPr>
            <w:r w:rsidRPr="00893944">
              <w:rPr>
                <w:sz w:val="22"/>
                <w:szCs w:val="22"/>
              </w:rPr>
              <w:t>+41 22 730 5853</w:t>
            </w:r>
          </w:p>
        </w:tc>
        <w:tc>
          <w:tcPr>
            <w:tcW w:w="5855" w:type="dxa"/>
            <w:vMerge/>
          </w:tcPr>
          <w:p w14:paraId="3B9DC936" w14:textId="77777777" w:rsidR="00D033C0" w:rsidRPr="00893944" w:rsidRDefault="00D033C0" w:rsidP="00D033C0">
            <w:pPr>
              <w:spacing w:before="0"/>
              <w:ind w:left="422" w:hanging="365"/>
              <w:rPr>
                <w:b/>
                <w:sz w:val="22"/>
                <w:szCs w:val="22"/>
              </w:rPr>
            </w:pPr>
          </w:p>
        </w:tc>
      </w:tr>
      <w:tr w:rsidR="00D033C0" w:rsidRPr="00893944" w14:paraId="57485AE3" w14:textId="77777777" w:rsidTr="00D033C0">
        <w:trPr>
          <w:cantSplit/>
        </w:trPr>
        <w:tc>
          <w:tcPr>
            <w:tcW w:w="1279" w:type="dxa"/>
          </w:tcPr>
          <w:p w14:paraId="5290C39D" w14:textId="77777777" w:rsidR="00D033C0" w:rsidRPr="00D033C0" w:rsidRDefault="00D033C0" w:rsidP="00D033C0">
            <w:pPr>
              <w:tabs>
                <w:tab w:val="left" w:pos="4111"/>
              </w:tabs>
              <w:spacing w:before="10"/>
              <w:rPr>
                <w:sz w:val="22"/>
                <w:szCs w:val="22"/>
              </w:rPr>
            </w:pPr>
            <w:proofErr w:type="gramStart"/>
            <w:r w:rsidRPr="00D033C0">
              <w:rPr>
                <w:sz w:val="22"/>
                <w:szCs w:val="22"/>
              </w:rPr>
              <w:t>Courriel:</w:t>
            </w:r>
            <w:proofErr w:type="gramEnd"/>
          </w:p>
        </w:tc>
        <w:tc>
          <w:tcPr>
            <w:tcW w:w="2766" w:type="dxa"/>
          </w:tcPr>
          <w:p w14:paraId="16AD345B" w14:textId="77777777" w:rsidR="00D033C0" w:rsidRPr="00893944" w:rsidRDefault="00D033C0" w:rsidP="00D033C0">
            <w:pPr>
              <w:tabs>
                <w:tab w:val="left" w:pos="4111"/>
              </w:tabs>
              <w:spacing w:before="0"/>
              <w:ind w:left="57"/>
              <w:rPr>
                <w:sz w:val="22"/>
                <w:szCs w:val="22"/>
              </w:rPr>
            </w:pPr>
            <w:hyperlink r:id="rId9" w:history="1">
              <w:r w:rsidRPr="00893944">
                <w:rPr>
                  <w:rStyle w:val="Hyperlink"/>
                  <w:sz w:val="22"/>
                  <w:szCs w:val="22"/>
                </w:rPr>
                <w:t>tsbsg20@itu.int</w:t>
              </w:r>
            </w:hyperlink>
          </w:p>
        </w:tc>
        <w:tc>
          <w:tcPr>
            <w:tcW w:w="5855" w:type="dxa"/>
            <w:vMerge/>
          </w:tcPr>
          <w:p w14:paraId="0DBE4421" w14:textId="77777777" w:rsidR="00D033C0" w:rsidRPr="00893944" w:rsidRDefault="00D033C0" w:rsidP="00D033C0">
            <w:pPr>
              <w:tabs>
                <w:tab w:val="clear" w:pos="794"/>
                <w:tab w:val="clear" w:pos="1191"/>
                <w:tab w:val="clear" w:pos="1588"/>
                <w:tab w:val="clear" w:pos="1985"/>
              </w:tabs>
              <w:spacing w:before="0"/>
              <w:ind w:left="422" w:hanging="365"/>
              <w:rPr>
                <w:sz w:val="22"/>
                <w:szCs w:val="22"/>
              </w:rPr>
            </w:pPr>
          </w:p>
        </w:tc>
      </w:tr>
      <w:tr w:rsidR="00D033C0" w:rsidRPr="00893944" w14:paraId="203AE6C7" w14:textId="77777777" w:rsidTr="00D033C0">
        <w:trPr>
          <w:cantSplit/>
          <w:trHeight w:val="397"/>
        </w:trPr>
        <w:tc>
          <w:tcPr>
            <w:tcW w:w="1279" w:type="dxa"/>
          </w:tcPr>
          <w:p w14:paraId="0DD39973" w14:textId="77777777" w:rsidR="00D033C0" w:rsidRPr="00893944" w:rsidRDefault="00D033C0" w:rsidP="00D033C0">
            <w:pPr>
              <w:tabs>
                <w:tab w:val="left" w:pos="4111"/>
              </w:tabs>
              <w:spacing w:before="80"/>
              <w:rPr>
                <w:b/>
                <w:bCs/>
                <w:sz w:val="22"/>
                <w:szCs w:val="22"/>
              </w:rPr>
            </w:pPr>
            <w:proofErr w:type="gramStart"/>
            <w:r w:rsidRPr="00893944">
              <w:rPr>
                <w:b/>
                <w:bCs/>
                <w:sz w:val="22"/>
                <w:szCs w:val="22"/>
              </w:rPr>
              <w:t>Objet:</w:t>
            </w:r>
            <w:proofErr w:type="gramEnd"/>
          </w:p>
        </w:tc>
        <w:tc>
          <w:tcPr>
            <w:tcW w:w="8621" w:type="dxa"/>
            <w:gridSpan w:val="2"/>
          </w:tcPr>
          <w:p w14:paraId="09B2823C" w14:textId="77777777" w:rsidR="00D033C0" w:rsidRPr="00893944" w:rsidRDefault="00D033C0" w:rsidP="00D033C0">
            <w:pPr>
              <w:spacing w:before="80"/>
              <w:ind w:left="79"/>
              <w:rPr>
                <w:b/>
                <w:bCs/>
                <w:sz w:val="22"/>
                <w:szCs w:val="22"/>
              </w:rPr>
            </w:pPr>
            <w:r w:rsidRPr="00893944">
              <w:rPr>
                <w:b/>
                <w:bCs/>
                <w:sz w:val="22"/>
                <w:szCs w:val="22"/>
              </w:rPr>
              <w:t>Consultation des États Membres au sujet du texte déterminé des projets de Recommandations UIT-T Y.4241 (anciennement Y.dt-SComCam), UIT-T Y.4242 (anciennement Y.energy-storage), UIT-T Y.4243 (anciennement Y.IoT-smartschool), UIT-T Y.4244 (anciennement Y.EPWS-fc), UIT-T Y.4420, UIT-T Y.4512 (anciennement Y.SC-DESMS), UIT-T Y.4614 (anciennement Y.CL-EDM), UIT-T Y.4815 (anciennement Y.uas-dc-fr), UIT-T Y.4816 (anciennement Y.bsis-sec) et UIT-T Y.4912 (anciennement Y.SNPG-ref), qu'il est proposé d'approuver à la réunion de la CE 20 de l'UIT-T (Genève, 12-21 mai 2026)</w:t>
            </w:r>
          </w:p>
        </w:tc>
      </w:tr>
    </w:tbl>
    <w:p w14:paraId="2D1EC328" w14:textId="77777777" w:rsidR="00517A03" w:rsidRPr="00893944" w:rsidRDefault="00517A03" w:rsidP="00D033C0">
      <w:pPr>
        <w:pStyle w:val="Normalaftertitle"/>
        <w:spacing w:before="100"/>
        <w:rPr>
          <w:sz w:val="22"/>
          <w:szCs w:val="22"/>
        </w:rPr>
      </w:pPr>
      <w:r w:rsidRPr="00893944">
        <w:rPr>
          <w:sz w:val="22"/>
          <w:szCs w:val="22"/>
        </w:rPr>
        <w:t>Madame, Monsieur,</w:t>
      </w:r>
    </w:p>
    <w:p w14:paraId="7F745310" w14:textId="4F4CADEA" w:rsidR="00D72144" w:rsidRPr="00893944" w:rsidRDefault="00D72144" w:rsidP="00D033C0">
      <w:pPr>
        <w:spacing w:before="100"/>
        <w:rPr>
          <w:sz w:val="22"/>
          <w:szCs w:val="22"/>
        </w:rPr>
      </w:pPr>
      <w:r w:rsidRPr="00893944">
        <w:rPr>
          <w:sz w:val="22"/>
          <w:szCs w:val="22"/>
        </w:rPr>
        <w:t>1</w:t>
      </w:r>
      <w:r w:rsidRPr="00893944">
        <w:rPr>
          <w:sz w:val="22"/>
          <w:szCs w:val="22"/>
        </w:rPr>
        <w:tab/>
        <w:t>La Commission d'études 20 de l'UIT-T (</w:t>
      </w:r>
      <w:r w:rsidR="00531550" w:rsidRPr="00893944">
        <w:rPr>
          <w:sz w:val="22"/>
          <w:szCs w:val="22"/>
        </w:rPr>
        <w:t>Internet des objets, jumeaux numériques et villes et communautés intelligentes et durables</w:t>
      </w:r>
      <w:r w:rsidRPr="00893944">
        <w:rPr>
          <w:sz w:val="22"/>
          <w:szCs w:val="22"/>
        </w:rPr>
        <w:t xml:space="preserve">) a l'intention d'appliquer la procédure d'approbation traditionnelle énoncée à la section 9 de la </w:t>
      </w:r>
      <w:hyperlink r:id="rId10" w:history="1">
        <w:r w:rsidRPr="00893944">
          <w:rPr>
            <w:rStyle w:val="Hyperlink"/>
            <w:sz w:val="22"/>
            <w:szCs w:val="22"/>
          </w:rPr>
          <w:t>Résolution 1 (Rév. Genève, 2022) de l'AMNT</w:t>
        </w:r>
      </w:hyperlink>
      <w:r w:rsidRPr="00893944">
        <w:rPr>
          <w:sz w:val="22"/>
          <w:szCs w:val="22"/>
        </w:rPr>
        <w:t xml:space="preserve"> pour l'approbation des projets de nouvelles Recommandations </w:t>
      </w:r>
      <w:r w:rsidR="00D7021F" w:rsidRPr="00893944">
        <w:rPr>
          <w:sz w:val="22"/>
          <w:szCs w:val="22"/>
        </w:rPr>
        <w:t>UIT-T Y.4241 (anciennement</w:t>
      </w:r>
      <w:r w:rsidR="00B646E7" w:rsidRPr="00893944">
        <w:rPr>
          <w:sz w:val="22"/>
          <w:szCs w:val="22"/>
        </w:rPr>
        <w:t> </w:t>
      </w:r>
      <w:r w:rsidR="00D7021F" w:rsidRPr="00893944">
        <w:rPr>
          <w:sz w:val="22"/>
          <w:szCs w:val="22"/>
        </w:rPr>
        <w:t>Y.dt</w:t>
      </w:r>
      <w:r w:rsidR="00B646E7" w:rsidRPr="00893944">
        <w:rPr>
          <w:sz w:val="22"/>
          <w:szCs w:val="22"/>
        </w:rPr>
        <w:noBreakHyphen/>
      </w:r>
      <w:r w:rsidR="00D7021F" w:rsidRPr="00893944">
        <w:rPr>
          <w:sz w:val="22"/>
          <w:szCs w:val="22"/>
        </w:rPr>
        <w:t xml:space="preserve">SComCam), </w:t>
      </w:r>
      <w:r w:rsidRPr="00893944">
        <w:rPr>
          <w:sz w:val="22"/>
          <w:szCs w:val="22"/>
        </w:rPr>
        <w:t>UIT-T Y</w:t>
      </w:r>
      <w:r w:rsidR="00D7021F" w:rsidRPr="00893944">
        <w:rPr>
          <w:sz w:val="22"/>
          <w:szCs w:val="22"/>
        </w:rPr>
        <w:t>.4242 (anciennement Y.energy-storage), UIT-T Y.4243 (anciennement Y.IoT</w:t>
      </w:r>
      <w:r w:rsidR="00B646E7" w:rsidRPr="00893944">
        <w:rPr>
          <w:sz w:val="22"/>
          <w:szCs w:val="22"/>
        </w:rPr>
        <w:noBreakHyphen/>
      </w:r>
      <w:r w:rsidR="00D7021F" w:rsidRPr="00893944">
        <w:rPr>
          <w:sz w:val="22"/>
          <w:szCs w:val="22"/>
        </w:rPr>
        <w:t>smartschool), UIT-T Y.4244 (anciennement Y.EPWS-fc), UIT-T Y.4420, UIT</w:t>
      </w:r>
      <w:r w:rsidR="00B646E7" w:rsidRPr="00893944">
        <w:rPr>
          <w:sz w:val="22"/>
          <w:szCs w:val="22"/>
        </w:rPr>
        <w:noBreakHyphen/>
      </w:r>
      <w:r w:rsidR="00D7021F" w:rsidRPr="00893944">
        <w:rPr>
          <w:sz w:val="22"/>
          <w:szCs w:val="22"/>
        </w:rPr>
        <w:t>T</w:t>
      </w:r>
      <w:r w:rsidR="00B646E7" w:rsidRPr="00893944">
        <w:rPr>
          <w:sz w:val="22"/>
          <w:szCs w:val="22"/>
        </w:rPr>
        <w:t> </w:t>
      </w:r>
      <w:r w:rsidR="00D7021F" w:rsidRPr="00893944">
        <w:rPr>
          <w:sz w:val="22"/>
          <w:szCs w:val="22"/>
        </w:rPr>
        <w:t>Y.4512 (anciennement Y.SC-DESMS), UIT-T Y.4614 (anciennement Y.CL-EDM), UIT-T Y.4815 (anciennement</w:t>
      </w:r>
      <w:r w:rsidR="00B646E7" w:rsidRPr="00893944">
        <w:rPr>
          <w:sz w:val="22"/>
          <w:szCs w:val="22"/>
        </w:rPr>
        <w:t> </w:t>
      </w:r>
      <w:r w:rsidR="00D7021F" w:rsidRPr="00893944">
        <w:rPr>
          <w:sz w:val="22"/>
          <w:szCs w:val="22"/>
        </w:rPr>
        <w:t xml:space="preserve">Y.uas-dc-fr), UIT-T Y.4816 (anciennement Y.bsis-sec) et UIT-T Y.4912 (anciennement Y.SNPG-ref) </w:t>
      </w:r>
      <w:r w:rsidRPr="00893944">
        <w:rPr>
          <w:sz w:val="22"/>
          <w:szCs w:val="22"/>
        </w:rPr>
        <w:t>mentionnés ci-dessus, à sa prochaine réunion, qui se tiendra à Genève (Suisse) du</w:t>
      </w:r>
      <w:r w:rsidR="00B646E7" w:rsidRPr="00893944">
        <w:rPr>
          <w:sz w:val="22"/>
          <w:szCs w:val="22"/>
        </w:rPr>
        <w:t> </w:t>
      </w:r>
      <w:r w:rsidR="00D7021F" w:rsidRPr="00893944">
        <w:rPr>
          <w:sz w:val="22"/>
          <w:szCs w:val="22"/>
        </w:rPr>
        <w:t>12</w:t>
      </w:r>
      <w:r w:rsidR="00B646E7" w:rsidRPr="00893944">
        <w:rPr>
          <w:sz w:val="22"/>
          <w:szCs w:val="22"/>
        </w:rPr>
        <w:t> </w:t>
      </w:r>
      <w:r w:rsidR="00D7021F" w:rsidRPr="00893944">
        <w:rPr>
          <w:sz w:val="22"/>
          <w:szCs w:val="22"/>
        </w:rPr>
        <w:t>au</w:t>
      </w:r>
      <w:r w:rsidR="00B646E7" w:rsidRPr="00893944">
        <w:rPr>
          <w:sz w:val="22"/>
          <w:szCs w:val="22"/>
        </w:rPr>
        <w:t> </w:t>
      </w:r>
      <w:r w:rsidR="00D7021F" w:rsidRPr="00893944">
        <w:rPr>
          <w:sz w:val="22"/>
          <w:szCs w:val="22"/>
        </w:rPr>
        <w:t>21</w:t>
      </w:r>
      <w:r w:rsidR="00B646E7" w:rsidRPr="00893944">
        <w:rPr>
          <w:sz w:val="22"/>
          <w:szCs w:val="22"/>
        </w:rPr>
        <w:t> </w:t>
      </w:r>
      <w:r w:rsidR="00D7021F" w:rsidRPr="00893944">
        <w:rPr>
          <w:sz w:val="22"/>
          <w:szCs w:val="22"/>
        </w:rPr>
        <w:t>mai</w:t>
      </w:r>
      <w:r w:rsidR="00B646E7" w:rsidRPr="00893944">
        <w:rPr>
          <w:sz w:val="22"/>
          <w:szCs w:val="22"/>
        </w:rPr>
        <w:t> </w:t>
      </w:r>
      <w:r w:rsidR="00D7021F" w:rsidRPr="00893944">
        <w:rPr>
          <w:sz w:val="22"/>
          <w:szCs w:val="22"/>
        </w:rPr>
        <w:t>2026</w:t>
      </w:r>
      <w:r w:rsidRPr="00893944">
        <w:rPr>
          <w:sz w:val="22"/>
          <w:szCs w:val="22"/>
        </w:rPr>
        <w:t>. L'ordre du jour ainsi</w:t>
      </w:r>
      <w:r w:rsidR="00531550" w:rsidRPr="00893944">
        <w:rPr>
          <w:sz w:val="22"/>
          <w:szCs w:val="22"/>
        </w:rPr>
        <w:t> </w:t>
      </w:r>
      <w:r w:rsidRPr="00893944">
        <w:rPr>
          <w:sz w:val="22"/>
          <w:szCs w:val="22"/>
        </w:rPr>
        <w:t xml:space="preserve">que tous les renseignements pertinents concernant la réunion de la Commission d'études 20 de l'UIT-T seront présentés dans la </w:t>
      </w:r>
      <w:hyperlink r:id="rId11" w:history="1">
        <w:r w:rsidRPr="00893944">
          <w:rPr>
            <w:rStyle w:val="Hyperlink"/>
            <w:bCs/>
            <w:sz w:val="22"/>
            <w:szCs w:val="22"/>
          </w:rPr>
          <w:t xml:space="preserve">Lettre collective </w:t>
        </w:r>
        <w:r w:rsidR="00D7021F" w:rsidRPr="00893944">
          <w:rPr>
            <w:rStyle w:val="Hyperlink"/>
            <w:bCs/>
            <w:sz w:val="22"/>
            <w:szCs w:val="22"/>
          </w:rPr>
          <w:t>3</w:t>
        </w:r>
        <w:r w:rsidRPr="00893944">
          <w:rPr>
            <w:rStyle w:val="Hyperlink"/>
            <w:bCs/>
            <w:sz w:val="22"/>
            <w:szCs w:val="22"/>
          </w:rPr>
          <w:t>/20</w:t>
        </w:r>
      </w:hyperlink>
      <w:r w:rsidRPr="00893944">
        <w:rPr>
          <w:sz w:val="22"/>
          <w:szCs w:val="22"/>
        </w:rPr>
        <w:t>.</w:t>
      </w:r>
    </w:p>
    <w:p w14:paraId="2CA384ED" w14:textId="77777777" w:rsidR="00D72144" w:rsidRPr="00893944" w:rsidRDefault="00D72144" w:rsidP="00D033C0">
      <w:pPr>
        <w:spacing w:before="100"/>
        <w:rPr>
          <w:sz w:val="22"/>
          <w:szCs w:val="22"/>
        </w:rPr>
      </w:pPr>
      <w:r w:rsidRPr="00893944">
        <w:rPr>
          <w:sz w:val="22"/>
          <w:szCs w:val="22"/>
        </w:rPr>
        <w:t>2</w:t>
      </w:r>
      <w:r w:rsidRPr="00893944">
        <w:rPr>
          <w:sz w:val="22"/>
          <w:szCs w:val="22"/>
        </w:rPr>
        <w:tab/>
        <w:t>Vous trouverez dans l'Annexe 1 le titre, le résumé et la localisation des projets de nouvelles Recommandations UIT-T qu'il est proposé d'approuver.</w:t>
      </w:r>
    </w:p>
    <w:p w14:paraId="182F322B" w14:textId="4B06EE60" w:rsidR="00D72144" w:rsidRPr="00893944" w:rsidRDefault="00D72144" w:rsidP="00D033C0">
      <w:pPr>
        <w:keepNext/>
        <w:keepLines/>
        <w:spacing w:before="100"/>
        <w:rPr>
          <w:sz w:val="22"/>
          <w:szCs w:val="22"/>
        </w:rPr>
      </w:pPr>
      <w:r w:rsidRPr="00893944">
        <w:rPr>
          <w:sz w:val="22"/>
          <w:szCs w:val="22"/>
        </w:rPr>
        <w:t>3</w:t>
      </w:r>
      <w:r w:rsidRPr="00893944">
        <w:rPr>
          <w:sz w:val="22"/>
          <w:szCs w:val="22"/>
        </w:rPr>
        <w:tab/>
        <w:t xml:space="preserve">La présente </w:t>
      </w:r>
      <w:r w:rsidR="0083639F" w:rsidRPr="00893944">
        <w:rPr>
          <w:sz w:val="22"/>
          <w:szCs w:val="22"/>
        </w:rPr>
        <w:t>c</w:t>
      </w:r>
      <w:r w:rsidRPr="00893944">
        <w:rPr>
          <w:sz w:val="22"/>
          <w:szCs w:val="22"/>
        </w:rPr>
        <w:t>irculaire a pour objet d'engager le processus de consultation formelle des États Membres de l'UIT, qui devront indiquer si ces textes peuvent être examinés en vue de leur approbation à la prochaine réunion, conformément au paragraphe 9.4 de la Résolution 1. Les États Membres sont priés de remplir le formulaire de l'Annexe 2 et de le renvoyer d'ici au </w:t>
      </w:r>
      <w:r w:rsidR="00D7021F" w:rsidRPr="00893944">
        <w:rPr>
          <w:b/>
          <w:sz w:val="22"/>
          <w:szCs w:val="22"/>
        </w:rPr>
        <w:t>30</w:t>
      </w:r>
      <w:r w:rsidR="00B646E7" w:rsidRPr="00893944">
        <w:rPr>
          <w:b/>
          <w:sz w:val="22"/>
          <w:szCs w:val="22"/>
        </w:rPr>
        <w:t> </w:t>
      </w:r>
      <w:r w:rsidR="00D7021F" w:rsidRPr="00893944">
        <w:rPr>
          <w:b/>
          <w:sz w:val="22"/>
          <w:szCs w:val="22"/>
        </w:rPr>
        <w:t>avril</w:t>
      </w:r>
      <w:r w:rsidR="00B646E7" w:rsidRPr="00893944">
        <w:rPr>
          <w:b/>
          <w:sz w:val="22"/>
          <w:szCs w:val="22"/>
        </w:rPr>
        <w:t> </w:t>
      </w:r>
      <w:r w:rsidR="00D7021F" w:rsidRPr="00893944">
        <w:rPr>
          <w:b/>
          <w:sz w:val="22"/>
          <w:szCs w:val="22"/>
        </w:rPr>
        <w:t>2026</w:t>
      </w:r>
      <w:r w:rsidRPr="00893944">
        <w:rPr>
          <w:sz w:val="22"/>
          <w:szCs w:val="22"/>
        </w:rPr>
        <w:t xml:space="preserve"> à 23</w:t>
      </w:r>
      <w:r w:rsidR="00D033C0">
        <w:rPr>
          <w:sz w:val="22"/>
          <w:szCs w:val="22"/>
        </w:rPr>
        <w:t> </w:t>
      </w:r>
      <w:r w:rsidRPr="00893944">
        <w:rPr>
          <w:sz w:val="22"/>
          <w:szCs w:val="22"/>
        </w:rPr>
        <w:t>h 59 UTC.</w:t>
      </w:r>
    </w:p>
    <w:p w14:paraId="65A46CB1" w14:textId="77777777" w:rsidR="00D72144" w:rsidRPr="00893944" w:rsidRDefault="00D72144" w:rsidP="00D033C0">
      <w:pPr>
        <w:spacing w:before="100"/>
        <w:rPr>
          <w:sz w:val="22"/>
          <w:szCs w:val="22"/>
        </w:rPr>
      </w:pPr>
      <w:r w:rsidRPr="00893944">
        <w:rPr>
          <w:sz w:val="22"/>
          <w:szCs w:val="22"/>
        </w:rPr>
        <w:t>4</w:t>
      </w:r>
      <w:r w:rsidRPr="00893944">
        <w:rPr>
          <w:sz w:val="22"/>
          <w:szCs w:val="22"/>
        </w:rPr>
        <w:tab/>
        <w:t>Si au moins 70% des réponses des États Membres sont en faveur de l'examen, aux fins d'approbation, de ces textes, une séance plénière sera consacrée à l'application de la procédure d'approbation. Les États Membres qui n'autorisent pas la commission d'études à procéder ainsi doivent informer le Directeur du TSB des motifs de cette décision et lui faire part des éventuelles modifications qui permettraient la poursuite des travaux.</w:t>
      </w:r>
    </w:p>
    <w:p w14:paraId="6A4CD67F" w14:textId="53075800" w:rsidR="00307FB4" w:rsidRPr="00893944" w:rsidRDefault="00DA0048" w:rsidP="00D033C0">
      <w:pPr>
        <w:spacing w:before="100"/>
        <w:rPr>
          <w:bCs/>
          <w:sz w:val="22"/>
          <w:szCs w:val="22"/>
        </w:rPr>
      </w:pPr>
      <w:r>
        <w:rPr>
          <w:bCs/>
          <w:noProof/>
          <w:sz w:val="22"/>
          <w:szCs w:val="22"/>
        </w:rPr>
        <w:drawing>
          <wp:anchor distT="0" distB="0" distL="114300" distR="114300" simplePos="0" relativeHeight="251658240" behindDoc="1" locked="0" layoutInCell="1" allowOverlap="1" wp14:anchorId="1AE5C98B" wp14:editId="5BC7E0F9">
            <wp:simplePos x="0" y="0"/>
            <wp:positionH relativeFrom="margin">
              <wp:align>left</wp:align>
            </wp:positionH>
            <wp:positionV relativeFrom="paragraph">
              <wp:posOffset>210820</wp:posOffset>
            </wp:positionV>
            <wp:extent cx="692150" cy="330200"/>
            <wp:effectExtent l="0" t="0" r="0" b="0"/>
            <wp:wrapNone/>
            <wp:docPr id="18835407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540761" name="Picture 1883540761"/>
                    <pic:cNvPicPr/>
                  </pic:nvPicPr>
                  <pic:blipFill>
                    <a:blip r:embed="rId12">
                      <a:extLst>
                        <a:ext uri="{28A0092B-C50C-407E-A947-70E740481C1C}">
                          <a14:useLocalDpi xmlns:a14="http://schemas.microsoft.com/office/drawing/2010/main" val="0"/>
                        </a:ext>
                      </a:extLst>
                    </a:blip>
                    <a:stretch>
                      <a:fillRect/>
                    </a:stretch>
                  </pic:blipFill>
                  <pic:spPr>
                    <a:xfrm>
                      <a:off x="0" y="0"/>
                      <a:ext cx="692150" cy="330200"/>
                    </a:xfrm>
                    <a:prstGeom prst="rect">
                      <a:avLst/>
                    </a:prstGeom>
                  </pic:spPr>
                </pic:pic>
              </a:graphicData>
            </a:graphic>
          </wp:anchor>
        </w:drawing>
      </w:r>
      <w:r w:rsidR="00307FB4" w:rsidRPr="00893944">
        <w:rPr>
          <w:bCs/>
          <w:sz w:val="22"/>
          <w:szCs w:val="22"/>
        </w:rPr>
        <w:t>Veuillez agréer, Madame, Monsieur, l'assurance de ma considération distinguée.</w:t>
      </w:r>
    </w:p>
    <w:p w14:paraId="558FB742" w14:textId="36A0D490" w:rsidR="002937DB" w:rsidRPr="00893944" w:rsidRDefault="00307FB4" w:rsidP="00D033C0">
      <w:pPr>
        <w:spacing w:before="560"/>
        <w:rPr>
          <w:bCs/>
          <w:sz w:val="22"/>
          <w:szCs w:val="22"/>
        </w:rPr>
      </w:pPr>
      <w:r w:rsidRPr="00893944">
        <w:rPr>
          <w:bCs/>
          <w:sz w:val="22"/>
          <w:szCs w:val="22"/>
        </w:rPr>
        <w:t>Seizo Onoe</w:t>
      </w:r>
      <w:r w:rsidR="00B60868" w:rsidRPr="00893944">
        <w:rPr>
          <w:bCs/>
          <w:sz w:val="22"/>
          <w:szCs w:val="22"/>
        </w:rPr>
        <w:br/>
      </w:r>
      <w:r w:rsidRPr="00893944">
        <w:rPr>
          <w:bCs/>
          <w:sz w:val="22"/>
          <w:szCs w:val="22"/>
        </w:rPr>
        <w:t>Directeur du Bureau de la normalisation</w:t>
      </w:r>
      <w:r w:rsidR="00B60868" w:rsidRPr="00893944">
        <w:rPr>
          <w:bCs/>
          <w:sz w:val="22"/>
          <w:szCs w:val="22"/>
        </w:rPr>
        <w:br/>
      </w:r>
      <w:r w:rsidRPr="00893944">
        <w:rPr>
          <w:bCs/>
          <w:sz w:val="22"/>
          <w:szCs w:val="22"/>
        </w:rPr>
        <w:t>des télécommunications</w:t>
      </w:r>
    </w:p>
    <w:p w14:paraId="745105A0" w14:textId="583B03C5" w:rsidR="00531550" w:rsidRPr="000D6356" w:rsidRDefault="00531550" w:rsidP="00D033C0">
      <w:pPr>
        <w:rPr>
          <w:b/>
          <w:sz w:val="22"/>
          <w:szCs w:val="18"/>
        </w:rPr>
      </w:pPr>
      <w:proofErr w:type="gramStart"/>
      <w:r w:rsidRPr="00893944">
        <w:rPr>
          <w:b/>
          <w:sz w:val="22"/>
          <w:szCs w:val="22"/>
        </w:rPr>
        <w:t>Annexes:</w:t>
      </w:r>
      <w:proofErr w:type="gramEnd"/>
      <w:r w:rsidRPr="000D6356">
        <w:rPr>
          <w:b/>
          <w:sz w:val="22"/>
          <w:szCs w:val="18"/>
        </w:rPr>
        <w:tab/>
      </w:r>
      <w:r w:rsidRPr="00D033C0">
        <w:rPr>
          <w:bCs/>
          <w:sz w:val="22"/>
          <w:szCs w:val="18"/>
        </w:rPr>
        <w:t>2</w:t>
      </w:r>
    </w:p>
    <w:p w14:paraId="043F7817" w14:textId="77777777" w:rsidR="00B646E7" w:rsidRPr="000D6356" w:rsidRDefault="00531550" w:rsidP="00531550">
      <w:pPr>
        <w:pStyle w:val="AnnexTitle"/>
      </w:pPr>
      <w:r w:rsidRPr="000D6356">
        <w:lastRenderedPageBreak/>
        <w:t>ANNEXE 1</w:t>
      </w:r>
    </w:p>
    <w:p w14:paraId="5647BF8A" w14:textId="63B4AF43" w:rsidR="00531550" w:rsidRPr="000D6356" w:rsidRDefault="00531550" w:rsidP="00531550">
      <w:pPr>
        <w:pStyle w:val="AnnexTitle"/>
      </w:pPr>
      <w:r w:rsidRPr="000D6356">
        <w:t>Résumé et localisation du texte déterminé des projets de nouvelles Recommandations</w:t>
      </w:r>
      <w:bookmarkStart w:id="1" w:name="_Hlk222734517"/>
      <w:r w:rsidR="00B646E7" w:rsidRPr="000D6356">
        <w:t xml:space="preserve"> </w:t>
      </w:r>
      <w:r w:rsidR="00D7021F" w:rsidRPr="000D6356">
        <w:t xml:space="preserve">UIT-T Y.4241 (anciennement Y.dt-SComCam), </w:t>
      </w:r>
      <w:r w:rsidR="006E12ED" w:rsidRPr="000D6356">
        <w:t>UIT</w:t>
      </w:r>
      <w:r w:rsidR="00D7021F" w:rsidRPr="000D6356">
        <w:t>-T Y.4242 (anciennement Y.energy-storage),</w:t>
      </w:r>
      <w:r w:rsidR="00B646E7" w:rsidRPr="000D6356">
        <w:br/>
      </w:r>
      <w:r w:rsidR="00D7021F" w:rsidRPr="000D6356">
        <w:t>UIT-T Y.4243 (anciennement Y.IoT-smartschool), UIT-T Y.4244 (anciennement</w:t>
      </w:r>
      <w:r w:rsidR="00B646E7" w:rsidRPr="000D6356">
        <w:br/>
      </w:r>
      <w:r w:rsidR="00D7021F" w:rsidRPr="000D6356">
        <w:t>Y.EPWS-fc),</w:t>
      </w:r>
      <w:r w:rsidR="00B646E7" w:rsidRPr="000D6356">
        <w:t xml:space="preserve"> </w:t>
      </w:r>
      <w:r w:rsidR="00D7021F" w:rsidRPr="000D6356">
        <w:t>UIT-T Y.4420, UIT-T Y.4512 (anciennement Y.SC-DESMS), UIT-T</w:t>
      </w:r>
      <w:r w:rsidR="00B646E7" w:rsidRPr="000D6356">
        <w:br/>
      </w:r>
      <w:r w:rsidR="00D7021F" w:rsidRPr="000D6356">
        <w:t>Y.4614 (anciennement</w:t>
      </w:r>
      <w:r w:rsidR="00B646E7" w:rsidRPr="000D6356">
        <w:t xml:space="preserve"> </w:t>
      </w:r>
      <w:r w:rsidR="00D7021F" w:rsidRPr="000D6356">
        <w:t>Y.CL-EDM), UIT-T Y.4815 (anciennement</w:t>
      </w:r>
      <w:r w:rsidR="00B646E7" w:rsidRPr="000D6356">
        <w:br/>
      </w:r>
      <w:r w:rsidR="00D7021F" w:rsidRPr="000D6356">
        <w:t>Y.uas-dc-fr), UIT-T Y.4816 (anciennement</w:t>
      </w:r>
      <w:r w:rsidR="00B646E7" w:rsidRPr="000D6356">
        <w:t xml:space="preserve"> </w:t>
      </w:r>
      <w:r w:rsidR="00D7021F" w:rsidRPr="000D6356">
        <w:t>Y.bsis-sec)</w:t>
      </w:r>
      <w:r w:rsidR="00B646E7" w:rsidRPr="000D6356">
        <w:br/>
      </w:r>
      <w:r w:rsidR="00D7021F" w:rsidRPr="000D6356">
        <w:t>et UIT-T Y.4912 (anciennement Y.SNPG-ref)</w:t>
      </w:r>
      <w:bookmarkEnd w:id="1"/>
    </w:p>
    <w:p w14:paraId="198BEB0D" w14:textId="2E86A046" w:rsidR="00531550" w:rsidRPr="000D6356" w:rsidRDefault="00531550" w:rsidP="00531550">
      <w:pPr>
        <w:pStyle w:val="Heading1"/>
      </w:pPr>
      <w:r w:rsidRPr="000D6356">
        <w:t>1</w:t>
      </w:r>
      <w:r w:rsidRPr="000D6356">
        <w:tab/>
        <w:t xml:space="preserve">Projet de nouvelle Recommandation UIT-T </w:t>
      </w:r>
      <w:r w:rsidR="00D7021F" w:rsidRPr="000D6356">
        <w:t>Y.4241 (anciennement Y.dt-SComCam</w:t>
      </w:r>
      <w:r w:rsidRPr="000D6356">
        <w:t>) [</w:t>
      </w:r>
      <w:r w:rsidR="00255476" w:rsidRPr="000D6356">
        <w:t>Document </w:t>
      </w:r>
      <w:hyperlink r:id="rId13" w:history="1">
        <w:r w:rsidRPr="000D6356">
          <w:rPr>
            <w:rStyle w:val="Hyperlink"/>
          </w:rPr>
          <w:t>SG20-R</w:t>
        </w:r>
        <w:r w:rsidR="00D7021F" w:rsidRPr="000D6356">
          <w:rPr>
            <w:rStyle w:val="Hyperlink"/>
          </w:rPr>
          <w:t>1</w:t>
        </w:r>
        <w:r w:rsidRPr="000D6356">
          <w:rPr>
            <w:rStyle w:val="Hyperlink"/>
          </w:rPr>
          <w:t>2</w:t>
        </w:r>
      </w:hyperlink>
      <w:r w:rsidRPr="000D6356">
        <w:t>]</w:t>
      </w:r>
    </w:p>
    <w:p w14:paraId="27C50400" w14:textId="60A71B27" w:rsidR="00531550" w:rsidRPr="000D6356" w:rsidRDefault="00D7021F" w:rsidP="0083639F">
      <w:pPr>
        <w:pStyle w:val="headingb"/>
      </w:pPr>
      <w:r w:rsidRPr="000D6356">
        <w:t>Exigences communes et cadre des capacités des jumeaux numériques pour les complexes et les campus intelligents</w:t>
      </w:r>
    </w:p>
    <w:p w14:paraId="4C374945" w14:textId="77777777" w:rsidR="00531550" w:rsidRPr="000D6356" w:rsidRDefault="00531550" w:rsidP="0083639F">
      <w:pPr>
        <w:pStyle w:val="headingb"/>
      </w:pPr>
      <w:r w:rsidRPr="000D6356">
        <w:t>Résumé</w:t>
      </w:r>
    </w:p>
    <w:p w14:paraId="0002AAAC" w14:textId="1CDBEEB1" w:rsidR="00531550" w:rsidRPr="000D6356" w:rsidRDefault="00D7021F" w:rsidP="00531550">
      <w:pPr>
        <w:rPr>
          <w:bCs/>
        </w:rPr>
      </w:pPr>
      <w:r w:rsidRPr="000D6356">
        <w:rPr>
          <w:bCs/>
        </w:rPr>
        <w:t>Un complexe ou un campus fait référence à un ensemble de bâtiments et de terrains appartenant à une institution donnée. Les complexes sont de différents types tels que les parcs d'entreprises, les zones industrielles, les sites sportifs et événementiels, les centres commerciaux, etc. Un campus est un site intégré dédié à l'enseignement ou à la recherche, comme les campus des universités ou des écoles. Les complexes et les campus jouent un rôle important dans le travail et la vie des gens et ont des exigences communes en termes de gestion intelligente. Avec le développement de l'Internet des objets (IoT) et de l'intelligence artificielle (IA), la gestion des complexes et des campus s'est progressivement orientée vers une gestion intelligente, et de nombreux systèmes intelligents ont vu le jour pour améliorer l'efficacité de la gestion et de l'exploitation</w:t>
      </w:r>
      <w:r w:rsidR="00531550" w:rsidRPr="000D6356">
        <w:rPr>
          <w:bCs/>
        </w:rPr>
        <w:t>.</w:t>
      </w:r>
    </w:p>
    <w:p w14:paraId="015A2A5B" w14:textId="2DCB8EB6" w:rsidR="00531550" w:rsidRPr="000D6356" w:rsidRDefault="00D7021F" w:rsidP="00531550">
      <w:pPr>
        <w:rPr>
          <w:bCs/>
        </w:rPr>
      </w:pPr>
      <w:r w:rsidRPr="000D6356">
        <w:rPr>
          <w:bCs/>
        </w:rPr>
        <w:t>La technologie des jumeaux numériques permet d'enregistrer des données historiques, de surveiller le bon fonctionnement des systèmes et d'effectuer des analyses prédictives. Elle a été largement utilisée dans les systèmes pour les complexes et les campus intelligents. En associant la technologie des jumeaux numériques aux technologies émergentes des technologies de l'information et de la communication (TIC), telles que l'informatique en nuage, l'IoT, les mégadonnées et l'IA, il est possible d'accéder à divers terminaux pour recueillir les données du complexe et du campus physiques en temps réel, des personnes modèles (sans information d'identification personnelle), des dispositifs, des objets et des événements dans le complexe et le campus. Il est également possible de réaliser une surveillance et une simulation intelligentes, et d'effectuer un contrôle à distance du complexe et du campus physiques. Il est également possible de réaliser une surveillance et une simulation intelligentes, et d'effectuer un contrôle à distance du complexe et du campus physiques. L'utilisation de jumeaux numériques pour un système de complexes et de campus intelligents peut résoudre les problèmes de gestion et d'exploitation des complexes et des campus, tels qu'une faible efficacité de gestion, une mauvaise expérience de service, un gaspillage d'énergie aux conséquences néfastes, une sécurité globale faible et des coûts d'exploitation élevés. Cette technologie contribue à mettre en œuvre la transformation numérique de ces complexes et campus et améliore l'expérience de service</w:t>
      </w:r>
      <w:r w:rsidR="00531550" w:rsidRPr="000D6356">
        <w:rPr>
          <w:bCs/>
        </w:rPr>
        <w:t>.</w:t>
      </w:r>
    </w:p>
    <w:p w14:paraId="752E9E20" w14:textId="1C38A4AE" w:rsidR="00D7021F" w:rsidRPr="000D6356" w:rsidRDefault="009E27A8" w:rsidP="00531550">
      <w:pPr>
        <w:rPr>
          <w:bCs/>
        </w:rPr>
      </w:pPr>
      <w:r w:rsidRPr="000D6356">
        <w:rPr>
          <w:bCs/>
        </w:rPr>
        <w:t>Cette</w:t>
      </w:r>
      <w:r w:rsidR="00D7021F" w:rsidRPr="000D6356">
        <w:rPr>
          <w:bCs/>
        </w:rPr>
        <w:t xml:space="preserve"> Recommandation fournit les exigences communes et le cadre des capacités des jumeaux numériques pour les complexes et les campus intelligents.</w:t>
      </w:r>
    </w:p>
    <w:p w14:paraId="7B179C6E" w14:textId="2FBC770C" w:rsidR="00531550" w:rsidRPr="000D6356" w:rsidRDefault="00531550" w:rsidP="0083639F">
      <w:pPr>
        <w:pStyle w:val="Heading1"/>
      </w:pPr>
      <w:r w:rsidRPr="000D6356">
        <w:lastRenderedPageBreak/>
        <w:t>2</w:t>
      </w:r>
      <w:r w:rsidRPr="000D6356">
        <w:tab/>
        <w:t>Projet de nouvelle Recommandation UIT-T Y.42</w:t>
      </w:r>
      <w:r w:rsidR="006E12ED" w:rsidRPr="000D6356">
        <w:t xml:space="preserve">42 </w:t>
      </w:r>
      <w:r w:rsidRPr="000D6356">
        <w:t>(</w:t>
      </w:r>
      <w:r w:rsidR="006E12ED" w:rsidRPr="000D6356">
        <w:t>anciennement Y.energy-storage</w:t>
      </w:r>
      <w:r w:rsidRPr="000D6356">
        <w:t>) [</w:t>
      </w:r>
      <w:r w:rsidR="00255476" w:rsidRPr="000D6356">
        <w:t>Document </w:t>
      </w:r>
      <w:hyperlink r:id="rId14" w:history="1">
        <w:r w:rsidRPr="000D6356">
          <w:rPr>
            <w:rStyle w:val="Hyperlink"/>
          </w:rPr>
          <w:t>SG20</w:t>
        </w:r>
        <w:r w:rsidR="00255476" w:rsidRPr="000D6356">
          <w:rPr>
            <w:rStyle w:val="Hyperlink"/>
          </w:rPr>
          <w:noBreakHyphen/>
        </w:r>
        <w:r w:rsidRPr="000D6356">
          <w:rPr>
            <w:rStyle w:val="Hyperlink"/>
          </w:rPr>
          <w:t>R</w:t>
        </w:r>
        <w:r w:rsidR="006E12ED" w:rsidRPr="000D6356">
          <w:rPr>
            <w:rStyle w:val="Hyperlink"/>
          </w:rPr>
          <w:t>1</w:t>
        </w:r>
        <w:r w:rsidRPr="000D6356">
          <w:rPr>
            <w:rStyle w:val="Hyperlink"/>
          </w:rPr>
          <w:t>3</w:t>
        </w:r>
      </w:hyperlink>
      <w:r w:rsidRPr="000D6356">
        <w:t>]</w:t>
      </w:r>
    </w:p>
    <w:p w14:paraId="53D9188D" w14:textId="01B19C47" w:rsidR="00531550" w:rsidRPr="000D6356" w:rsidRDefault="006E12ED" w:rsidP="0083639F">
      <w:pPr>
        <w:pStyle w:val="headingb"/>
      </w:pPr>
      <w:r w:rsidRPr="000D6356">
        <w:t>Exigences et cadre des capacités du service de stockage d'énergie pour une communauté résidentielle dans une ville intelligente</w:t>
      </w:r>
    </w:p>
    <w:p w14:paraId="4A8FB768" w14:textId="77777777" w:rsidR="00531550" w:rsidRPr="000D6356" w:rsidRDefault="00531550" w:rsidP="0083639F">
      <w:pPr>
        <w:pStyle w:val="headingb"/>
      </w:pPr>
      <w:r w:rsidRPr="000D6356">
        <w:t>Résumé</w:t>
      </w:r>
    </w:p>
    <w:p w14:paraId="73968EA2" w14:textId="6C2FD0B7" w:rsidR="006E12ED" w:rsidRPr="000D6356" w:rsidRDefault="009E27A8" w:rsidP="00842CA2">
      <w:pPr>
        <w:rPr>
          <w:rFonts w:cs="Calibri"/>
          <w:sz w:val="22"/>
          <w:szCs w:val="22"/>
        </w:rPr>
      </w:pPr>
      <w:r w:rsidRPr="000D6356">
        <w:t>Cette</w:t>
      </w:r>
      <w:r w:rsidR="006E12ED" w:rsidRPr="000D6356">
        <w:t xml:space="preserve"> Recommandation définit les exigences et le cadre des capacités d'un service de stockage d'énergie pour une communauté résidentielle (ESSRC) dans une ville intelligente.</w:t>
      </w:r>
    </w:p>
    <w:p w14:paraId="71EACA05" w14:textId="77777777" w:rsidR="006E12ED" w:rsidRPr="000D6356" w:rsidRDefault="006E12ED" w:rsidP="00842CA2">
      <w:pPr>
        <w:rPr>
          <w:rFonts w:cs="Calibri"/>
          <w:sz w:val="22"/>
          <w:szCs w:val="22"/>
        </w:rPr>
      </w:pPr>
      <w:r w:rsidRPr="000D6356">
        <w:t>Alors que les énergies renouvelables ont le vent en poupe dans les communautés résidentielles (RC), un grand nombre d'utilisateurs au sein de ces communautés se transforment en "prosommateurs", en ce qu'ils jouent un double rôle de producteur et de consommateur. Un service ESSRC est un service de base fourni à une communauté RC dans une ville intelligente et vise à améliorer la fiabilité énergétique et l'utilisation des énergies renouvelables, ainsi qu'à optimiser les avantages économiques pour les utilisateurs des communautés RC. Le service ESSRC présente les caractéristiques d'une gestion intelligente de la distribution et de l'optimisation de l'énergie, d'une surveillance à distance et d'une maintenance prédictive, ainsi qu'une interface conviviale. Le service ESSRC s'appuie sur un système de gestion de l'information fondé sur les technologies de l'information et de la communication (TIC).</w:t>
      </w:r>
    </w:p>
    <w:p w14:paraId="575514AE" w14:textId="3A12E39E" w:rsidR="006E12ED" w:rsidRPr="000D6356" w:rsidRDefault="009E27A8" w:rsidP="00842CA2">
      <w:pPr>
        <w:rPr>
          <w:rFonts w:cs="Calibri"/>
          <w:sz w:val="22"/>
          <w:szCs w:val="22"/>
        </w:rPr>
      </w:pPr>
      <w:r w:rsidRPr="000D6356">
        <w:t>Cette</w:t>
      </w:r>
      <w:r w:rsidR="006E12ED" w:rsidRPr="000D6356">
        <w:t xml:space="preserve"> Recommandation contribuera également à promouvoir la création de villes et de communautés intelligentes circulaires et durables. </w:t>
      </w:r>
    </w:p>
    <w:p w14:paraId="76074295" w14:textId="77777777" w:rsidR="006E12ED" w:rsidRPr="000D6356" w:rsidRDefault="006E12ED" w:rsidP="00842CA2">
      <w:pPr>
        <w:rPr>
          <w:rFonts w:cs="Calibri"/>
          <w:sz w:val="22"/>
          <w:szCs w:val="22"/>
        </w:rPr>
      </w:pPr>
      <w:r w:rsidRPr="000D6356">
        <w:t xml:space="preserve">Un cas d'utilisation du service ESSRC est donné dans l'appendice. </w:t>
      </w:r>
    </w:p>
    <w:p w14:paraId="5CBEF218" w14:textId="0166E6A8" w:rsidR="00531550" w:rsidRPr="000D6356" w:rsidRDefault="00531550" w:rsidP="00255476">
      <w:pPr>
        <w:pStyle w:val="Heading1"/>
      </w:pPr>
      <w:r w:rsidRPr="000D6356">
        <w:t>3</w:t>
      </w:r>
      <w:r w:rsidRPr="000D6356">
        <w:tab/>
        <w:t xml:space="preserve">Projet de nouvelle Recommandation UIT-T </w:t>
      </w:r>
      <w:r w:rsidR="006E12ED" w:rsidRPr="000D6356">
        <w:t>Y.4243 (anciennement Y.IoT-smartschool</w:t>
      </w:r>
      <w:r w:rsidRPr="000D6356">
        <w:t>) [</w:t>
      </w:r>
      <w:r w:rsidR="00255476" w:rsidRPr="000D6356">
        <w:t>Document </w:t>
      </w:r>
      <w:hyperlink r:id="rId15" w:history="1">
        <w:r w:rsidRPr="000D6356">
          <w:rPr>
            <w:rStyle w:val="Hyperlink"/>
          </w:rPr>
          <w:t>SG20</w:t>
        </w:r>
        <w:r w:rsidR="00255476" w:rsidRPr="000D6356">
          <w:rPr>
            <w:rStyle w:val="Hyperlink"/>
          </w:rPr>
          <w:noBreakHyphen/>
        </w:r>
        <w:r w:rsidRPr="000D6356">
          <w:rPr>
            <w:rStyle w:val="Hyperlink"/>
          </w:rPr>
          <w:t>R</w:t>
        </w:r>
        <w:r w:rsidR="006E12ED" w:rsidRPr="000D6356">
          <w:rPr>
            <w:rStyle w:val="Hyperlink"/>
          </w:rPr>
          <w:t>1</w:t>
        </w:r>
        <w:r w:rsidRPr="000D6356">
          <w:rPr>
            <w:rStyle w:val="Hyperlink"/>
          </w:rPr>
          <w:t>4</w:t>
        </w:r>
      </w:hyperlink>
      <w:r w:rsidRPr="000D6356">
        <w:t>]</w:t>
      </w:r>
    </w:p>
    <w:p w14:paraId="245A66AD" w14:textId="223C9EC2" w:rsidR="00531550" w:rsidRPr="000D6356" w:rsidRDefault="006E12ED" w:rsidP="00255476">
      <w:pPr>
        <w:pStyle w:val="headingb"/>
      </w:pPr>
      <w:r w:rsidRPr="000D6356">
        <w:t>Exigences relatives à la gestion des écoles intelligentes fondée sur l'Internet des objets</w:t>
      </w:r>
    </w:p>
    <w:p w14:paraId="3B21BA2A" w14:textId="77777777" w:rsidR="00531550" w:rsidRPr="000D6356" w:rsidRDefault="00531550" w:rsidP="00255476">
      <w:pPr>
        <w:pStyle w:val="headingb"/>
      </w:pPr>
      <w:r w:rsidRPr="000D6356">
        <w:t>Résumé</w:t>
      </w:r>
    </w:p>
    <w:p w14:paraId="0B5D0C7A" w14:textId="63AB7D57" w:rsidR="006E12ED" w:rsidRPr="000D6356" w:rsidRDefault="006E12ED" w:rsidP="00842CA2">
      <w:pPr>
        <w:rPr>
          <w:rFonts w:cs="Calibri"/>
          <w:sz w:val="22"/>
          <w:szCs w:val="22"/>
        </w:rPr>
      </w:pPr>
      <w:r w:rsidRPr="000D6356">
        <w:t>Cette Recommandation définit des exigences complètes relatives à la gestion des écoles intelligentes basée sur l'Internet des objets (IoT) afin d'améliorer l'efficacité de l'enseignement, l'efficacité opérationnelle et la sécurité des campus grâce aux technologies intelligentes. Les exigences relatives aux dispositifs englobent les capacités de détection IoT, de traitement des données, de communication et de transmission de données, de gestion de l'énergie et des ressources, de supervision et de maintenance et de préparation aux situations d'urgence. Les exigences relatives au réseau portent sur la connectivité, la couverture et la transmission des données pour garantir une infrastructure IoT fiable. Les exigences relatives à la prise en charge des services et des applications comprennent le stockage et la gestion des données, le traitement et l'analyse des données, les améliorations fondées sur l'intelligence artificielle (IA)/l'apprentissage automatique (ML), la modélisation fondée sur les jumeaux numériques et la supervision et la gestion des dispositifs.</w:t>
      </w:r>
    </w:p>
    <w:p w14:paraId="0BB4516E" w14:textId="77777777" w:rsidR="006E12ED" w:rsidRPr="000D6356" w:rsidRDefault="006E12ED" w:rsidP="00842CA2">
      <w:pPr>
        <w:rPr>
          <w:rFonts w:cs="Calibri"/>
          <w:sz w:val="22"/>
          <w:szCs w:val="22"/>
        </w:rPr>
      </w:pPr>
      <w:r w:rsidRPr="000D6356">
        <w:t>En établissant des exigences normalisées pour la gestion des écoles intelligentes, cette Recommandation permet aux établissements d'enseignement du monde entier de déployer des solutions fondées sur l'IoT interopérables, modulables et sécurisées dans divers scénarios d'applications scolaires, notamment l'enseignement et l'apprentissage, les affaires académiques, la vie scolaire ainsi que la sûreté et la sécurité, améliorant ainsi les résultats scolaires.</w:t>
      </w:r>
    </w:p>
    <w:p w14:paraId="6988FB42" w14:textId="4BB3E8C6" w:rsidR="00531550" w:rsidRPr="000D6356" w:rsidRDefault="00531550" w:rsidP="007D6625">
      <w:pPr>
        <w:pStyle w:val="Heading1"/>
        <w:spacing w:before="360"/>
      </w:pPr>
      <w:r w:rsidRPr="000D6356">
        <w:lastRenderedPageBreak/>
        <w:t>4</w:t>
      </w:r>
      <w:r w:rsidRPr="000D6356">
        <w:tab/>
        <w:t xml:space="preserve">Projet de nouvelle Recommandation UIT-T </w:t>
      </w:r>
      <w:r w:rsidR="006E12ED" w:rsidRPr="000D6356">
        <w:rPr>
          <w:rFonts w:cs="Calibri"/>
          <w:sz w:val="22"/>
          <w:szCs w:val="22"/>
        </w:rPr>
        <w:t xml:space="preserve">T Y.4420 </w:t>
      </w:r>
      <w:r w:rsidR="006E12ED" w:rsidRPr="000D6356">
        <w:t>(</w:t>
      </w:r>
      <w:r w:rsidR="00255476" w:rsidRPr="000D6356">
        <w:t xml:space="preserve">Document </w:t>
      </w:r>
      <w:hyperlink r:id="rId16" w:history="1">
        <w:r w:rsidRPr="000D6356">
          <w:rPr>
            <w:rStyle w:val="Hyperlink"/>
          </w:rPr>
          <w:t>SG20-R</w:t>
        </w:r>
        <w:r w:rsidR="006E12ED" w:rsidRPr="000D6356">
          <w:rPr>
            <w:rStyle w:val="Hyperlink"/>
          </w:rPr>
          <w:t>1</w:t>
        </w:r>
        <w:r w:rsidRPr="000D6356">
          <w:rPr>
            <w:rStyle w:val="Hyperlink"/>
          </w:rPr>
          <w:t>5</w:t>
        </w:r>
      </w:hyperlink>
      <w:r w:rsidR="006E12ED" w:rsidRPr="000D6356">
        <w:t>)</w:t>
      </w:r>
    </w:p>
    <w:p w14:paraId="471BF1C3" w14:textId="0266D495" w:rsidR="00531550" w:rsidRPr="000D6356" w:rsidRDefault="006E12ED" w:rsidP="00255476">
      <w:pPr>
        <w:pStyle w:val="headingb"/>
      </w:pPr>
      <w:r w:rsidRPr="000D6356">
        <w:t>Cadre pour la surveillance et la gestion des ascenseurs basées sur l'Internet des objets</w:t>
      </w:r>
    </w:p>
    <w:p w14:paraId="16169711" w14:textId="77777777" w:rsidR="00531550" w:rsidRPr="000D6356" w:rsidRDefault="00531550" w:rsidP="00255476">
      <w:pPr>
        <w:pStyle w:val="headingb"/>
      </w:pPr>
      <w:r w:rsidRPr="000D6356">
        <w:t>Résumé</w:t>
      </w:r>
    </w:p>
    <w:p w14:paraId="05B4D544" w14:textId="77777777" w:rsidR="006E12ED" w:rsidRPr="000D6356" w:rsidRDefault="006E12ED" w:rsidP="00842CA2">
      <w:pPr>
        <w:rPr>
          <w:rFonts w:cs="Calibri"/>
          <w:sz w:val="22"/>
          <w:szCs w:val="22"/>
        </w:rPr>
      </w:pPr>
      <w:r w:rsidRPr="000D6356">
        <w:t xml:space="preserve">La Recommandation UIT-T Y.4420 vise à décrire un cadre pour la surveillance et la gestion des ascenseurs basées sur l'Internet des objets, comprenant un protocole et un modèle de données, ainsi que les exigences applicables à la commande externe des ascenseurs à l'aide des technologies IoT. Les ascenseurs ont besoin d'interagir avec des applications par le biais de réseaux de communication afin de fournir différents types de services aux utilisateurs finals. Dans de nombreux cas, les ascenseurs ne peuvent pas se connecter directement auxdits réseaux. Par conséquent, des passerelles prennent en charge l'interconnexion entre ces ascenseurs et ces réseaux. Par ailleurs, les différents fabricants d'ascenseurs appliquent également leurs propres modèles de données et protocoles. C'est pourquoi des problèmes d'interopérabilité se posent. Par conséquent, ce cadre facilitera la surveillance et la gestion des ascenseurs basées sur l'Internet des objets afin que ces ascenseurs puissent fonctionner conjointement les uns avec les autres. </w:t>
      </w:r>
    </w:p>
    <w:p w14:paraId="05663932" w14:textId="577E4ACB" w:rsidR="006E12ED" w:rsidRPr="000D6356" w:rsidRDefault="006E12ED" w:rsidP="00842CA2">
      <w:pPr>
        <w:pStyle w:val="Note"/>
        <w:rPr>
          <w:rFonts w:cs="Calibri"/>
          <w:sz w:val="22"/>
          <w:szCs w:val="22"/>
        </w:rPr>
      </w:pPr>
      <w:r w:rsidRPr="000D6356">
        <w:t xml:space="preserve">NOTE DU TSB – À la date de la présente circulaire, le TSB a reçu une déclaration concernant les droits de propriété intellectuelle relative à ce projet de </w:t>
      </w:r>
      <w:r w:rsidR="009E27A8" w:rsidRPr="000D6356">
        <w:t>texte</w:t>
      </w:r>
      <w:r w:rsidRPr="000D6356">
        <w:t xml:space="preserve">. Pour obtenir des renseignements actualisés, les membres sont invités à consulter la base de données relative aux droits de propriété intellectuelle à l'adresse </w:t>
      </w:r>
      <w:hyperlink r:id="rId17" w:history="1">
        <w:r w:rsidR="009E27A8" w:rsidRPr="000D6356">
          <w:rPr>
            <w:rStyle w:val="Hyperlink"/>
          </w:rPr>
          <w:t>www.itu.int/ipr</w:t>
        </w:r>
      </w:hyperlink>
      <w:r w:rsidRPr="000D6356">
        <w:t>.</w:t>
      </w:r>
      <w:hyperlink r:id="rId18" w:history="1"/>
    </w:p>
    <w:p w14:paraId="60ABD110" w14:textId="7076CF85" w:rsidR="00531550" w:rsidRPr="000D6356" w:rsidRDefault="00531550" w:rsidP="007D6625">
      <w:pPr>
        <w:pStyle w:val="Heading1"/>
        <w:spacing w:before="360"/>
      </w:pPr>
      <w:r w:rsidRPr="000D6356">
        <w:t>5</w:t>
      </w:r>
      <w:r w:rsidRPr="000D6356">
        <w:tab/>
        <w:t>Projet de nouvelle Recommandation UIT-T Y.4</w:t>
      </w:r>
      <w:r w:rsidR="006E12ED" w:rsidRPr="000D6356">
        <w:t>614</w:t>
      </w:r>
      <w:r w:rsidRPr="000D6356">
        <w:t xml:space="preserve"> (</w:t>
      </w:r>
      <w:r w:rsidR="006E12ED" w:rsidRPr="000D6356">
        <w:t>anciennement Y.CL-EDM</w:t>
      </w:r>
      <w:r w:rsidRPr="000D6356">
        <w:t xml:space="preserve">) </w:t>
      </w:r>
      <w:r w:rsidR="00842CA2" w:rsidRPr="000D6356">
        <w:t>(</w:t>
      </w:r>
      <w:r w:rsidR="00255476" w:rsidRPr="000D6356">
        <w:t>Document</w:t>
      </w:r>
      <w:r w:rsidR="00842CA2" w:rsidRPr="000D6356">
        <w:t> </w:t>
      </w:r>
      <w:hyperlink r:id="rId19" w:history="1">
        <w:r w:rsidRPr="000D6356">
          <w:rPr>
            <w:rStyle w:val="Hyperlink"/>
          </w:rPr>
          <w:t>SG20-R</w:t>
        </w:r>
        <w:r w:rsidR="006E12ED" w:rsidRPr="000D6356">
          <w:rPr>
            <w:rStyle w:val="Hyperlink"/>
          </w:rPr>
          <w:t>1</w:t>
        </w:r>
        <w:r w:rsidRPr="000D6356">
          <w:rPr>
            <w:rStyle w:val="Hyperlink"/>
          </w:rPr>
          <w:t>6</w:t>
        </w:r>
      </w:hyperlink>
      <w:r w:rsidR="006E12ED" w:rsidRPr="000D6356">
        <w:t>)</w:t>
      </w:r>
    </w:p>
    <w:p w14:paraId="3A8042D5" w14:textId="7C407608" w:rsidR="00531550" w:rsidRPr="000D6356" w:rsidRDefault="006E12ED" w:rsidP="00255476">
      <w:pPr>
        <w:pStyle w:val="headingb"/>
      </w:pPr>
      <w:r w:rsidRPr="000D6356">
        <w:t>Modèle de données énergétiques pour la plate-forme de gestion de l'énergie en milieu urbain</w:t>
      </w:r>
    </w:p>
    <w:p w14:paraId="6590AE0F" w14:textId="77777777" w:rsidR="00531550" w:rsidRPr="000D6356" w:rsidRDefault="00531550" w:rsidP="00255476">
      <w:pPr>
        <w:pStyle w:val="headingb"/>
      </w:pPr>
      <w:r w:rsidRPr="000D6356">
        <w:t>Résumé</w:t>
      </w:r>
    </w:p>
    <w:p w14:paraId="76E89786" w14:textId="3627E7EB" w:rsidR="006E12ED" w:rsidRPr="000D6356" w:rsidRDefault="009E27A8" w:rsidP="00842CA2">
      <w:pPr>
        <w:rPr>
          <w:rFonts w:cs="Calibri"/>
          <w:sz w:val="22"/>
          <w:szCs w:val="22"/>
        </w:rPr>
      </w:pPr>
      <w:r w:rsidRPr="000D6356">
        <w:t>Cette</w:t>
      </w:r>
      <w:r w:rsidR="006E12ED" w:rsidRPr="000D6356">
        <w:t xml:space="preserve"> Recommandation définit un modèle de données énergétiques permettant à la plate-forme de gestion de l'énergie en milieu urbain (CL-EMP) de prendre en charge les services énergétiques dans les bâtiments et de partager des données énergétiques avec d'autres plates-formes urbaines dans le cadre de la fourniture de services énergétiques municipaux intégrés dans une ville intelligente et durable. Elle décrit les exigences relatives au modèle de données énergétiques et au partage de données. Le modèle de données énergétiques indique quelles données doivent être partagées afin de faciliter l'intégration de la plate-forme CL-EMP et d'autres plates-formes urbaines. De ce fait, le modèle permet d'offrir toute une gamme de services énergétiques municipaux intégrés reliant différents secteurs d'activité de la ville.</w:t>
      </w:r>
    </w:p>
    <w:p w14:paraId="2F48F943" w14:textId="4A7ECB6A" w:rsidR="00531550" w:rsidRPr="000D6356" w:rsidRDefault="00531550" w:rsidP="007D6625">
      <w:pPr>
        <w:pStyle w:val="Heading1"/>
        <w:spacing w:before="360"/>
      </w:pPr>
      <w:r w:rsidRPr="000D6356">
        <w:t>6</w:t>
      </w:r>
      <w:r w:rsidRPr="000D6356">
        <w:tab/>
        <w:t>Projet de nouvelle Recommandation UIT-T Y.4</w:t>
      </w:r>
      <w:r w:rsidR="00AB27D2" w:rsidRPr="000D6356">
        <w:t>815</w:t>
      </w:r>
      <w:r w:rsidRPr="000D6356">
        <w:t xml:space="preserve"> (</w:t>
      </w:r>
      <w:r w:rsidR="00842CA2" w:rsidRPr="000D6356">
        <w:t>anciennement</w:t>
      </w:r>
      <w:r w:rsidR="00AB27D2" w:rsidRPr="000D6356">
        <w:t xml:space="preserve"> Y.uas-dc-fr</w:t>
      </w:r>
      <w:r w:rsidRPr="000D6356">
        <w:t xml:space="preserve">) </w:t>
      </w:r>
      <w:r w:rsidR="00AB27D2" w:rsidRPr="000D6356">
        <w:t>(</w:t>
      </w:r>
      <w:r w:rsidR="00255476" w:rsidRPr="000D6356">
        <w:t>Document </w:t>
      </w:r>
      <w:hyperlink r:id="rId20" w:history="1">
        <w:r w:rsidRPr="000D6356">
          <w:rPr>
            <w:rStyle w:val="Hyperlink"/>
          </w:rPr>
          <w:t>SG20</w:t>
        </w:r>
        <w:r w:rsidR="00255476" w:rsidRPr="000D6356">
          <w:rPr>
            <w:rStyle w:val="Hyperlink"/>
          </w:rPr>
          <w:noBreakHyphen/>
        </w:r>
        <w:r w:rsidRPr="000D6356">
          <w:rPr>
            <w:rStyle w:val="Hyperlink"/>
          </w:rPr>
          <w:t>R</w:t>
        </w:r>
        <w:r w:rsidR="00AB27D2" w:rsidRPr="000D6356">
          <w:rPr>
            <w:rStyle w:val="Hyperlink"/>
          </w:rPr>
          <w:t>1</w:t>
        </w:r>
        <w:r w:rsidRPr="000D6356">
          <w:rPr>
            <w:rStyle w:val="Hyperlink"/>
          </w:rPr>
          <w:t>7</w:t>
        </w:r>
      </w:hyperlink>
      <w:r w:rsidR="00AB27D2" w:rsidRPr="000D6356">
        <w:t>)</w:t>
      </w:r>
    </w:p>
    <w:p w14:paraId="1D8F4BEB" w14:textId="087E549E" w:rsidR="00531550" w:rsidRPr="000D6356" w:rsidRDefault="00AB27D2" w:rsidP="00255476">
      <w:pPr>
        <w:pStyle w:val="headingb"/>
      </w:pPr>
      <w:r w:rsidRPr="000D6356">
        <w:t>Cadre pour un service d'authentification unifié pour la collaboration des données dans l'infrastructure d'énergie électrique fondée sur l'Internet des objets (IoT)</w:t>
      </w:r>
    </w:p>
    <w:p w14:paraId="1D604247" w14:textId="77777777" w:rsidR="00531550" w:rsidRPr="000D6356" w:rsidRDefault="00531550" w:rsidP="00255476">
      <w:pPr>
        <w:pStyle w:val="headingb"/>
      </w:pPr>
      <w:r w:rsidRPr="000D6356">
        <w:t>Résumé</w:t>
      </w:r>
    </w:p>
    <w:p w14:paraId="62897EA6" w14:textId="77777777" w:rsidR="00842CA2" w:rsidRPr="000D6356" w:rsidRDefault="00AB27D2" w:rsidP="00842CA2">
      <w:r w:rsidRPr="000D6356">
        <w:t xml:space="preserve">Dans une infrastructure d'énergie électrique fondée sur l'Internet des objets (IoT-EPI), la collaboration des données entre les différents systèmes d'information est utilisée couramment par les applications et joue un rôle essentiel dans la prise en charge d'opérations telles que l'analyse des données, l'optimisation opérationnelle et la prise de décisions. Traditionnellement, les </w:t>
      </w:r>
      <w:r w:rsidR="00842CA2" w:rsidRPr="000D6356">
        <w:br w:type="page"/>
      </w:r>
    </w:p>
    <w:p w14:paraId="3D92B15C" w14:textId="2F1C0F73" w:rsidR="00AB27D2" w:rsidRPr="000D6356" w:rsidRDefault="00AB27D2" w:rsidP="00842CA2">
      <w:pPr>
        <w:rPr>
          <w:rFonts w:cs="Calibri"/>
          <w:bCs/>
          <w:sz w:val="22"/>
          <w:szCs w:val="22"/>
        </w:rPr>
      </w:pPr>
      <w:r w:rsidRPr="000D6356">
        <w:lastRenderedPageBreak/>
        <w:t>applications doivent développer des modules d'authentification distincts pour chaque système d'information, ce qui entraîne des coûts élevés, une complexité importante et une surface d'exposition aux attaques plus grande.</w:t>
      </w:r>
    </w:p>
    <w:p w14:paraId="3FAAE4CC" w14:textId="74672566" w:rsidR="00AB27D2" w:rsidRPr="000D6356" w:rsidRDefault="009E27A8" w:rsidP="00842CA2">
      <w:pPr>
        <w:rPr>
          <w:rFonts w:cs="Calibri"/>
          <w:sz w:val="22"/>
          <w:szCs w:val="22"/>
        </w:rPr>
      </w:pPr>
      <w:r w:rsidRPr="000D6356">
        <w:t>Cette</w:t>
      </w:r>
      <w:r w:rsidR="00AB27D2" w:rsidRPr="000D6356">
        <w:t xml:space="preserve"> Recommandation définit un service d'authentification unifiée (UA) pour la collaboration des données dans l'infrastructure IoT-EPI, avec les caractéristiques, les exigences, l'architecture fonctionnelle, les capacités et les procédures générales associées à ce service.</w:t>
      </w:r>
    </w:p>
    <w:p w14:paraId="48CC759C" w14:textId="76FA7378" w:rsidR="00531550" w:rsidRPr="000D6356" w:rsidRDefault="00531550" w:rsidP="00E23217">
      <w:pPr>
        <w:pStyle w:val="Heading1"/>
      </w:pPr>
      <w:r w:rsidRPr="000D6356">
        <w:t>7</w:t>
      </w:r>
      <w:r w:rsidRPr="000D6356">
        <w:tab/>
        <w:t>Projet de nouvelle Recommandation UIT-T Y.481</w:t>
      </w:r>
      <w:r w:rsidR="00AB27D2" w:rsidRPr="000D6356">
        <w:t>6</w:t>
      </w:r>
      <w:r w:rsidRPr="000D6356">
        <w:t xml:space="preserve"> (</w:t>
      </w:r>
      <w:r w:rsidR="00842CA2" w:rsidRPr="000D6356">
        <w:rPr>
          <w:rFonts w:cs="Calibri"/>
          <w:sz w:val="22"/>
          <w:szCs w:val="22"/>
        </w:rPr>
        <w:t>anciennement</w:t>
      </w:r>
      <w:r w:rsidR="00AB27D2" w:rsidRPr="000D6356">
        <w:rPr>
          <w:rFonts w:cs="Calibri"/>
          <w:sz w:val="22"/>
          <w:szCs w:val="22"/>
        </w:rPr>
        <w:t xml:space="preserve"> Y.bsis-sec</w:t>
      </w:r>
      <w:r w:rsidRPr="000D6356">
        <w:t>) [</w:t>
      </w:r>
      <w:r w:rsidR="00E23217" w:rsidRPr="000D6356">
        <w:t>Document </w:t>
      </w:r>
      <w:hyperlink r:id="rId21" w:history="1">
        <w:r w:rsidRPr="000D6356">
          <w:rPr>
            <w:rStyle w:val="Hyperlink"/>
          </w:rPr>
          <w:t>SG20-R</w:t>
        </w:r>
        <w:r w:rsidR="00AB27D2" w:rsidRPr="000D6356">
          <w:rPr>
            <w:rStyle w:val="Hyperlink"/>
          </w:rPr>
          <w:t>1</w:t>
        </w:r>
        <w:r w:rsidRPr="000D6356">
          <w:rPr>
            <w:rStyle w:val="Hyperlink"/>
          </w:rPr>
          <w:t>8</w:t>
        </w:r>
      </w:hyperlink>
      <w:r w:rsidRPr="000D6356">
        <w:t>]</w:t>
      </w:r>
    </w:p>
    <w:p w14:paraId="66C8B6F0" w14:textId="0937ACC0" w:rsidR="00531550" w:rsidRPr="000D6356" w:rsidRDefault="00AB27D2" w:rsidP="00E23217">
      <w:pPr>
        <w:pStyle w:val="headingb"/>
      </w:pPr>
      <w:r w:rsidRPr="000D6356">
        <w:t>Exigences et capacités de sécurité des services d'inspection des stations de base utilisant des aéronefs sans pilote</w:t>
      </w:r>
    </w:p>
    <w:p w14:paraId="3D1F0A27" w14:textId="77777777" w:rsidR="00531550" w:rsidRPr="000D6356" w:rsidRDefault="00531550" w:rsidP="00E23217">
      <w:pPr>
        <w:pStyle w:val="headingb"/>
      </w:pPr>
      <w:r w:rsidRPr="000D6356">
        <w:t>Résumé</w:t>
      </w:r>
    </w:p>
    <w:p w14:paraId="09D0199E" w14:textId="77777777" w:rsidR="00AB27D2" w:rsidRPr="000D6356" w:rsidRDefault="00AB27D2" w:rsidP="00842CA2">
      <w:pPr>
        <w:rPr>
          <w:rFonts w:cs="Calibri"/>
          <w:sz w:val="22"/>
          <w:szCs w:val="22"/>
        </w:rPr>
      </w:pPr>
      <w:r w:rsidRPr="000D6356">
        <w:t xml:space="preserve">Le terme "station de base" désigne les stations situées en extérieur qui fournissent aux villes intelligentes des services publics comme des stations de transmission d'électricité, des stations de base de communication, des stations de surveillance météorologique ou encore des stations de surveillance de la qualité de l'eau. Ces stations de base sont généralement situées à l'extérieur et sont susceptibles d'être endommagées par les changements climatiques et le vieillissement des matériaux. Par conséquent, elles nécessitent des inspections régulières et opportunes. </w:t>
      </w:r>
    </w:p>
    <w:p w14:paraId="0F738576" w14:textId="77777777" w:rsidR="00AB27D2" w:rsidRPr="000D6356" w:rsidRDefault="00AB27D2" w:rsidP="00842CA2">
      <w:pPr>
        <w:rPr>
          <w:rFonts w:cs="Calibri"/>
          <w:sz w:val="22"/>
          <w:szCs w:val="22"/>
        </w:rPr>
      </w:pPr>
      <w:r w:rsidRPr="000D6356">
        <w:t xml:space="preserve">Contrairement à la sécurité traditionnelle en IoT, les services d'inspection de ces stations de base sont confrontés à des risques de sécurité importants et uniques. Le déploiement généralisé d'aéronefs sans pilote, en particulier depuis des stations d'accueil distantes, crée une large surface d'exposition aux attaques et rend le processus de service vulnérable à ces dernières. Ces vulnérabilités peuvent conduire à des vols de données, notamment à l'accès non autorisé à des images sensibles de zones à accès restreint, ce qui présente des risques de sécurité importants. </w:t>
      </w:r>
    </w:p>
    <w:p w14:paraId="5DD3C925" w14:textId="77777777" w:rsidR="00AB27D2" w:rsidRPr="000D6356" w:rsidRDefault="00AB27D2" w:rsidP="00842CA2">
      <w:pPr>
        <w:rPr>
          <w:rFonts w:cs="Calibri"/>
          <w:sz w:val="22"/>
          <w:szCs w:val="22"/>
        </w:rPr>
      </w:pPr>
      <w:r w:rsidRPr="000D6356">
        <w:t>Cette Recommandation spécifie les exigences et capacités de sécurité des services d'inspection des stations de base utilisant des aéronefs sans pilote. Elle vise à renforcer la protection de la sécurité de l'information et à empêcher les incidents de sécurité comme des accès non autorisés, des intrusions malveillantes et l'altération de données, contribuant ainsi à la sécurité globale des stations de base et au maintien de la qualité des services publics dans les villes intelligentes.</w:t>
      </w:r>
    </w:p>
    <w:p w14:paraId="3333C837" w14:textId="7D35E78E" w:rsidR="00531550" w:rsidRPr="000D6356" w:rsidRDefault="00531550" w:rsidP="00E23217">
      <w:pPr>
        <w:pStyle w:val="Heading1"/>
      </w:pPr>
      <w:r w:rsidRPr="000D6356">
        <w:t>8</w:t>
      </w:r>
      <w:r w:rsidRPr="000D6356">
        <w:tab/>
        <w:t>Projet de nouvelle Recommandation UIT-T Y.4</w:t>
      </w:r>
      <w:r w:rsidR="00AB27D2" w:rsidRPr="000D6356">
        <w:t>912</w:t>
      </w:r>
      <w:r w:rsidRPr="000D6356">
        <w:t xml:space="preserve"> (</w:t>
      </w:r>
      <w:r w:rsidR="00AB27D2" w:rsidRPr="000D6356">
        <w:rPr>
          <w:rFonts w:cs="Calibri"/>
          <w:sz w:val="22"/>
          <w:szCs w:val="22"/>
        </w:rPr>
        <w:t>anciennement Y.SNPG-ref</w:t>
      </w:r>
      <w:r w:rsidRPr="000D6356">
        <w:t>) [</w:t>
      </w:r>
      <w:r w:rsidR="00E23217" w:rsidRPr="000D6356">
        <w:t>Document </w:t>
      </w:r>
      <w:hyperlink r:id="rId22" w:history="1">
        <w:r w:rsidRPr="000D6356">
          <w:rPr>
            <w:rStyle w:val="Hyperlink"/>
          </w:rPr>
          <w:t>SG20</w:t>
        </w:r>
        <w:r w:rsidR="00E23217" w:rsidRPr="000D6356">
          <w:rPr>
            <w:rStyle w:val="Hyperlink"/>
          </w:rPr>
          <w:noBreakHyphen/>
        </w:r>
        <w:r w:rsidRPr="000D6356">
          <w:rPr>
            <w:rStyle w:val="Hyperlink"/>
          </w:rPr>
          <w:t>R</w:t>
        </w:r>
        <w:r w:rsidR="00AB27D2" w:rsidRPr="000D6356">
          <w:rPr>
            <w:rStyle w:val="Hyperlink"/>
          </w:rPr>
          <w:t>1</w:t>
        </w:r>
        <w:r w:rsidRPr="000D6356">
          <w:rPr>
            <w:rStyle w:val="Hyperlink"/>
          </w:rPr>
          <w:t>9</w:t>
        </w:r>
      </w:hyperlink>
      <w:r w:rsidRPr="000D6356">
        <w:t>]</w:t>
      </w:r>
    </w:p>
    <w:p w14:paraId="6494AFDC" w14:textId="34129E3C" w:rsidR="00531550" w:rsidRPr="000D6356" w:rsidRDefault="002B3F9C" w:rsidP="00E23217">
      <w:pPr>
        <w:pStyle w:val="headingb"/>
      </w:pPr>
      <w:r w:rsidRPr="000D6356">
        <w:t>Cadre d'évaluation de la fiabilité des réseaux de capteurs dans le réseau électrique</w:t>
      </w:r>
    </w:p>
    <w:p w14:paraId="372B6882" w14:textId="77777777" w:rsidR="00531550" w:rsidRPr="000D6356" w:rsidRDefault="00531550" w:rsidP="00E23217">
      <w:pPr>
        <w:pStyle w:val="headingb"/>
      </w:pPr>
      <w:r w:rsidRPr="000D6356">
        <w:t>Résumé</w:t>
      </w:r>
    </w:p>
    <w:p w14:paraId="24D303CC" w14:textId="012CABB9" w:rsidR="002B3F9C" w:rsidRPr="000D6356" w:rsidRDefault="009E27A8" w:rsidP="00842CA2">
      <w:pPr>
        <w:rPr>
          <w:rFonts w:cs="Calibri"/>
          <w:sz w:val="22"/>
          <w:szCs w:val="22"/>
        </w:rPr>
      </w:pPr>
      <w:r w:rsidRPr="000D6356">
        <w:t>Cette</w:t>
      </w:r>
      <w:r w:rsidR="002B3F9C" w:rsidRPr="000D6356">
        <w:t xml:space="preserve"> Recommandation donne un aperçu général, les exigences en matière d'évaluation de la fiabilité et le cadre applicables aux réseaux de détection dans le réseau électrique (SNPG).</w:t>
      </w:r>
    </w:p>
    <w:p w14:paraId="4E4578AF" w14:textId="77777777" w:rsidR="002B3F9C" w:rsidRPr="000D6356" w:rsidRDefault="002B3F9C" w:rsidP="00842CA2">
      <w:pPr>
        <w:rPr>
          <w:rFonts w:cs="Calibri"/>
          <w:sz w:val="22"/>
          <w:szCs w:val="22"/>
        </w:rPr>
      </w:pPr>
      <w:r w:rsidRPr="000D6356">
        <w:t>L'Internet des objets (IoT), technologie relativement nouvelle, fait évoluer les réseaux de capteurs dans le réseau électrique afin d'améliorer encore les services de transformation des données de détection. Toutefois, de cette transformation découle la nécessité de disposer d'un cadre permettant d'évaluer efficacement la fiabilité des réseaux de détection dans le réseau électrique. Ce cadre constitue une référence globale pour l'évaluation de la fiabilité des réseaux de capteurs dans le réseau électrique.</w:t>
      </w:r>
    </w:p>
    <w:p w14:paraId="2D961759" w14:textId="75153F94" w:rsidR="00531550" w:rsidRPr="000D6356" w:rsidRDefault="00531550" w:rsidP="00E23217">
      <w:pPr>
        <w:pStyle w:val="Heading1"/>
      </w:pPr>
      <w:r w:rsidRPr="000D6356">
        <w:lastRenderedPageBreak/>
        <w:t>9</w:t>
      </w:r>
      <w:r w:rsidRPr="000D6356">
        <w:tab/>
        <w:t>Projet de nouvelle Recommandation UIT-T Y.4</w:t>
      </w:r>
      <w:r w:rsidR="009B35F7" w:rsidRPr="000D6356">
        <w:t>512</w:t>
      </w:r>
      <w:r w:rsidRPr="000D6356">
        <w:t xml:space="preserve"> (</w:t>
      </w:r>
      <w:r w:rsidR="009B35F7" w:rsidRPr="000D6356">
        <w:rPr>
          <w:rFonts w:cs="Calibri"/>
          <w:sz w:val="22"/>
          <w:szCs w:val="22"/>
        </w:rPr>
        <w:t>anciennement Y.SC-DESMS</w:t>
      </w:r>
      <w:r w:rsidRPr="000D6356">
        <w:t>) [</w:t>
      </w:r>
      <w:r w:rsidR="00E23217" w:rsidRPr="000D6356">
        <w:t>Document </w:t>
      </w:r>
      <w:hyperlink r:id="rId23" w:history="1">
        <w:r w:rsidRPr="000D6356">
          <w:rPr>
            <w:rStyle w:val="Hyperlink"/>
          </w:rPr>
          <w:t>SG20</w:t>
        </w:r>
        <w:r w:rsidR="00E23217" w:rsidRPr="000D6356">
          <w:rPr>
            <w:rStyle w:val="Hyperlink"/>
          </w:rPr>
          <w:noBreakHyphen/>
        </w:r>
        <w:r w:rsidRPr="000D6356">
          <w:rPr>
            <w:rStyle w:val="Hyperlink"/>
          </w:rPr>
          <w:t>R</w:t>
        </w:r>
        <w:r w:rsidR="009B35F7" w:rsidRPr="000D6356">
          <w:rPr>
            <w:rStyle w:val="Hyperlink"/>
          </w:rPr>
          <w:t>2</w:t>
        </w:r>
        <w:r w:rsidRPr="000D6356">
          <w:rPr>
            <w:rStyle w:val="Hyperlink"/>
          </w:rPr>
          <w:t>0</w:t>
        </w:r>
      </w:hyperlink>
      <w:r w:rsidRPr="000D6356">
        <w:t>]</w:t>
      </w:r>
    </w:p>
    <w:p w14:paraId="720A82DA" w14:textId="539B3431" w:rsidR="00531550" w:rsidRPr="000D6356" w:rsidRDefault="009B35F7" w:rsidP="00E23217">
      <w:pPr>
        <w:pStyle w:val="headingb"/>
      </w:pPr>
      <w:r w:rsidRPr="000D6356">
        <w:t>Architecture fonctionnelle applicable à un système de gestion du stockage décentralisé de l'énergie fondé sur l'Internet des objets dans les villes intelligentes</w:t>
      </w:r>
    </w:p>
    <w:p w14:paraId="184AD704" w14:textId="77777777" w:rsidR="00531550" w:rsidRPr="000D6356" w:rsidRDefault="00531550" w:rsidP="00E23217">
      <w:pPr>
        <w:pStyle w:val="headingb"/>
      </w:pPr>
      <w:r w:rsidRPr="000D6356">
        <w:t>Résumé</w:t>
      </w:r>
    </w:p>
    <w:p w14:paraId="08C2F707" w14:textId="77777777" w:rsidR="009B35F7" w:rsidRPr="000D6356" w:rsidRDefault="009B35F7" w:rsidP="009B35F7">
      <w:pPr>
        <w:rPr>
          <w:rFonts w:cs="Calibri"/>
          <w:sz w:val="22"/>
          <w:szCs w:val="22"/>
        </w:rPr>
      </w:pPr>
      <w:r w:rsidRPr="000D6356">
        <w:t>La Recommandation UIT-T Y.SC-DESMS définit les exigences et le cadre de l'architecture fonctionnelle du système de gestion du stockage décentralisé de l'énergie (DESMS). Elle fournit des orientations pour la conception, le développement et l'application du système DESMS fondé sur l'Internet des objets (IoT) pour les villes intelligentes. Les villes intelligentes imposent de nouvelles exigences en matière de systèmes énergétiques, notamment pour ce qui est de la fiabilité et de la propreté. Cela favorise l'adoption généralisée du stockage décentralisé de l'énergie (DES), améliorant la fiabilité de l'alimentation électrique et faisant progresser l'utilisation des énergies renouvelables. Avec les progrès de la technologie de l'Internet des objets (IoT), des systèmes de gestion DES fondés sur l'IoT (DESMS) ont été déployés dans certains pays et certaines régions.</w:t>
      </w:r>
    </w:p>
    <w:p w14:paraId="3B89FE96" w14:textId="3F87BC6E" w:rsidR="009B35F7" w:rsidRPr="000D6356" w:rsidRDefault="009B35F7" w:rsidP="009B35F7">
      <w:pPr>
        <w:pStyle w:val="Heading1"/>
      </w:pPr>
      <w:r w:rsidRPr="000D6356">
        <w:t>10</w:t>
      </w:r>
      <w:r w:rsidRPr="000D6356">
        <w:tab/>
        <w:t>Projet de nouvelle Recommandation UIT-T Y.4244 (</w:t>
      </w:r>
      <w:r w:rsidRPr="000D6356">
        <w:rPr>
          <w:rFonts w:cs="Calibri"/>
          <w:sz w:val="22"/>
          <w:szCs w:val="22"/>
        </w:rPr>
        <w:t>anciennement Y.EPWS-fc</w:t>
      </w:r>
      <w:r w:rsidRPr="000D6356">
        <w:t>) [Document </w:t>
      </w:r>
      <w:hyperlink r:id="rId24" w:history="1">
        <w:r w:rsidRPr="000D6356">
          <w:rPr>
            <w:rStyle w:val="Hyperlink"/>
          </w:rPr>
          <w:t>SG20</w:t>
        </w:r>
        <w:r w:rsidRPr="000D6356">
          <w:rPr>
            <w:rStyle w:val="Hyperlink"/>
          </w:rPr>
          <w:noBreakHyphen/>
          <w:t>R2</w:t>
        </w:r>
      </w:hyperlink>
      <w:r w:rsidRPr="000D6356">
        <w:rPr>
          <w:rStyle w:val="Hyperlink"/>
        </w:rPr>
        <w:t>1</w:t>
      </w:r>
      <w:r w:rsidRPr="000D6356">
        <w:t>]</w:t>
      </w:r>
    </w:p>
    <w:p w14:paraId="37F89A8F" w14:textId="6A40697F" w:rsidR="009B35F7" w:rsidRPr="000D6356" w:rsidRDefault="009B35F7" w:rsidP="009B35F7">
      <w:pPr>
        <w:pStyle w:val="headingb"/>
      </w:pPr>
      <w:r w:rsidRPr="000D6356">
        <w:t xml:space="preserve">Capacités fonctionnelles nécessaires à la prise en charge des services fondés sur l'Internet des objets pour l'exploitation de sites d'intervention électrique </w:t>
      </w:r>
    </w:p>
    <w:p w14:paraId="574E2029" w14:textId="77777777" w:rsidR="009B35F7" w:rsidRPr="000D6356" w:rsidRDefault="009B35F7" w:rsidP="009B35F7">
      <w:pPr>
        <w:pStyle w:val="headingb"/>
      </w:pPr>
      <w:r w:rsidRPr="000D6356">
        <w:t>Résumé</w:t>
      </w:r>
    </w:p>
    <w:p w14:paraId="0497ECF5" w14:textId="77777777" w:rsidR="009B35F7" w:rsidRPr="000D6356" w:rsidRDefault="009B35F7" w:rsidP="00842CA2">
      <w:pPr>
        <w:rPr>
          <w:rFonts w:cs="Calibri"/>
          <w:bCs/>
          <w:sz w:val="22"/>
          <w:szCs w:val="22"/>
        </w:rPr>
      </w:pPr>
      <w:r w:rsidRPr="000D6356">
        <w:t xml:space="preserve">Les sites d'intervention électrique sont au cœur de l'exploitation et de la maintenance de l'infrastructure d'alimentation électrique et jouent un rôle crucial pour assurer la sécurité des travailleurs et le fonctionnement stable du système d'alimentation électrique. La répartition à grande échelle, la collaboration multipoint ainsi que la complexité et la variabilité des sites d'intervention électrique ne suffisent pas pour répondre aux besoins concrets liés à la participation multi-parties prenantes. </w:t>
      </w:r>
    </w:p>
    <w:p w14:paraId="536A2A9A" w14:textId="6986ADBA" w:rsidR="009B35F7" w:rsidRPr="000D6356" w:rsidRDefault="009E27A8" w:rsidP="00842CA2">
      <w:pPr>
        <w:rPr>
          <w:rFonts w:cs="Calibri"/>
          <w:bCs/>
          <w:sz w:val="22"/>
          <w:szCs w:val="22"/>
        </w:rPr>
      </w:pPr>
      <w:r w:rsidRPr="000D6356">
        <w:t>Cette</w:t>
      </w:r>
      <w:r w:rsidR="009B35F7" w:rsidRPr="000D6356">
        <w:t xml:space="preserve"> Recommandation fournit les capacités fonctionnelles nécessaires à la prise en charge des services fondés sur l'Internet des objets (IoT) pour l'exploitation de sites d'intervention électrique (EPWS), y compris les concepts, les objectifs, les composants essentiels, les exigences et les capacités fonctionnelles. Des cas d'utilisation connexes des capacités fonctionnelles permettant de prendre en charge les services d'exploitation des sites EPWS fondés sur l'IoT sont présentés dans l'appendice.</w:t>
      </w:r>
    </w:p>
    <w:p w14:paraId="54CBD16E" w14:textId="4CC558A2" w:rsidR="00E23217" w:rsidRPr="000D6356" w:rsidRDefault="00E23217" w:rsidP="00531550">
      <w:pPr>
        <w:rPr>
          <w:bCs/>
        </w:rPr>
      </w:pPr>
      <w:r w:rsidRPr="000D6356">
        <w:rPr>
          <w:bCs/>
        </w:rPr>
        <w:br w:type="page"/>
      </w:r>
    </w:p>
    <w:p w14:paraId="73499497" w14:textId="77777777" w:rsidR="00842CA2" w:rsidRPr="000D6356" w:rsidRDefault="00E23217" w:rsidP="00E23217">
      <w:pPr>
        <w:pStyle w:val="AnnexTitle"/>
      </w:pPr>
      <w:r w:rsidRPr="000D6356">
        <w:lastRenderedPageBreak/>
        <w:t>ANNEXE 2</w:t>
      </w:r>
    </w:p>
    <w:p w14:paraId="7C2E09A5" w14:textId="35821151" w:rsidR="00E23217" w:rsidRPr="000D6356" w:rsidRDefault="00E23217" w:rsidP="00842CA2">
      <w:pPr>
        <w:pStyle w:val="AnnexTitle"/>
      </w:pPr>
      <w:r w:rsidRPr="000D6356">
        <w:t xml:space="preserve">Objet: Réponse des États Membres à la Circulaire TSB </w:t>
      </w:r>
      <w:r w:rsidR="009B35F7" w:rsidRPr="000D6356">
        <w:t>106</w:t>
      </w:r>
      <w:r w:rsidRPr="000D6356">
        <w:t>:</w:t>
      </w:r>
      <w:r w:rsidR="00842CA2" w:rsidRPr="000D6356">
        <w:br/>
      </w:r>
      <w:r w:rsidR="002B4BAC" w:rsidRPr="000D6356">
        <w:t>Consultation au sujet des textes</w:t>
      </w:r>
      <w:r w:rsidR="00842CA2" w:rsidRPr="000D6356">
        <w:t xml:space="preserve"> </w:t>
      </w:r>
      <w:r w:rsidR="002B4BAC" w:rsidRPr="000D6356">
        <w:t xml:space="preserve">déterminés des projets de Recommandations </w:t>
      </w:r>
      <w:r w:rsidR="009B35F7" w:rsidRPr="000D6356">
        <w:t>UIT-T Y.4241 (anciennement Y.dt-SComCam),</w:t>
      </w:r>
      <w:r w:rsidR="00842CA2" w:rsidRPr="000D6356">
        <w:t xml:space="preserve"> </w:t>
      </w:r>
      <w:r w:rsidR="009B35F7" w:rsidRPr="000D6356">
        <w:t>UIT-T Y.4242 (anciennement Y.energy-storage), UIT-T</w:t>
      </w:r>
      <w:r w:rsidR="00842CA2" w:rsidRPr="000D6356">
        <w:br/>
      </w:r>
      <w:r w:rsidR="009B35F7" w:rsidRPr="000D6356">
        <w:t>Y.4243 (anciennement</w:t>
      </w:r>
      <w:r w:rsidR="00842CA2" w:rsidRPr="000D6356">
        <w:t xml:space="preserve"> </w:t>
      </w:r>
      <w:r w:rsidR="009B35F7" w:rsidRPr="000D6356">
        <w:t>Y.IoT-smartschool), UIT-T Y.4244 (anciennement Y.EPWS-fc),</w:t>
      </w:r>
      <w:r w:rsidR="00842CA2" w:rsidRPr="000D6356">
        <w:br/>
      </w:r>
      <w:r w:rsidR="009B35F7" w:rsidRPr="000D6356">
        <w:t>UIT-T Y.4420,</w:t>
      </w:r>
      <w:r w:rsidR="00842CA2" w:rsidRPr="000D6356">
        <w:t xml:space="preserve"> </w:t>
      </w:r>
      <w:r w:rsidR="009B35F7" w:rsidRPr="000D6356">
        <w:t>UIT-T Y.4512 (anciennement Y.SC-DESMS), UIT-T Y.4614</w:t>
      </w:r>
      <w:r w:rsidR="00842CA2" w:rsidRPr="000D6356">
        <w:br/>
      </w:r>
      <w:r w:rsidR="009B35F7" w:rsidRPr="000D6356">
        <w:t>(anciennement</w:t>
      </w:r>
      <w:r w:rsidR="00842CA2" w:rsidRPr="000D6356">
        <w:t xml:space="preserve"> </w:t>
      </w:r>
      <w:r w:rsidR="009B35F7" w:rsidRPr="000D6356">
        <w:t>Y.CL-EDM), UIT-T Y.4815 (anciennement</w:t>
      </w:r>
      <w:r w:rsidR="000D6356" w:rsidRPr="000D6356">
        <w:br/>
      </w:r>
      <w:r w:rsidR="009B35F7" w:rsidRPr="000D6356">
        <w:t>Y.uas-dc-fr),</w:t>
      </w:r>
      <w:r w:rsidR="000D6356" w:rsidRPr="000D6356">
        <w:t xml:space="preserve"> </w:t>
      </w:r>
      <w:r w:rsidR="009B35F7" w:rsidRPr="000D6356">
        <w:t>UIT-T Y.4816</w:t>
      </w:r>
      <w:r w:rsidR="00842CA2" w:rsidRPr="000D6356">
        <w:t xml:space="preserve"> </w:t>
      </w:r>
      <w:r w:rsidR="009B35F7" w:rsidRPr="000D6356">
        <w:t>(anciennement Y.bsis-sec)</w:t>
      </w:r>
      <w:r w:rsidR="000D6356" w:rsidRPr="000D6356">
        <w:br/>
      </w:r>
      <w:r w:rsidR="009B35F7" w:rsidRPr="000D6356">
        <w:t>et UIT-T</w:t>
      </w:r>
      <w:r w:rsidR="000D6356" w:rsidRPr="000D6356">
        <w:t xml:space="preserve"> </w:t>
      </w:r>
      <w:r w:rsidR="009B35F7" w:rsidRPr="000D6356">
        <w:t>Y.4912 (anciennement Y.SNPG-ref)</w:t>
      </w:r>
    </w:p>
    <w:tbl>
      <w:tblPr>
        <w:tblW w:w="9960" w:type="dxa"/>
        <w:tblInd w:w="-176" w:type="dxa"/>
        <w:tblLayout w:type="fixed"/>
        <w:tblLook w:val="04A0" w:firstRow="1" w:lastRow="0" w:firstColumn="1" w:lastColumn="0" w:noHBand="0" w:noVBand="1"/>
      </w:tblPr>
      <w:tblGrid>
        <w:gridCol w:w="1310"/>
        <w:gridCol w:w="4255"/>
        <w:gridCol w:w="1274"/>
        <w:gridCol w:w="3121"/>
      </w:tblGrid>
      <w:tr w:rsidR="00E23217" w:rsidRPr="000D6356" w14:paraId="5E01FD81" w14:textId="77777777" w:rsidTr="00E674A3">
        <w:tc>
          <w:tcPr>
            <w:tcW w:w="1310" w:type="dxa"/>
            <w:hideMark/>
          </w:tcPr>
          <w:p w14:paraId="0D34E6DF" w14:textId="77777777" w:rsidR="00E23217" w:rsidRPr="000D6356" w:rsidRDefault="00E23217" w:rsidP="00390EC7">
            <w:pPr>
              <w:jc w:val="right"/>
              <w:rPr>
                <w:b/>
                <w:bCs/>
                <w:sz w:val="22"/>
                <w:szCs w:val="18"/>
              </w:rPr>
            </w:pPr>
            <w:r w:rsidRPr="000D6356">
              <w:rPr>
                <w:b/>
                <w:bCs/>
                <w:sz w:val="22"/>
                <w:szCs w:val="18"/>
              </w:rPr>
              <w:t>Au:</w:t>
            </w:r>
          </w:p>
        </w:tc>
        <w:tc>
          <w:tcPr>
            <w:tcW w:w="4255" w:type="dxa"/>
            <w:tcBorders>
              <w:top w:val="nil"/>
              <w:left w:val="nil"/>
              <w:bottom w:val="nil"/>
              <w:right w:val="single" w:sz="8" w:space="0" w:color="auto"/>
            </w:tcBorders>
            <w:hideMark/>
          </w:tcPr>
          <w:p w14:paraId="4189AA17" w14:textId="77777777" w:rsidR="00E23217" w:rsidRPr="000D6356" w:rsidRDefault="00E23217" w:rsidP="00E674A3">
            <w:pPr>
              <w:rPr>
                <w:bCs/>
                <w:sz w:val="22"/>
                <w:szCs w:val="18"/>
              </w:rPr>
            </w:pPr>
            <w:r w:rsidRPr="000D6356">
              <w:rPr>
                <w:bCs/>
                <w:sz w:val="22"/>
                <w:szCs w:val="18"/>
              </w:rPr>
              <w:t>Directeur du Bureau de la normalisation des télécommunications</w:t>
            </w:r>
          </w:p>
          <w:p w14:paraId="594F0D38" w14:textId="77777777" w:rsidR="00E23217" w:rsidRPr="000D6356" w:rsidRDefault="00E23217" w:rsidP="00E674A3">
            <w:pPr>
              <w:spacing w:before="0"/>
              <w:rPr>
                <w:bCs/>
                <w:sz w:val="22"/>
                <w:szCs w:val="18"/>
              </w:rPr>
            </w:pPr>
            <w:r w:rsidRPr="000D6356">
              <w:rPr>
                <w:bCs/>
                <w:sz w:val="22"/>
                <w:szCs w:val="18"/>
              </w:rPr>
              <w:t>Union internationale des télécommunications</w:t>
            </w:r>
          </w:p>
          <w:p w14:paraId="48BB0784" w14:textId="77777777" w:rsidR="00E23217" w:rsidRPr="000D6356" w:rsidRDefault="00E23217" w:rsidP="00E674A3">
            <w:pPr>
              <w:spacing w:before="0"/>
              <w:rPr>
                <w:bCs/>
                <w:sz w:val="22"/>
                <w:szCs w:val="18"/>
              </w:rPr>
            </w:pPr>
            <w:r w:rsidRPr="000D6356">
              <w:rPr>
                <w:bCs/>
                <w:sz w:val="22"/>
                <w:szCs w:val="18"/>
              </w:rPr>
              <w:t>Place des Nations</w:t>
            </w:r>
          </w:p>
          <w:p w14:paraId="4A1C3B8D" w14:textId="77777777" w:rsidR="00E23217" w:rsidRPr="000D6356" w:rsidRDefault="00E23217" w:rsidP="00E674A3">
            <w:pPr>
              <w:spacing w:before="0"/>
              <w:rPr>
                <w:bCs/>
                <w:sz w:val="22"/>
                <w:szCs w:val="18"/>
              </w:rPr>
            </w:pPr>
            <w:r w:rsidRPr="000D6356">
              <w:rPr>
                <w:bCs/>
                <w:sz w:val="22"/>
                <w:szCs w:val="18"/>
              </w:rPr>
              <w:t>CH-1211 Genève 20, Suisse</w:t>
            </w:r>
          </w:p>
        </w:tc>
        <w:tc>
          <w:tcPr>
            <w:tcW w:w="1274" w:type="dxa"/>
            <w:tcBorders>
              <w:top w:val="nil"/>
              <w:left w:val="single" w:sz="8" w:space="0" w:color="auto"/>
              <w:bottom w:val="nil"/>
              <w:right w:val="nil"/>
            </w:tcBorders>
            <w:hideMark/>
          </w:tcPr>
          <w:p w14:paraId="38257FF1" w14:textId="77777777" w:rsidR="00E23217" w:rsidRPr="000D6356" w:rsidRDefault="00E23217" w:rsidP="00390EC7">
            <w:pPr>
              <w:jc w:val="right"/>
              <w:rPr>
                <w:b/>
                <w:bCs/>
                <w:sz w:val="22"/>
                <w:szCs w:val="18"/>
              </w:rPr>
            </w:pPr>
            <w:r w:rsidRPr="000D6356">
              <w:rPr>
                <w:b/>
                <w:bCs/>
                <w:sz w:val="22"/>
                <w:szCs w:val="18"/>
              </w:rPr>
              <w:t>De:</w:t>
            </w:r>
          </w:p>
        </w:tc>
        <w:tc>
          <w:tcPr>
            <w:tcW w:w="3121" w:type="dxa"/>
            <w:hideMark/>
          </w:tcPr>
          <w:p w14:paraId="11AA13B9" w14:textId="77777777" w:rsidR="00E23217" w:rsidRPr="000D6356" w:rsidRDefault="00E23217" w:rsidP="00E674A3">
            <w:pPr>
              <w:rPr>
                <w:bCs/>
                <w:sz w:val="22"/>
                <w:szCs w:val="18"/>
                <w:highlight w:val="green"/>
              </w:rPr>
            </w:pPr>
            <w:r w:rsidRPr="000D6356">
              <w:rPr>
                <w:bCs/>
                <w:sz w:val="22"/>
                <w:szCs w:val="18"/>
                <w:highlight w:val="green"/>
              </w:rPr>
              <w:t>[Nom]</w:t>
            </w:r>
          </w:p>
          <w:p w14:paraId="44C36B83" w14:textId="77777777" w:rsidR="00E23217" w:rsidRPr="000D6356" w:rsidRDefault="00E23217" w:rsidP="00E674A3">
            <w:pPr>
              <w:spacing w:before="0"/>
              <w:rPr>
                <w:bCs/>
                <w:sz w:val="22"/>
                <w:szCs w:val="18"/>
                <w:highlight w:val="green"/>
              </w:rPr>
            </w:pPr>
            <w:r w:rsidRPr="000D6356">
              <w:rPr>
                <w:bCs/>
                <w:sz w:val="22"/>
                <w:szCs w:val="18"/>
                <w:highlight w:val="green"/>
              </w:rPr>
              <w:t>[Rôle/titre officiel]</w:t>
            </w:r>
          </w:p>
          <w:p w14:paraId="18004920" w14:textId="77777777" w:rsidR="00E23217" w:rsidRPr="000D6356" w:rsidRDefault="00E23217" w:rsidP="00E674A3">
            <w:pPr>
              <w:spacing w:before="0"/>
              <w:rPr>
                <w:bCs/>
                <w:sz w:val="22"/>
                <w:szCs w:val="18"/>
                <w:highlight w:val="green"/>
              </w:rPr>
            </w:pPr>
            <w:r w:rsidRPr="000D6356">
              <w:rPr>
                <w:bCs/>
                <w:sz w:val="22"/>
                <w:szCs w:val="18"/>
                <w:highlight w:val="green"/>
              </w:rPr>
              <w:t>[Adresse]</w:t>
            </w:r>
          </w:p>
        </w:tc>
      </w:tr>
      <w:tr w:rsidR="00E23217" w:rsidRPr="000D6356" w14:paraId="60C1D94E" w14:textId="77777777" w:rsidTr="00E674A3">
        <w:tc>
          <w:tcPr>
            <w:tcW w:w="1310" w:type="dxa"/>
            <w:hideMark/>
          </w:tcPr>
          <w:p w14:paraId="0D673680" w14:textId="77777777" w:rsidR="00E23217" w:rsidRPr="000D6356" w:rsidRDefault="00E23217" w:rsidP="00390EC7">
            <w:pPr>
              <w:jc w:val="right"/>
              <w:rPr>
                <w:bCs/>
                <w:sz w:val="22"/>
                <w:szCs w:val="18"/>
              </w:rPr>
            </w:pPr>
            <w:r w:rsidRPr="000D6356">
              <w:rPr>
                <w:b/>
                <w:bCs/>
                <w:sz w:val="22"/>
                <w:szCs w:val="18"/>
              </w:rPr>
              <w:t>Télécopie:</w:t>
            </w:r>
          </w:p>
        </w:tc>
        <w:tc>
          <w:tcPr>
            <w:tcW w:w="4255" w:type="dxa"/>
            <w:tcBorders>
              <w:top w:val="nil"/>
              <w:left w:val="nil"/>
              <w:bottom w:val="nil"/>
              <w:right w:val="single" w:sz="8" w:space="0" w:color="auto"/>
            </w:tcBorders>
            <w:hideMark/>
          </w:tcPr>
          <w:p w14:paraId="4BA290E9" w14:textId="77777777" w:rsidR="00E23217" w:rsidRPr="000D6356" w:rsidRDefault="00E23217" w:rsidP="00E674A3">
            <w:pPr>
              <w:rPr>
                <w:bCs/>
                <w:sz w:val="22"/>
                <w:szCs w:val="18"/>
              </w:rPr>
            </w:pPr>
            <w:r w:rsidRPr="000D6356">
              <w:rPr>
                <w:bCs/>
                <w:sz w:val="22"/>
                <w:szCs w:val="18"/>
              </w:rPr>
              <w:t>+41 22 730 5853</w:t>
            </w:r>
          </w:p>
        </w:tc>
        <w:tc>
          <w:tcPr>
            <w:tcW w:w="1274" w:type="dxa"/>
            <w:tcBorders>
              <w:top w:val="nil"/>
              <w:left w:val="single" w:sz="8" w:space="0" w:color="auto"/>
              <w:bottom w:val="nil"/>
              <w:right w:val="nil"/>
            </w:tcBorders>
            <w:hideMark/>
          </w:tcPr>
          <w:p w14:paraId="369E0E44" w14:textId="77777777" w:rsidR="00E23217" w:rsidRPr="000D6356" w:rsidRDefault="00E23217" w:rsidP="00390EC7">
            <w:pPr>
              <w:jc w:val="right"/>
              <w:rPr>
                <w:b/>
                <w:bCs/>
                <w:sz w:val="22"/>
                <w:szCs w:val="18"/>
              </w:rPr>
            </w:pPr>
            <w:r w:rsidRPr="000D6356">
              <w:rPr>
                <w:b/>
                <w:bCs/>
                <w:sz w:val="22"/>
                <w:szCs w:val="18"/>
              </w:rPr>
              <w:t>Télécopie:</w:t>
            </w:r>
          </w:p>
        </w:tc>
        <w:tc>
          <w:tcPr>
            <w:tcW w:w="3121" w:type="dxa"/>
          </w:tcPr>
          <w:p w14:paraId="68961573" w14:textId="77777777" w:rsidR="00E23217" w:rsidRPr="000D6356" w:rsidRDefault="00E23217" w:rsidP="00E674A3">
            <w:pPr>
              <w:rPr>
                <w:bCs/>
                <w:sz w:val="22"/>
                <w:szCs w:val="18"/>
                <w:highlight w:val="green"/>
              </w:rPr>
            </w:pPr>
          </w:p>
        </w:tc>
      </w:tr>
      <w:tr w:rsidR="00E23217" w:rsidRPr="000D6356" w14:paraId="61250F1C" w14:textId="77777777" w:rsidTr="00E674A3">
        <w:tc>
          <w:tcPr>
            <w:tcW w:w="1310" w:type="dxa"/>
            <w:hideMark/>
          </w:tcPr>
          <w:p w14:paraId="07BA8132" w14:textId="77777777" w:rsidR="00E23217" w:rsidRPr="000D6356" w:rsidRDefault="00E23217" w:rsidP="00390EC7">
            <w:pPr>
              <w:jc w:val="right"/>
              <w:rPr>
                <w:b/>
                <w:bCs/>
                <w:sz w:val="22"/>
                <w:szCs w:val="18"/>
              </w:rPr>
            </w:pPr>
            <w:r w:rsidRPr="000D6356">
              <w:rPr>
                <w:b/>
                <w:bCs/>
                <w:sz w:val="22"/>
                <w:szCs w:val="18"/>
              </w:rPr>
              <w:t>Courriel:</w:t>
            </w:r>
          </w:p>
        </w:tc>
        <w:tc>
          <w:tcPr>
            <w:tcW w:w="4255" w:type="dxa"/>
            <w:tcBorders>
              <w:top w:val="nil"/>
              <w:left w:val="nil"/>
              <w:bottom w:val="nil"/>
              <w:right w:val="single" w:sz="8" w:space="0" w:color="auto"/>
            </w:tcBorders>
            <w:hideMark/>
          </w:tcPr>
          <w:p w14:paraId="18FB184F" w14:textId="77777777" w:rsidR="00E23217" w:rsidRPr="000D6356" w:rsidRDefault="00E23217" w:rsidP="00E674A3">
            <w:pPr>
              <w:rPr>
                <w:bCs/>
                <w:sz w:val="22"/>
                <w:szCs w:val="18"/>
              </w:rPr>
            </w:pPr>
            <w:hyperlink r:id="rId25" w:history="1">
              <w:r w:rsidRPr="000D6356">
                <w:rPr>
                  <w:rStyle w:val="Hyperlink"/>
                  <w:bCs/>
                  <w:sz w:val="22"/>
                  <w:szCs w:val="18"/>
                </w:rPr>
                <w:t xml:space="preserve">tsbdir@itu.int </w:t>
              </w:r>
            </w:hyperlink>
          </w:p>
        </w:tc>
        <w:tc>
          <w:tcPr>
            <w:tcW w:w="1274" w:type="dxa"/>
            <w:tcBorders>
              <w:top w:val="nil"/>
              <w:left w:val="single" w:sz="8" w:space="0" w:color="auto"/>
              <w:bottom w:val="nil"/>
              <w:right w:val="nil"/>
            </w:tcBorders>
            <w:hideMark/>
          </w:tcPr>
          <w:p w14:paraId="73E04A90" w14:textId="77777777" w:rsidR="00E23217" w:rsidRPr="000D6356" w:rsidRDefault="00E23217" w:rsidP="00390EC7">
            <w:pPr>
              <w:jc w:val="right"/>
              <w:rPr>
                <w:b/>
                <w:bCs/>
                <w:sz w:val="22"/>
                <w:szCs w:val="18"/>
              </w:rPr>
            </w:pPr>
            <w:r w:rsidRPr="000D6356">
              <w:rPr>
                <w:b/>
                <w:bCs/>
                <w:sz w:val="22"/>
                <w:szCs w:val="18"/>
              </w:rPr>
              <w:t>Courriel:</w:t>
            </w:r>
          </w:p>
        </w:tc>
        <w:tc>
          <w:tcPr>
            <w:tcW w:w="3121" w:type="dxa"/>
          </w:tcPr>
          <w:p w14:paraId="7E997B88" w14:textId="77777777" w:rsidR="00E23217" w:rsidRPr="000D6356" w:rsidRDefault="00E23217" w:rsidP="00E674A3">
            <w:pPr>
              <w:rPr>
                <w:bCs/>
                <w:sz w:val="22"/>
                <w:szCs w:val="18"/>
                <w:highlight w:val="green"/>
              </w:rPr>
            </w:pPr>
          </w:p>
        </w:tc>
      </w:tr>
      <w:tr w:rsidR="00E23217" w:rsidRPr="000D6356" w14:paraId="498A82AB" w14:textId="77777777" w:rsidTr="00E674A3">
        <w:tc>
          <w:tcPr>
            <w:tcW w:w="1310" w:type="dxa"/>
          </w:tcPr>
          <w:p w14:paraId="65C18501" w14:textId="77777777" w:rsidR="00E23217" w:rsidRPr="000D6356" w:rsidRDefault="00E23217" w:rsidP="00E674A3">
            <w:pPr>
              <w:rPr>
                <w:bCs/>
                <w:sz w:val="22"/>
                <w:szCs w:val="18"/>
              </w:rPr>
            </w:pPr>
          </w:p>
        </w:tc>
        <w:tc>
          <w:tcPr>
            <w:tcW w:w="4255" w:type="dxa"/>
            <w:tcBorders>
              <w:top w:val="nil"/>
              <w:left w:val="nil"/>
              <w:bottom w:val="nil"/>
              <w:right w:val="single" w:sz="8" w:space="0" w:color="auto"/>
            </w:tcBorders>
          </w:tcPr>
          <w:p w14:paraId="4C185D6A" w14:textId="77777777" w:rsidR="00E23217" w:rsidRPr="000D6356" w:rsidRDefault="00E23217" w:rsidP="00E674A3">
            <w:pPr>
              <w:rPr>
                <w:bCs/>
                <w:sz w:val="22"/>
                <w:szCs w:val="18"/>
              </w:rPr>
            </w:pPr>
          </w:p>
        </w:tc>
        <w:tc>
          <w:tcPr>
            <w:tcW w:w="1274" w:type="dxa"/>
            <w:tcBorders>
              <w:top w:val="nil"/>
              <w:left w:val="single" w:sz="8" w:space="0" w:color="auto"/>
              <w:bottom w:val="nil"/>
              <w:right w:val="nil"/>
            </w:tcBorders>
            <w:hideMark/>
          </w:tcPr>
          <w:p w14:paraId="5DC4947B" w14:textId="77777777" w:rsidR="00E23217" w:rsidRPr="000D6356" w:rsidRDefault="00E23217" w:rsidP="00390EC7">
            <w:pPr>
              <w:jc w:val="right"/>
              <w:rPr>
                <w:b/>
                <w:bCs/>
                <w:sz w:val="22"/>
                <w:szCs w:val="18"/>
              </w:rPr>
            </w:pPr>
            <w:r w:rsidRPr="000D6356">
              <w:rPr>
                <w:b/>
                <w:bCs/>
                <w:sz w:val="22"/>
                <w:szCs w:val="18"/>
              </w:rPr>
              <w:t>Date:</w:t>
            </w:r>
          </w:p>
        </w:tc>
        <w:tc>
          <w:tcPr>
            <w:tcW w:w="3121" w:type="dxa"/>
            <w:hideMark/>
          </w:tcPr>
          <w:p w14:paraId="59811EE1" w14:textId="5A94EF12" w:rsidR="00E23217" w:rsidRPr="000D6356" w:rsidRDefault="00E23217" w:rsidP="00E674A3">
            <w:pPr>
              <w:rPr>
                <w:bCs/>
                <w:sz w:val="22"/>
                <w:szCs w:val="18"/>
                <w:highlight w:val="green"/>
              </w:rPr>
            </w:pPr>
            <w:r w:rsidRPr="000D6356">
              <w:rPr>
                <w:bCs/>
                <w:sz w:val="22"/>
                <w:szCs w:val="18"/>
                <w:highlight w:val="green"/>
              </w:rPr>
              <w:t>[Lieu]</w:t>
            </w:r>
            <w:r w:rsidR="000D6356" w:rsidRPr="000D6356">
              <w:rPr>
                <w:bCs/>
                <w:sz w:val="22"/>
                <w:szCs w:val="18"/>
                <w:highlight w:val="green"/>
              </w:rPr>
              <w:t>,</w:t>
            </w:r>
            <w:r w:rsidRPr="000D6356">
              <w:rPr>
                <w:bCs/>
                <w:sz w:val="22"/>
                <w:szCs w:val="18"/>
                <w:highlight w:val="green"/>
              </w:rPr>
              <w:t xml:space="preserve"> [Date]</w:t>
            </w:r>
          </w:p>
        </w:tc>
      </w:tr>
    </w:tbl>
    <w:p w14:paraId="61C3A74C" w14:textId="77777777" w:rsidR="00E23217" w:rsidRPr="000D6356" w:rsidRDefault="00E23217" w:rsidP="00E23217">
      <w:pPr>
        <w:pStyle w:val="Normalaftertitle"/>
      </w:pPr>
      <w:r w:rsidRPr="000D6356">
        <w:t>Madame, Monsieur,</w:t>
      </w:r>
    </w:p>
    <w:p w14:paraId="29F5EBE6" w14:textId="6C5B2BA0" w:rsidR="00E23217" w:rsidRPr="000D6356" w:rsidRDefault="00E23217" w:rsidP="00E23217">
      <w:pPr>
        <w:spacing w:after="120"/>
        <w:rPr>
          <w:bCs/>
        </w:rPr>
      </w:pPr>
      <w:r w:rsidRPr="000D6356">
        <w:rPr>
          <w:bCs/>
        </w:rPr>
        <w:t xml:space="preserve">Dans le cadre de la consultation des États Membres au sujet des projets de texte déterminé dont il est question dans la Circulaire TSB </w:t>
      </w:r>
      <w:r w:rsidR="009B35F7" w:rsidRPr="000D6356">
        <w:rPr>
          <w:bCs/>
        </w:rPr>
        <w:t>106</w:t>
      </w:r>
      <w:r w:rsidRPr="000D6356">
        <w:rPr>
          <w:bCs/>
        </w:rPr>
        <w:t xml:space="preserve">, </w:t>
      </w:r>
      <w:r w:rsidR="002B4BAC" w:rsidRPr="000D6356">
        <w:rPr>
          <w:bCs/>
        </w:rPr>
        <w:t>je souhaite vous faire connaître par la présente le point de vue de mon Administration, qui figure dans le tableau ci-après</w:t>
      </w:r>
      <w:r w:rsidRPr="000D6356">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7806"/>
      </w:tblGrid>
      <w:tr w:rsidR="00E23217" w:rsidRPr="000D6356" w14:paraId="5814072C" w14:textId="77777777" w:rsidTr="000D6356">
        <w:trPr>
          <w:tblHeader/>
        </w:trPr>
        <w:tc>
          <w:tcPr>
            <w:tcW w:w="1913" w:type="dxa"/>
            <w:tcBorders>
              <w:top w:val="single" w:sz="4" w:space="0" w:color="auto"/>
              <w:left w:val="single" w:sz="4" w:space="0" w:color="auto"/>
              <w:bottom w:val="single" w:sz="4" w:space="0" w:color="auto"/>
              <w:right w:val="single" w:sz="4" w:space="0" w:color="auto"/>
            </w:tcBorders>
            <w:vAlign w:val="center"/>
          </w:tcPr>
          <w:p w14:paraId="5A678F80" w14:textId="77777777" w:rsidR="00E23217" w:rsidRPr="000D6356" w:rsidRDefault="00E23217" w:rsidP="00E674A3">
            <w:pPr>
              <w:pStyle w:val="TableHead"/>
              <w:rPr>
                <w:szCs w:val="22"/>
              </w:rPr>
            </w:pPr>
          </w:p>
        </w:tc>
        <w:tc>
          <w:tcPr>
            <w:tcW w:w="7806" w:type="dxa"/>
            <w:tcBorders>
              <w:top w:val="single" w:sz="4" w:space="0" w:color="auto"/>
              <w:left w:val="single" w:sz="4" w:space="0" w:color="auto"/>
              <w:bottom w:val="single" w:sz="4" w:space="0" w:color="auto"/>
              <w:right w:val="single" w:sz="4" w:space="0" w:color="auto"/>
            </w:tcBorders>
            <w:vAlign w:val="center"/>
            <w:hideMark/>
          </w:tcPr>
          <w:p w14:paraId="51F8FD23" w14:textId="77777777" w:rsidR="00E23217" w:rsidRPr="000D6356" w:rsidRDefault="00E23217" w:rsidP="00E674A3">
            <w:pPr>
              <w:pStyle w:val="TableHead"/>
              <w:rPr>
                <w:szCs w:val="22"/>
              </w:rPr>
            </w:pPr>
            <w:r w:rsidRPr="000D6356">
              <w:rPr>
                <w:szCs w:val="22"/>
              </w:rPr>
              <w:t>Cochez l'une des deux cases pour chaque texte</w:t>
            </w:r>
          </w:p>
        </w:tc>
      </w:tr>
      <w:tr w:rsidR="00E23217" w:rsidRPr="000D6356" w14:paraId="6B7F55D0" w14:textId="77777777" w:rsidTr="000D6356">
        <w:trPr>
          <w:trHeight w:val="748"/>
        </w:trPr>
        <w:tc>
          <w:tcPr>
            <w:tcW w:w="1913" w:type="dxa"/>
            <w:vMerge w:val="restart"/>
            <w:tcBorders>
              <w:top w:val="single" w:sz="4" w:space="0" w:color="auto"/>
              <w:left w:val="single" w:sz="4" w:space="0" w:color="auto"/>
              <w:bottom w:val="single" w:sz="4" w:space="0" w:color="auto"/>
              <w:right w:val="single" w:sz="4" w:space="0" w:color="auto"/>
            </w:tcBorders>
            <w:vAlign w:val="center"/>
            <w:hideMark/>
          </w:tcPr>
          <w:p w14:paraId="13640C90" w14:textId="60F02FE3" w:rsidR="00E23217" w:rsidRPr="000D6356" w:rsidRDefault="002B4BAC" w:rsidP="00E674A3">
            <w:pPr>
              <w:pStyle w:val="TableText"/>
              <w:jc w:val="center"/>
              <w:rPr>
                <w:b/>
                <w:bCs/>
                <w:szCs w:val="22"/>
              </w:rPr>
            </w:pPr>
            <w:r w:rsidRPr="000D6356">
              <w:rPr>
                <w:b/>
                <w:bCs/>
                <w:szCs w:val="22"/>
              </w:rPr>
              <w:t xml:space="preserve">Projet de nouvelle Recommandation </w:t>
            </w:r>
            <w:r w:rsidR="009B35F7" w:rsidRPr="000D6356">
              <w:rPr>
                <w:b/>
                <w:bCs/>
                <w:szCs w:val="22"/>
              </w:rPr>
              <w:t>UIT-T Y.4241 (anciennement</w:t>
            </w:r>
            <w:r w:rsidR="000D6356" w:rsidRPr="000D6356">
              <w:rPr>
                <w:b/>
                <w:bCs/>
                <w:szCs w:val="22"/>
              </w:rPr>
              <w:br/>
            </w:r>
            <w:r w:rsidR="009B35F7" w:rsidRPr="000D6356">
              <w:rPr>
                <w:b/>
                <w:bCs/>
                <w:szCs w:val="22"/>
              </w:rPr>
              <w:t>Y.dt-SComCam</w:t>
            </w:r>
            <w:r w:rsidRPr="000D6356">
              <w:rPr>
                <w:b/>
                <w:bCs/>
                <w:szCs w:val="22"/>
              </w:rPr>
              <w:t>)</w:t>
            </w:r>
          </w:p>
        </w:tc>
        <w:tc>
          <w:tcPr>
            <w:tcW w:w="7806" w:type="dxa"/>
            <w:tcBorders>
              <w:top w:val="single" w:sz="4" w:space="0" w:color="auto"/>
              <w:left w:val="single" w:sz="4" w:space="0" w:color="auto"/>
              <w:bottom w:val="single" w:sz="4" w:space="0" w:color="auto"/>
              <w:right w:val="single" w:sz="4" w:space="0" w:color="auto"/>
            </w:tcBorders>
            <w:vAlign w:val="center"/>
            <w:hideMark/>
          </w:tcPr>
          <w:p w14:paraId="0042A12C" w14:textId="789D8AE4" w:rsidR="00E23217" w:rsidRPr="000D6356" w:rsidRDefault="00E23217" w:rsidP="000D6356">
            <w:pPr>
              <w:pStyle w:val="enumlev1"/>
              <w:tabs>
                <w:tab w:val="clear" w:pos="794"/>
              </w:tabs>
              <w:ind w:left="526" w:hanging="526"/>
              <w:rPr>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b/>
                <w:bCs/>
                <w:sz w:val="22"/>
                <w:szCs w:val="22"/>
              </w:rPr>
              <w:t>Autorise</w:t>
            </w:r>
            <w:r w:rsidRPr="000D6356">
              <w:rPr>
                <w:sz w:val="22"/>
                <w:szCs w:val="22"/>
              </w:rPr>
              <w:t xml:space="preserve"> la Commission d'études 2</w:t>
            </w:r>
            <w:r w:rsidR="002B4BAC" w:rsidRPr="000D6356">
              <w:rPr>
                <w:sz w:val="22"/>
                <w:szCs w:val="22"/>
              </w:rPr>
              <w:t>0</w:t>
            </w:r>
            <w:r w:rsidRPr="000D6356">
              <w:rPr>
                <w:sz w:val="22"/>
                <w:szCs w:val="22"/>
              </w:rPr>
              <w:t xml:space="preserve"> à procéder à l'examen de ce document en vue de son approbation (dans ce cas, sélectionnez l'une des deux options):</w:t>
            </w:r>
          </w:p>
          <w:p w14:paraId="172DB295" w14:textId="77777777" w:rsidR="00E23217" w:rsidRPr="000D6356" w:rsidRDefault="00E23217" w:rsidP="000D6356">
            <w:pPr>
              <w:pStyle w:val="enumlev2"/>
              <w:tabs>
                <w:tab w:val="clear" w:pos="794"/>
                <w:tab w:val="clear" w:pos="1191"/>
              </w:tabs>
              <w:ind w:left="928"/>
              <w:rPr>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t>Pas de commentaire ou de proposition de modification.</w:t>
            </w:r>
          </w:p>
          <w:p w14:paraId="4F28CE4E" w14:textId="77777777" w:rsidR="00E23217" w:rsidRPr="000D6356" w:rsidRDefault="00E23217" w:rsidP="000D6356">
            <w:pPr>
              <w:pStyle w:val="enumlev2"/>
              <w:tabs>
                <w:tab w:val="clear" w:pos="794"/>
                <w:tab w:val="clear" w:pos="1191"/>
              </w:tabs>
              <w:ind w:left="928"/>
              <w:rPr>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t>Des commentaires ou propositions de modification sont joints à la présente.</w:t>
            </w:r>
          </w:p>
        </w:tc>
      </w:tr>
      <w:tr w:rsidR="00E23217" w:rsidRPr="000D6356" w14:paraId="07826ECB" w14:textId="77777777" w:rsidTr="000D6356">
        <w:trPr>
          <w:trHeight w:val="747"/>
        </w:trPr>
        <w:tc>
          <w:tcPr>
            <w:tcW w:w="1913" w:type="dxa"/>
            <w:vMerge/>
            <w:tcBorders>
              <w:top w:val="single" w:sz="4" w:space="0" w:color="auto"/>
              <w:left w:val="single" w:sz="4" w:space="0" w:color="auto"/>
              <w:bottom w:val="single" w:sz="4" w:space="0" w:color="auto"/>
              <w:right w:val="single" w:sz="4" w:space="0" w:color="auto"/>
            </w:tcBorders>
            <w:vAlign w:val="center"/>
            <w:hideMark/>
          </w:tcPr>
          <w:p w14:paraId="0F0C09EC" w14:textId="77777777" w:rsidR="00E23217" w:rsidRPr="000D6356" w:rsidRDefault="00E23217" w:rsidP="00E674A3">
            <w:pPr>
              <w:pStyle w:val="TableText"/>
              <w:jc w:val="center"/>
              <w:rPr>
                <w:b/>
                <w:bCs/>
                <w:szCs w:val="22"/>
              </w:rPr>
            </w:pPr>
          </w:p>
        </w:tc>
        <w:tc>
          <w:tcPr>
            <w:tcW w:w="7806" w:type="dxa"/>
            <w:tcBorders>
              <w:top w:val="single" w:sz="4" w:space="0" w:color="auto"/>
              <w:left w:val="single" w:sz="4" w:space="0" w:color="auto"/>
              <w:bottom w:val="single" w:sz="4" w:space="0" w:color="auto"/>
              <w:right w:val="single" w:sz="4" w:space="0" w:color="auto"/>
            </w:tcBorders>
            <w:vAlign w:val="center"/>
            <w:hideMark/>
          </w:tcPr>
          <w:p w14:paraId="5BE551DD" w14:textId="66103F69" w:rsidR="00E23217" w:rsidRPr="000D6356" w:rsidRDefault="00E23217" w:rsidP="000D6356">
            <w:pPr>
              <w:pStyle w:val="enumlev1"/>
              <w:tabs>
                <w:tab w:val="clear" w:pos="794"/>
              </w:tabs>
              <w:ind w:left="526" w:hanging="526"/>
              <w:rPr>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b/>
                <w:bCs/>
                <w:sz w:val="22"/>
                <w:szCs w:val="22"/>
              </w:rPr>
              <w:t>N'autorise pas</w:t>
            </w:r>
            <w:r w:rsidRPr="000D6356">
              <w:rPr>
                <w:sz w:val="22"/>
                <w:szCs w:val="22"/>
              </w:rPr>
              <w:t xml:space="preserve"> la Commission d'études 2</w:t>
            </w:r>
            <w:r w:rsidR="002B4BAC" w:rsidRPr="000D6356">
              <w:rPr>
                <w:sz w:val="22"/>
                <w:szCs w:val="22"/>
              </w:rPr>
              <w:t>0</w:t>
            </w:r>
            <w:r w:rsidRPr="000D6356">
              <w:rPr>
                <w:sz w:val="22"/>
                <w:szCs w:val="22"/>
              </w:rPr>
              <w:t xml:space="preserve"> à procéder à l'examen de ce document en vue de son approbation (les motifs de cette décision et une description des éventuelles modifications qui permettraient la poursuite des travaux sont joints à la présente)</w:t>
            </w:r>
            <w:r w:rsidR="00976724" w:rsidRPr="000D6356">
              <w:rPr>
                <w:sz w:val="22"/>
                <w:szCs w:val="22"/>
              </w:rPr>
              <w:t>.</w:t>
            </w:r>
          </w:p>
        </w:tc>
      </w:tr>
      <w:tr w:rsidR="00E23217" w:rsidRPr="000D6356" w14:paraId="6A9ECA8F" w14:textId="77777777" w:rsidTr="000D6356">
        <w:trPr>
          <w:trHeight w:val="748"/>
        </w:trPr>
        <w:tc>
          <w:tcPr>
            <w:tcW w:w="1913" w:type="dxa"/>
            <w:vMerge w:val="restart"/>
            <w:tcBorders>
              <w:top w:val="single" w:sz="4" w:space="0" w:color="auto"/>
              <w:left w:val="single" w:sz="4" w:space="0" w:color="auto"/>
              <w:bottom w:val="single" w:sz="4" w:space="0" w:color="auto"/>
              <w:right w:val="single" w:sz="4" w:space="0" w:color="auto"/>
            </w:tcBorders>
            <w:vAlign w:val="center"/>
            <w:hideMark/>
          </w:tcPr>
          <w:p w14:paraId="31E11D9D" w14:textId="2FF34A94" w:rsidR="00E23217" w:rsidRPr="000D6356" w:rsidRDefault="002B4BAC" w:rsidP="00E674A3">
            <w:pPr>
              <w:pStyle w:val="TableText"/>
              <w:jc w:val="center"/>
              <w:rPr>
                <w:b/>
                <w:bCs/>
                <w:szCs w:val="22"/>
              </w:rPr>
            </w:pPr>
            <w:r w:rsidRPr="000D6356">
              <w:rPr>
                <w:b/>
                <w:bCs/>
                <w:szCs w:val="22"/>
              </w:rPr>
              <w:t xml:space="preserve">Projet de nouvelle Recommandation UIT-T </w:t>
            </w:r>
            <w:r w:rsidR="009B35F7" w:rsidRPr="000D6356">
              <w:rPr>
                <w:b/>
                <w:bCs/>
                <w:szCs w:val="22"/>
              </w:rPr>
              <w:t>Y.4242 (anciennement Y.energy-storage</w:t>
            </w:r>
            <w:r w:rsidRPr="000D6356">
              <w:rPr>
                <w:b/>
                <w:bCs/>
                <w:szCs w:val="22"/>
              </w:rPr>
              <w:t>)</w:t>
            </w:r>
          </w:p>
        </w:tc>
        <w:tc>
          <w:tcPr>
            <w:tcW w:w="7806" w:type="dxa"/>
            <w:tcBorders>
              <w:top w:val="single" w:sz="4" w:space="0" w:color="auto"/>
              <w:left w:val="single" w:sz="4" w:space="0" w:color="auto"/>
              <w:bottom w:val="single" w:sz="4" w:space="0" w:color="auto"/>
              <w:right w:val="single" w:sz="4" w:space="0" w:color="auto"/>
            </w:tcBorders>
            <w:vAlign w:val="center"/>
            <w:hideMark/>
          </w:tcPr>
          <w:p w14:paraId="2439EEE5" w14:textId="16969DB2" w:rsidR="00E23217" w:rsidRPr="000D6356" w:rsidRDefault="00E23217" w:rsidP="000D6356">
            <w:pPr>
              <w:pStyle w:val="enumlev1"/>
              <w:tabs>
                <w:tab w:val="clear" w:pos="794"/>
              </w:tabs>
              <w:ind w:left="526" w:hanging="526"/>
              <w:rPr>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b/>
                <w:bCs/>
                <w:sz w:val="22"/>
                <w:szCs w:val="22"/>
              </w:rPr>
              <w:t>Autorise</w:t>
            </w:r>
            <w:r w:rsidRPr="000D6356">
              <w:rPr>
                <w:sz w:val="22"/>
                <w:szCs w:val="22"/>
              </w:rPr>
              <w:t xml:space="preserve"> la Commission d'études 2</w:t>
            </w:r>
            <w:r w:rsidR="002B4BAC" w:rsidRPr="000D6356">
              <w:rPr>
                <w:sz w:val="22"/>
                <w:szCs w:val="22"/>
              </w:rPr>
              <w:t>0</w:t>
            </w:r>
            <w:r w:rsidRPr="000D6356">
              <w:rPr>
                <w:sz w:val="22"/>
                <w:szCs w:val="22"/>
              </w:rPr>
              <w:t xml:space="preserve"> à procéder à l'examen de ce document en vue de son approbation (dans ce cas, sélectionnez l'une des deux options):</w:t>
            </w:r>
          </w:p>
          <w:p w14:paraId="5D8E9F61" w14:textId="77777777" w:rsidR="00E23217" w:rsidRPr="000D6356" w:rsidRDefault="00E23217" w:rsidP="000D6356">
            <w:pPr>
              <w:pStyle w:val="enumlev2"/>
              <w:tabs>
                <w:tab w:val="clear" w:pos="794"/>
                <w:tab w:val="clear" w:pos="1191"/>
              </w:tabs>
              <w:ind w:left="928"/>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rFonts w:cstheme="minorHAnsi"/>
                <w:sz w:val="22"/>
                <w:szCs w:val="22"/>
              </w:rPr>
              <w:tab/>
              <w:t>Pas de commentaire ou de proposition de modification.</w:t>
            </w:r>
          </w:p>
          <w:p w14:paraId="4385446C" w14:textId="77777777" w:rsidR="00E23217" w:rsidRPr="000D6356" w:rsidRDefault="00E23217" w:rsidP="000D6356">
            <w:pPr>
              <w:pStyle w:val="enumlev2"/>
              <w:tabs>
                <w:tab w:val="clear" w:pos="794"/>
                <w:tab w:val="clear" w:pos="1191"/>
              </w:tabs>
              <w:ind w:left="928"/>
              <w:rPr>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rFonts w:cstheme="minorHAnsi"/>
                <w:sz w:val="22"/>
                <w:szCs w:val="22"/>
              </w:rPr>
              <w:tab/>
              <w:t>Des commentaires ou propositions de modification sont joints à la présente.</w:t>
            </w:r>
          </w:p>
        </w:tc>
      </w:tr>
      <w:tr w:rsidR="00E23217" w:rsidRPr="000D6356" w14:paraId="7B4F2977" w14:textId="77777777" w:rsidTr="000D6356">
        <w:trPr>
          <w:trHeight w:val="747"/>
        </w:trPr>
        <w:tc>
          <w:tcPr>
            <w:tcW w:w="1913" w:type="dxa"/>
            <w:vMerge/>
            <w:tcBorders>
              <w:top w:val="single" w:sz="4" w:space="0" w:color="auto"/>
              <w:left w:val="single" w:sz="4" w:space="0" w:color="auto"/>
              <w:bottom w:val="single" w:sz="4" w:space="0" w:color="auto"/>
              <w:right w:val="single" w:sz="4" w:space="0" w:color="auto"/>
            </w:tcBorders>
            <w:vAlign w:val="center"/>
            <w:hideMark/>
          </w:tcPr>
          <w:p w14:paraId="68CDBC4B" w14:textId="77777777" w:rsidR="00E23217" w:rsidRPr="000D6356" w:rsidRDefault="00E23217" w:rsidP="00E674A3">
            <w:pPr>
              <w:pStyle w:val="TableText"/>
              <w:rPr>
                <w:szCs w:val="22"/>
              </w:rPr>
            </w:pPr>
          </w:p>
        </w:tc>
        <w:tc>
          <w:tcPr>
            <w:tcW w:w="7806" w:type="dxa"/>
            <w:tcBorders>
              <w:top w:val="single" w:sz="4" w:space="0" w:color="auto"/>
              <w:left w:val="single" w:sz="4" w:space="0" w:color="auto"/>
              <w:bottom w:val="single" w:sz="4" w:space="0" w:color="auto"/>
              <w:right w:val="single" w:sz="4" w:space="0" w:color="auto"/>
            </w:tcBorders>
            <w:vAlign w:val="center"/>
            <w:hideMark/>
          </w:tcPr>
          <w:p w14:paraId="37BD7C1D" w14:textId="185D9A08" w:rsidR="00E23217" w:rsidRPr="000D6356" w:rsidRDefault="00E23217" w:rsidP="000D6356">
            <w:pPr>
              <w:pStyle w:val="enumlev1"/>
              <w:tabs>
                <w:tab w:val="clear" w:pos="794"/>
              </w:tabs>
              <w:ind w:left="526" w:hanging="526"/>
              <w:rPr>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b/>
                <w:bCs/>
                <w:sz w:val="22"/>
                <w:szCs w:val="22"/>
              </w:rPr>
              <w:t>N'autorise pas</w:t>
            </w:r>
            <w:r w:rsidRPr="000D6356">
              <w:rPr>
                <w:sz w:val="22"/>
                <w:szCs w:val="22"/>
              </w:rPr>
              <w:t xml:space="preserve"> la Commission d'études 2</w:t>
            </w:r>
            <w:r w:rsidR="002B4BAC" w:rsidRPr="000D6356">
              <w:rPr>
                <w:sz w:val="22"/>
                <w:szCs w:val="22"/>
              </w:rPr>
              <w:t>0</w:t>
            </w:r>
            <w:r w:rsidRPr="000D6356">
              <w:rPr>
                <w:sz w:val="22"/>
                <w:szCs w:val="22"/>
              </w:rPr>
              <w:t xml:space="preserve"> à procéder à l'examen de ce document en vue de son approbation (les motifs de cette décision et une description des éventuelles modifications qui permettraient la poursuite des travaux sont joints à la présente)</w:t>
            </w:r>
            <w:r w:rsidR="00976724" w:rsidRPr="000D6356">
              <w:rPr>
                <w:sz w:val="22"/>
                <w:szCs w:val="22"/>
              </w:rPr>
              <w:t>.</w:t>
            </w:r>
          </w:p>
        </w:tc>
      </w:tr>
      <w:tr w:rsidR="002B4BAC" w:rsidRPr="000D6356" w14:paraId="6084FC35" w14:textId="77777777" w:rsidTr="000D6356">
        <w:trPr>
          <w:trHeight w:val="747"/>
        </w:trPr>
        <w:tc>
          <w:tcPr>
            <w:tcW w:w="1913" w:type="dxa"/>
            <w:vMerge w:val="restart"/>
            <w:tcBorders>
              <w:top w:val="single" w:sz="4" w:space="0" w:color="auto"/>
              <w:left w:val="single" w:sz="4" w:space="0" w:color="auto"/>
              <w:right w:val="single" w:sz="4" w:space="0" w:color="auto"/>
            </w:tcBorders>
            <w:vAlign w:val="center"/>
          </w:tcPr>
          <w:p w14:paraId="0BE0F796" w14:textId="086A485A" w:rsidR="002B4BAC" w:rsidRPr="000D6356" w:rsidRDefault="002B4BAC" w:rsidP="000D6356">
            <w:pPr>
              <w:pStyle w:val="TableText"/>
              <w:keepLines/>
              <w:tabs>
                <w:tab w:val="clear" w:pos="1701"/>
              </w:tabs>
              <w:ind w:right="-26"/>
              <w:jc w:val="center"/>
              <w:rPr>
                <w:b/>
                <w:bCs/>
                <w:szCs w:val="22"/>
              </w:rPr>
            </w:pPr>
            <w:r w:rsidRPr="000D6356">
              <w:rPr>
                <w:b/>
                <w:bCs/>
                <w:szCs w:val="22"/>
              </w:rPr>
              <w:t xml:space="preserve">Projet de nouvelle Recommandation UIT-T </w:t>
            </w:r>
            <w:r w:rsidR="009B35F7" w:rsidRPr="000D6356">
              <w:rPr>
                <w:b/>
                <w:bCs/>
                <w:szCs w:val="22"/>
              </w:rPr>
              <w:t>Y.4243 (anciennement Y.IoT</w:t>
            </w:r>
            <w:r w:rsidR="000D6356" w:rsidRPr="000D6356">
              <w:rPr>
                <w:b/>
                <w:bCs/>
                <w:szCs w:val="22"/>
              </w:rPr>
              <w:noBreakHyphen/>
            </w:r>
            <w:r w:rsidR="009B35F7" w:rsidRPr="000D6356">
              <w:rPr>
                <w:b/>
                <w:bCs/>
                <w:szCs w:val="22"/>
              </w:rPr>
              <w:t>smartschool</w:t>
            </w:r>
            <w:r w:rsidRPr="000D6356">
              <w:rPr>
                <w:b/>
                <w:bCs/>
                <w:szCs w:val="22"/>
              </w:rPr>
              <w:t>)</w:t>
            </w:r>
          </w:p>
        </w:tc>
        <w:tc>
          <w:tcPr>
            <w:tcW w:w="7806" w:type="dxa"/>
            <w:tcBorders>
              <w:top w:val="single" w:sz="4" w:space="0" w:color="auto"/>
              <w:left w:val="single" w:sz="4" w:space="0" w:color="auto"/>
              <w:bottom w:val="single" w:sz="4" w:space="0" w:color="auto"/>
              <w:right w:val="single" w:sz="4" w:space="0" w:color="auto"/>
            </w:tcBorders>
            <w:vAlign w:val="center"/>
          </w:tcPr>
          <w:p w14:paraId="32C1BC59" w14:textId="77777777" w:rsidR="002B4BAC" w:rsidRPr="000D6356" w:rsidRDefault="002B4BAC" w:rsidP="000D6356">
            <w:pPr>
              <w:pStyle w:val="enumlev1"/>
              <w:keepNext/>
              <w:keepLines/>
              <w:tabs>
                <w:tab w:val="clear" w:pos="794"/>
              </w:tabs>
              <w:ind w:left="527" w:hanging="527"/>
              <w:rPr>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b/>
                <w:bCs/>
                <w:sz w:val="22"/>
                <w:szCs w:val="22"/>
              </w:rPr>
              <w:t>Autorise</w:t>
            </w:r>
            <w:r w:rsidRPr="000D6356">
              <w:rPr>
                <w:sz w:val="22"/>
                <w:szCs w:val="22"/>
              </w:rPr>
              <w:t xml:space="preserve"> la Commission d'études 20 à procéder à l'examen de ce document en vue de son approbation (dans ce cas, sélectionnez l'une des deux options):</w:t>
            </w:r>
          </w:p>
          <w:p w14:paraId="4D636E29" w14:textId="77777777" w:rsidR="002B4BAC" w:rsidRPr="000D6356" w:rsidRDefault="002B4BAC" w:rsidP="000D6356">
            <w:pPr>
              <w:pStyle w:val="enumlev2"/>
              <w:tabs>
                <w:tab w:val="clear" w:pos="794"/>
                <w:tab w:val="clear" w:pos="1191"/>
              </w:tabs>
              <w:ind w:left="928"/>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rFonts w:cstheme="minorHAnsi"/>
                <w:sz w:val="22"/>
                <w:szCs w:val="22"/>
              </w:rPr>
              <w:t>Pas de commentaire ou de proposition de modification.</w:t>
            </w:r>
          </w:p>
          <w:p w14:paraId="5086DACE" w14:textId="7A85EDD6" w:rsidR="002B4BAC" w:rsidRPr="000D6356" w:rsidRDefault="002B4BAC" w:rsidP="000D6356">
            <w:pPr>
              <w:pStyle w:val="enumlev2"/>
              <w:tabs>
                <w:tab w:val="clear" w:pos="794"/>
                <w:tab w:val="clear" w:pos="1191"/>
              </w:tabs>
              <w:ind w:left="928"/>
              <w:rPr>
                <w:rFonts w:cstheme="minorHAnsi"/>
                <w:sz w:val="22"/>
                <w:szCs w:val="22"/>
              </w:rPr>
            </w:pPr>
            <w:r w:rsidRPr="000D6356">
              <w:rPr>
                <w:rFonts w:cstheme="minorHAnsi"/>
                <w:sz w:val="22"/>
                <w:szCs w:val="22"/>
              </w:rPr>
              <w:lastRenderedPageBreak/>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rFonts w:cstheme="minorHAnsi"/>
                <w:sz w:val="22"/>
                <w:szCs w:val="22"/>
              </w:rPr>
              <w:tab/>
              <w:t>Des commentaires ou propositions de modification sont joints à la présente.</w:t>
            </w:r>
          </w:p>
        </w:tc>
      </w:tr>
      <w:tr w:rsidR="002B4BAC" w:rsidRPr="000D6356" w14:paraId="70CF6B45" w14:textId="77777777" w:rsidTr="000D6356">
        <w:trPr>
          <w:trHeight w:val="747"/>
        </w:trPr>
        <w:tc>
          <w:tcPr>
            <w:tcW w:w="1913" w:type="dxa"/>
            <w:vMerge/>
            <w:tcBorders>
              <w:left w:val="single" w:sz="4" w:space="0" w:color="auto"/>
              <w:bottom w:val="single" w:sz="4" w:space="0" w:color="auto"/>
              <w:right w:val="single" w:sz="4" w:space="0" w:color="auto"/>
            </w:tcBorders>
            <w:vAlign w:val="center"/>
          </w:tcPr>
          <w:p w14:paraId="1C75486E" w14:textId="77777777" w:rsidR="002B4BAC" w:rsidRPr="000D6356" w:rsidRDefault="002B4BAC" w:rsidP="00E674A3">
            <w:pPr>
              <w:pStyle w:val="TableText"/>
              <w:rPr>
                <w:szCs w:val="22"/>
              </w:rPr>
            </w:pPr>
          </w:p>
        </w:tc>
        <w:tc>
          <w:tcPr>
            <w:tcW w:w="7806" w:type="dxa"/>
            <w:tcBorders>
              <w:top w:val="single" w:sz="4" w:space="0" w:color="auto"/>
              <w:left w:val="single" w:sz="4" w:space="0" w:color="auto"/>
              <w:bottom w:val="single" w:sz="4" w:space="0" w:color="auto"/>
              <w:right w:val="single" w:sz="4" w:space="0" w:color="auto"/>
            </w:tcBorders>
            <w:vAlign w:val="center"/>
          </w:tcPr>
          <w:p w14:paraId="5A685D48" w14:textId="59EAD42F" w:rsidR="002B4BAC" w:rsidRPr="000D6356" w:rsidRDefault="002B4BAC" w:rsidP="000D6356">
            <w:pPr>
              <w:pStyle w:val="enumlev1"/>
              <w:tabs>
                <w:tab w:val="clear" w:pos="794"/>
              </w:tabs>
              <w:ind w:left="526" w:hanging="526"/>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b/>
                <w:bCs/>
                <w:sz w:val="22"/>
                <w:szCs w:val="22"/>
              </w:rPr>
              <w:t>N'autorise pas</w:t>
            </w:r>
            <w:r w:rsidRPr="000D6356">
              <w:rPr>
                <w:sz w:val="22"/>
                <w:szCs w:val="22"/>
              </w:rPr>
              <w:t xml:space="preserve"> la Commission d'études 20 à procéder à l'examen de ce document en vue de son approbation (les motifs de cette décision et une description des éventuelles modifications qui permettraient la poursuite des travaux sont joints à la présente)</w:t>
            </w:r>
            <w:r w:rsidR="00976724" w:rsidRPr="000D6356">
              <w:rPr>
                <w:sz w:val="22"/>
                <w:szCs w:val="22"/>
              </w:rPr>
              <w:t>.</w:t>
            </w:r>
          </w:p>
        </w:tc>
      </w:tr>
      <w:tr w:rsidR="002A44C1" w:rsidRPr="000D6356" w14:paraId="77E32E2C" w14:textId="77777777" w:rsidTr="000D6356">
        <w:trPr>
          <w:trHeight w:val="747"/>
        </w:trPr>
        <w:tc>
          <w:tcPr>
            <w:tcW w:w="1913" w:type="dxa"/>
            <w:vMerge w:val="restart"/>
            <w:tcBorders>
              <w:top w:val="single" w:sz="4" w:space="0" w:color="auto"/>
              <w:left w:val="single" w:sz="4" w:space="0" w:color="auto"/>
              <w:right w:val="single" w:sz="4" w:space="0" w:color="auto"/>
            </w:tcBorders>
            <w:vAlign w:val="center"/>
          </w:tcPr>
          <w:p w14:paraId="15B63FCA" w14:textId="5F5734E5" w:rsidR="002A44C1" w:rsidRPr="000D6356" w:rsidRDefault="002A44C1" w:rsidP="002A44C1">
            <w:pPr>
              <w:pStyle w:val="TableText"/>
              <w:keepLines/>
              <w:jc w:val="center"/>
              <w:rPr>
                <w:b/>
                <w:bCs/>
                <w:szCs w:val="22"/>
              </w:rPr>
            </w:pPr>
            <w:r w:rsidRPr="000D6356">
              <w:rPr>
                <w:b/>
                <w:bCs/>
                <w:szCs w:val="22"/>
              </w:rPr>
              <w:t xml:space="preserve">Projet de nouvelle Recommandation UIT-T </w:t>
            </w:r>
            <w:r w:rsidR="009B35F7" w:rsidRPr="000D6356">
              <w:rPr>
                <w:b/>
                <w:bCs/>
                <w:szCs w:val="22"/>
              </w:rPr>
              <w:t>Y.4420, UIT</w:t>
            </w:r>
            <w:r w:rsidR="000D6356" w:rsidRPr="000D6356">
              <w:rPr>
                <w:b/>
                <w:bCs/>
                <w:szCs w:val="22"/>
              </w:rPr>
              <w:noBreakHyphen/>
            </w:r>
            <w:r w:rsidR="009B35F7" w:rsidRPr="000D6356">
              <w:rPr>
                <w:b/>
                <w:bCs/>
                <w:szCs w:val="22"/>
              </w:rPr>
              <w:t>T Y.4512 (anciennement Y.SC-DESMS</w:t>
            </w:r>
            <w:r w:rsidRPr="000D6356">
              <w:rPr>
                <w:b/>
                <w:bCs/>
                <w:szCs w:val="22"/>
              </w:rPr>
              <w:t>)</w:t>
            </w:r>
          </w:p>
        </w:tc>
        <w:tc>
          <w:tcPr>
            <w:tcW w:w="7806" w:type="dxa"/>
            <w:tcBorders>
              <w:top w:val="single" w:sz="4" w:space="0" w:color="auto"/>
              <w:left w:val="single" w:sz="4" w:space="0" w:color="auto"/>
              <w:bottom w:val="single" w:sz="4" w:space="0" w:color="auto"/>
              <w:right w:val="single" w:sz="4" w:space="0" w:color="auto"/>
            </w:tcBorders>
            <w:vAlign w:val="center"/>
          </w:tcPr>
          <w:p w14:paraId="124C56D3" w14:textId="77777777" w:rsidR="002A44C1" w:rsidRPr="000D6356" w:rsidRDefault="002A44C1" w:rsidP="000D6356">
            <w:pPr>
              <w:pStyle w:val="enumlev1"/>
              <w:tabs>
                <w:tab w:val="clear" w:pos="794"/>
              </w:tabs>
              <w:ind w:left="526" w:hanging="526"/>
              <w:rPr>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b/>
                <w:bCs/>
                <w:sz w:val="22"/>
                <w:szCs w:val="22"/>
              </w:rPr>
              <w:t>Autorise</w:t>
            </w:r>
            <w:r w:rsidRPr="000D6356">
              <w:rPr>
                <w:sz w:val="22"/>
                <w:szCs w:val="22"/>
              </w:rPr>
              <w:t xml:space="preserve"> la Commission d'études 20 à procéder à l'examen de ce document en vue de son approbation (dans ce cas, sélectionnez l'une des deux options):</w:t>
            </w:r>
          </w:p>
          <w:p w14:paraId="15AB9D18" w14:textId="77777777" w:rsidR="002A44C1" w:rsidRPr="000D6356" w:rsidRDefault="002A44C1" w:rsidP="000D6356">
            <w:pPr>
              <w:pStyle w:val="enumlev2"/>
              <w:tabs>
                <w:tab w:val="clear" w:pos="794"/>
                <w:tab w:val="clear" w:pos="1191"/>
              </w:tabs>
              <w:ind w:left="928"/>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rFonts w:cstheme="minorHAnsi"/>
                <w:sz w:val="22"/>
                <w:szCs w:val="22"/>
              </w:rPr>
              <w:t>Pas de commentaire ou de proposition de modification.</w:t>
            </w:r>
          </w:p>
          <w:p w14:paraId="0BB9F470" w14:textId="73B65D49" w:rsidR="002A44C1" w:rsidRPr="000D6356" w:rsidRDefault="002A44C1" w:rsidP="000D6356">
            <w:pPr>
              <w:pStyle w:val="enumlev2"/>
              <w:tabs>
                <w:tab w:val="clear" w:pos="794"/>
                <w:tab w:val="clear" w:pos="1191"/>
              </w:tabs>
              <w:ind w:left="928"/>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rFonts w:cstheme="minorHAnsi"/>
                <w:sz w:val="22"/>
                <w:szCs w:val="22"/>
              </w:rPr>
              <w:tab/>
              <w:t>Des commentaires ou propositions de modification sont joints à la présente.</w:t>
            </w:r>
          </w:p>
        </w:tc>
      </w:tr>
      <w:tr w:rsidR="002A44C1" w:rsidRPr="000D6356" w14:paraId="12CAC39A" w14:textId="77777777" w:rsidTr="000D6356">
        <w:trPr>
          <w:trHeight w:val="747"/>
        </w:trPr>
        <w:tc>
          <w:tcPr>
            <w:tcW w:w="1913" w:type="dxa"/>
            <w:vMerge/>
            <w:tcBorders>
              <w:left w:val="single" w:sz="4" w:space="0" w:color="auto"/>
              <w:bottom w:val="single" w:sz="4" w:space="0" w:color="auto"/>
              <w:right w:val="single" w:sz="4" w:space="0" w:color="auto"/>
            </w:tcBorders>
            <w:vAlign w:val="center"/>
          </w:tcPr>
          <w:p w14:paraId="021D2236" w14:textId="77777777" w:rsidR="002A44C1" w:rsidRPr="000D6356" w:rsidRDefault="002A44C1" w:rsidP="002A44C1">
            <w:pPr>
              <w:pStyle w:val="TableText"/>
              <w:rPr>
                <w:szCs w:val="22"/>
              </w:rPr>
            </w:pPr>
          </w:p>
        </w:tc>
        <w:tc>
          <w:tcPr>
            <w:tcW w:w="7806" w:type="dxa"/>
            <w:tcBorders>
              <w:top w:val="single" w:sz="4" w:space="0" w:color="auto"/>
              <w:left w:val="single" w:sz="4" w:space="0" w:color="auto"/>
              <w:bottom w:val="single" w:sz="4" w:space="0" w:color="auto"/>
              <w:right w:val="single" w:sz="4" w:space="0" w:color="auto"/>
            </w:tcBorders>
            <w:vAlign w:val="center"/>
          </w:tcPr>
          <w:p w14:paraId="32B632E2" w14:textId="20DB0085" w:rsidR="002A44C1" w:rsidRPr="000D6356" w:rsidRDefault="002A44C1" w:rsidP="000D6356">
            <w:pPr>
              <w:pStyle w:val="enumlev1"/>
              <w:tabs>
                <w:tab w:val="clear" w:pos="794"/>
              </w:tabs>
              <w:ind w:left="526" w:hanging="526"/>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b/>
                <w:bCs/>
                <w:sz w:val="22"/>
                <w:szCs w:val="22"/>
              </w:rPr>
              <w:t>N'autorise pas</w:t>
            </w:r>
            <w:r w:rsidRPr="000D6356">
              <w:rPr>
                <w:sz w:val="22"/>
                <w:szCs w:val="22"/>
              </w:rPr>
              <w:t xml:space="preserve"> la Commission d'études 20 à procéder à l'examen de ce document en vue de son approbation (les motifs de cette décision et une description des éventuelles modifications qui permettraient la poursuite des travaux sont joints à la présente)</w:t>
            </w:r>
            <w:r w:rsidR="00976724" w:rsidRPr="000D6356">
              <w:rPr>
                <w:sz w:val="22"/>
                <w:szCs w:val="22"/>
              </w:rPr>
              <w:t>.</w:t>
            </w:r>
          </w:p>
        </w:tc>
      </w:tr>
      <w:tr w:rsidR="002A44C1" w:rsidRPr="000D6356" w14:paraId="6D048A4A" w14:textId="77777777" w:rsidTr="000D6356">
        <w:trPr>
          <w:trHeight w:val="747"/>
        </w:trPr>
        <w:tc>
          <w:tcPr>
            <w:tcW w:w="1913" w:type="dxa"/>
            <w:vMerge w:val="restart"/>
            <w:tcBorders>
              <w:top w:val="single" w:sz="4" w:space="0" w:color="auto"/>
              <w:left w:val="single" w:sz="4" w:space="0" w:color="auto"/>
              <w:right w:val="single" w:sz="4" w:space="0" w:color="auto"/>
            </w:tcBorders>
            <w:vAlign w:val="center"/>
          </w:tcPr>
          <w:p w14:paraId="4101079F" w14:textId="6C3FA8EB" w:rsidR="002A44C1" w:rsidRPr="000D6356" w:rsidRDefault="002A44C1" w:rsidP="002A44C1">
            <w:pPr>
              <w:pStyle w:val="TableText"/>
              <w:keepLines/>
              <w:jc w:val="center"/>
              <w:rPr>
                <w:szCs w:val="22"/>
              </w:rPr>
            </w:pPr>
            <w:r w:rsidRPr="000D6356">
              <w:rPr>
                <w:b/>
                <w:bCs/>
                <w:szCs w:val="22"/>
              </w:rPr>
              <w:t xml:space="preserve">Projet de nouvelle Recommandation UIT-T </w:t>
            </w:r>
            <w:r w:rsidR="009B35F7" w:rsidRPr="000D6356">
              <w:rPr>
                <w:b/>
                <w:bCs/>
                <w:szCs w:val="22"/>
              </w:rPr>
              <w:t>Y.4614 (anciennement Y.CL-EDM</w:t>
            </w:r>
            <w:r w:rsidRPr="000D6356">
              <w:rPr>
                <w:b/>
                <w:bCs/>
                <w:szCs w:val="22"/>
              </w:rPr>
              <w:t>)</w:t>
            </w:r>
          </w:p>
        </w:tc>
        <w:tc>
          <w:tcPr>
            <w:tcW w:w="7806" w:type="dxa"/>
            <w:tcBorders>
              <w:top w:val="single" w:sz="4" w:space="0" w:color="auto"/>
              <w:left w:val="single" w:sz="4" w:space="0" w:color="auto"/>
              <w:bottom w:val="single" w:sz="4" w:space="0" w:color="auto"/>
              <w:right w:val="single" w:sz="4" w:space="0" w:color="auto"/>
            </w:tcBorders>
            <w:vAlign w:val="center"/>
          </w:tcPr>
          <w:p w14:paraId="7C628882" w14:textId="77777777" w:rsidR="002A44C1" w:rsidRPr="000D6356" w:rsidRDefault="002A44C1" w:rsidP="000D6356">
            <w:pPr>
              <w:pStyle w:val="enumlev1"/>
              <w:tabs>
                <w:tab w:val="clear" w:pos="794"/>
              </w:tabs>
              <w:ind w:left="526" w:hanging="526"/>
              <w:rPr>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b/>
                <w:bCs/>
                <w:sz w:val="22"/>
                <w:szCs w:val="22"/>
              </w:rPr>
              <w:t>Autorise</w:t>
            </w:r>
            <w:r w:rsidRPr="000D6356">
              <w:rPr>
                <w:sz w:val="22"/>
                <w:szCs w:val="22"/>
              </w:rPr>
              <w:t xml:space="preserve"> la Commission d'études 20 à procéder à l'examen de ce document en vue de son approbation (dans ce cas, sélectionnez l'une des deux options):</w:t>
            </w:r>
          </w:p>
          <w:p w14:paraId="6B1BEFB7" w14:textId="77777777" w:rsidR="002A44C1" w:rsidRPr="000D6356" w:rsidRDefault="002A44C1" w:rsidP="000D6356">
            <w:pPr>
              <w:pStyle w:val="enumlev2"/>
              <w:tabs>
                <w:tab w:val="clear" w:pos="794"/>
                <w:tab w:val="clear" w:pos="1191"/>
              </w:tabs>
              <w:ind w:left="928"/>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t xml:space="preserve">Pas </w:t>
            </w:r>
            <w:r w:rsidRPr="000D6356">
              <w:rPr>
                <w:rFonts w:cstheme="minorHAnsi"/>
                <w:sz w:val="22"/>
                <w:szCs w:val="22"/>
              </w:rPr>
              <w:t>de commentaire ou de proposition de modification.</w:t>
            </w:r>
          </w:p>
          <w:p w14:paraId="5F8E3142" w14:textId="29C82F80" w:rsidR="002A44C1" w:rsidRPr="000D6356" w:rsidRDefault="002A44C1" w:rsidP="000D6356">
            <w:pPr>
              <w:pStyle w:val="enumlev2"/>
              <w:tabs>
                <w:tab w:val="clear" w:pos="794"/>
                <w:tab w:val="clear" w:pos="1191"/>
              </w:tabs>
              <w:ind w:left="928"/>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rFonts w:cstheme="minorHAnsi"/>
                <w:sz w:val="22"/>
                <w:szCs w:val="22"/>
              </w:rPr>
              <w:tab/>
              <w:t>Des commentaires ou propositions de modification sont joints à la présente.</w:t>
            </w:r>
          </w:p>
        </w:tc>
      </w:tr>
      <w:tr w:rsidR="002A44C1" w:rsidRPr="000D6356" w14:paraId="14163018" w14:textId="77777777" w:rsidTr="000D6356">
        <w:trPr>
          <w:trHeight w:val="747"/>
        </w:trPr>
        <w:tc>
          <w:tcPr>
            <w:tcW w:w="1913" w:type="dxa"/>
            <w:vMerge/>
            <w:tcBorders>
              <w:left w:val="single" w:sz="4" w:space="0" w:color="auto"/>
              <w:bottom w:val="single" w:sz="4" w:space="0" w:color="auto"/>
              <w:right w:val="single" w:sz="4" w:space="0" w:color="auto"/>
            </w:tcBorders>
            <w:vAlign w:val="center"/>
          </w:tcPr>
          <w:p w14:paraId="22E6E823" w14:textId="77777777" w:rsidR="002A44C1" w:rsidRPr="000D6356" w:rsidRDefault="002A44C1" w:rsidP="002A44C1">
            <w:pPr>
              <w:pStyle w:val="TableText"/>
              <w:rPr>
                <w:szCs w:val="22"/>
              </w:rPr>
            </w:pPr>
          </w:p>
        </w:tc>
        <w:tc>
          <w:tcPr>
            <w:tcW w:w="7806" w:type="dxa"/>
            <w:tcBorders>
              <w:top w:val="single" w:sz="4" w:space="0" w:color="auto"/>
              <w:left w:val="single" w:sz="4" w:space="0" w:color="auto"/>
              <w:bottom w:val="single" w:sz="4" w:space="0" w:color="auto"/>
              <w:right w:val="single" w:sz="4" w:space="0" w:color="auto"/>
            </w:tcBorders>
            <w:vAlign w:val="center"/>
          </w:tcPr>
          <w:p w14:paraId="0F6440CA" w14:textId="0CAFA1F2" w:rsidR="002A44C1" w:rsidRPr="000D6356" w:rsidRDefault="002A44C1" w:rsidP="000D6356">
            <w:pPr>
              <w:pStyle w:val="enumlev1"/>
              <w:tabs>
                <w:tab w:val="clear" w:pos="794"/>
              </w:tabs>
              <w:ind w:left="526" w:hanging="526"/>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b/>
                <w:bCs/>
                <w:sz w:val="22"/>
                <w:szCs w:val="22"/>
              </w:rPr>
              <w:t>N'autorise pas</w:t>
            </w:r>
            <w:r w:rsidRPr="000D6356">
              <w:rPr>
                <w:sz w:val="22"/>
                <w:szCs w:val="22"/>
              </w:rPr>
              <w:t xml:space="preserve"> la Commission d'études 20 à procéder à l'examen de ce document en vue de son approbation (les motifs de cette décision et une description des éventuelles modifications qui permettraient la poursuite des travaux sont joints à la présente)</w:t>
            </w:r>
            <w:r w:rsidR="00976724" w:rsidRPr="000D6356">
              <w:rPr>
                <w:sz w:val="22"/>
                <w:szCs w:val="22"/>
              </w:rPr>
              <w:t>.</w:t>
            </w:r>
          </w:p>
        </w:tc>
      </w:tr>
      <w:tr w:rsidR="002A44C1" w:rsidRPr="000D6356" w14:paraId="327B94A0" w14:textId="77777777" w:rsidTr="000D6356">
        <w:trPr>
          <w:trHeight w:val="747"/>
        </w:trPr>
        <w:tc>
          <w:tcPr>
            <w:tcW w:w="1913" w:type="dxa"/>
            <w:vMerge w:val="restart"/>
            <w:tcBorders>
              <w:top w:val="single" w:sz="4" w:space="0" w:color="auto"/>
              <w:left w:val="single" w:sz="4" w:space="0" w:color="auto"/>
              <w:right w:val="single" w:sz="4" w:space="0" w:color="auto"/>
            </w:tcBorders>
            <w:vAlign w:val="center"/>
          </w:tcPr>
          <w:p w14:paraId="427B902C" w14:textId="6DCB1A2A" w:rsidR="002A44C1" w:rsidRPr="000D6356" w:rsidRDefault="002A44C1" w:rsidP="002A44C1">
            <w:pPr>
              <w:pStyle w:val="TableText"/>
              <w:keepLines/>
              <w:jc w:val="center"/>
              <w:rPr>
                <w:szCs w:val="22"/>
              </w:rPr>
            </w:pPr>
            <w:r w:rsidRPr="000D6356">
              <w:rPr>
                <w:b/>
                <w:bCs/>
                <w:szCs w:val="22"/>
              </w:rPr>
              <w:t>Projet de nouvelle Recommandation UIT-T Y</w:t>
            </w:r>
            <w:r w:rsidR="009B35F7" w:rsidRPr="000D6356">
              <w:rPr>
                <w:szCs w:val="22"/>
              </w:rPr>
              <w:t xml:space="preserve"> </w:t>
            </w:r>
            <w:r w:rsidR="009B35F7" w:rsidRPr="000D6356">
              <w:rPr>
                <w:b/>
                <w:bCs/>
                <w:szCs w:val="22"/>
              </w:rPr>
              <w:t>Y.4815 (anciennement Y.uas-dc-fr</w:t>
            </w:r>
            <w:r w:rsidRPr="000D6356">
              <w:rPr>
                <w:b/>
                <w:bCs/>
                <w:szCs w:val="22"/>
              </w:rPr>
              <w:t>)</w:t>
            </w:r>
          </w:p>
        </w:tc>
        <w:tc>
          <w:tcPr>
            <w:tcW w:w="7806" w:type="dxa"/>
            <w:tcBorders>
              <w:top w:val="single" w:sz="4" w:space="0" w:color="auto"/>
              <w:left w:val="single" w:sz="4" w:space="0" w:color="auto"/>
              <w:bottom w:val="single" w:sz="4" w:space="0" w:color="auto"/>
              <w:right w:val="single" w:sz="4" w:space="0" w:color="auto"/>
            </w:tcBorders>
            <w:vAlign w:val="center"/>
          </w:tcPr>
          <w:p w14:paraId="6CF89CC6" w14:textId="77777777" w:rsidR="002A44C1" w:rsidRPr="000D6356" w:rsidRDefault="002A44C1" w:rsidP="000D6356">
            <w:pPr>
              <w:pStyle w:val="enumlev1"/>
              <w:tabs>
                <w:tab w:val="clear" w:pos="794"/>
              </w:tabs>
              <w:ind w:left="526" w:hanging="526"/>
              <w:rPr>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b/>
                <w:bCs/>
                <w:sz w:val="22"/>
                <w:szCs w:val="22"/>
              </w:rPr>
              <w:t>Autorise</w:t>
            </w:r>
            <w:r w:rsidRPr="000D6356">
              <w:rPr>
                <w:sz w:val="22"/>
                <w:szCs w:val="22"/>
              </w:rPr>
              <w:t xml:space="preserve"> la Commission d'études 20 à procéder à l'examen de ce document en vue de son approbation (dans ce cas, sélectionnez l'une des deux options):</w:t>
            </w:r>
          </w:p>
          <w:p w14:paraId="18A34EC5" w14:textId="77777777" w:rsidR="002A44C1" w:rsidRPr="000D6356" w:rsidRDefault="002A44C1" w:rsidP="000D6356">
            <w:pPr>
              <w:pStyle w:val="enumlev2"/>
              <w:tabs>
                <w:tab w:val="clear" w:pos="794"/>
                <w:tab w:val="clear" w:pos="1191"/>
              </w:tabs>
              <w:ind w:left="928"/>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t xml:space="preserve">Pas </w:t>
            </w:r>
            <w:r w:rsidRPr="000D6356">
              <w:rPr>
                <w:rFonts w:cstheme="minorHAnsi"/>
                <w:sz w:val="22"/>
                <w:szCs w:val="22"/>
              </w:rPr>
              <w:t>de commentaire ou de proposition de modification.</w:t>
            </w:r>
          </w:p>
          <w:p w14:paraId="1956D023" w14:textId="4C119257" w:rsidR="002A44C1" w:rsidRPr="000D6356" w:rsidRDefault="002A44C1" w:rsidP="000D6356">
            <w:pPr>
              <w:pStyle w:val="enumlev2"/>
              <w:tabs>
                <w:tab w:val="clear" w:pos="794"/>
                <w:tab w:val="clear" w:pos="1191"/>
              </w:tabs>
              <w:ind w:left="928"/>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rFonts w:cstheme="minorHAnsi"/>
                <w:sz w:val="22"/>
                <w:szCs w:val="22"/>
              </w:rPr>
              <w:tab/>
              <w:t>Des commentaires ou propositions de modification sont joints à la présente.</w:t>
            </w:r>
          </w:p>
        </w:tc>
      </w:tr>
      <w:tr w:rsidR="002A44C1" w:rsidRPr="000D6356" w14:paraId="4DE1C35A" w14:textId="77777777" w:rsidTr="000D6356">
        <w:trPr>
          <w:trHeight w:val="747"/>
        </w:trPr>
        <w:tc>
          <w:tcPr>
            <w:tcW w:w="1913" w:type="dxa"/>
            <w:vMerge/>
            <w:tcBorders>
              <w:left w:val="single" w:sz="4" w:space="0" w:color="auto"/>
              <w:bottom w:val="single" w:sz="4" w:space="0" w:color="auto"/>
              <w:right w:val="single" w:sz="4" w:space="0" w:color="auto"/>
            </w:tcBorders>
            <w:vAlign w:val="center"/>
          </w:tcPr>
          <w:p w14:paraId="16052071" w14:textId="77777777" w:rsidR="002A44C1" w:rsidRPr="000D6356" w:rsidRDefault="002A44C1" w:rsidP="002A44C1">
            <w:pPr>
              <w:pStyle w:val="TableText"/>
              <w:rPr>
                <w:szCs w:val="22"/>
              </w:rPr>
            </w:pPr>
          </w:p>
        </w:tc>
        <w:tc>
          <w:tcPr>
            <w:tcW w:w="7806" w:type="dxa"/>
            <w:tcBorders>
              <w:top w:val="single" w:sz="4" w:space="0" w:color="auto"/>
              <w:left w:val="single" w:sz="4" w:space="0" w:color="auto"/>
              <w:bottom w:val="single" w:sz="4" w:space="0" w:color="auto"/>
              <w:right w:val="single" w:sz="4" w:space="0" w:color="auto"/>
            </w:tcBorders>
            <w:vAlign w:val="center"/>
          </w:tcPr>
          <w:p w14:paraId="5DBA4479" w14:textId="48E47A29" w:rsidR="002A44C1" w:rsidRPr="000D6356" w:rsidRDefault="002A44C1" w:rsidP="000D6356">
            <w:pPr>
              <w:pStyle w:val="enumlev1"/>
              <w:tabs>
                <w:tab w:val="clear" w:pos="794"/>
              </w:tabs>
              <w:ind w:left="526" w:hanging="526"/>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b/>
                <w:bCs/>
                <w:sz w:val="22"/>
                <w:szCs w:val="22"/>
              </w:rPr>
              <w:t>N'autorise pas</w:t>
            </w:r>
            <w:r w:rsidRPr="000D6356">
              <w:rPr>
                <w:sz w:val="22"/>
                <w:szCs w:val="22"/>
              </w:rPr>
              <w:t xml:space="preserve"> la Commission d'études 20 à procéder à l'examen de ce document en vue de son approbation (les motifs de cette décision et une description des éventuelles modifications qui permettraient la poursuite des travaux sont joints à la présente)</w:t>
            </w:r>
            <w:r w:rsidR="00976724" w:rsidRPr="000D6356">
              <w:rPr>
                <w:sz w:val="22"/>
                <w:szCs w:val="22"/>
              </w:rPr>
              <w:t>.</w:t>
            </w:r>
          </w:p>
        </w:tc>
      </w:tr>
      <w:tr w:rsidR="00D64923" w:rsidRPr="000D6356" w14:paraId="4D4FBB72" w14:textId="77777777" w:rsidTr="000D6356">
        <w:trPr>
          <w:trHeight w:val="747"/>
        </w:trPr>
        <w:tc>
          <w:tcPr>
            <w:tcW w:w="1913" w:type="dxa"/>
            <w:vMerge w:val="restart"/>
            <w:tcBorders>
              <w:top w:val="single" w:sz="4" w:space="0" w:color="auto"/>
              <w:left w:val="single" w:sz="4" w:space="0" w:color="auto"/>
              <w:right w:val="single" w:sz="4" w:space="0" w:color="auto"/>
            </w:tcBorders>
            <w:vAlign w:val="center"/>
          </w:tcPr>
          <w:p w14:paraId="7EDECF81" w14:textId="1CD78023" w:rsidR="00D64923" w:rsidRPr="000D6356" w:rsidRDefault="00D64923" w:rsidP="00976724">
            <w:pPr>
              <w:pStyle w:val="TableText"/>
              <w:keepNext/>
              <w:keepLines/>
              <w:jc w:val="center"/>
              <w:rPr>
                <w:szCs w:val="22"/>
              </w:rPr>
            </w:pPr>
            <w:r w:rsidRPr="000D6356">
              <w:rPr>
                <w:b/>
                <w:bCs/>
                <w:szCs w:val="22"/>
              </w:rPr>
              <w:t xml:space="preserve">Projet de nouvelle Recommandation UIT-T </w:t>
            </w:r>
            <w:r w:rsidR="009E27A8" w:rsidRPr="000D6356">
              <w:rPr>
                <w:b/>
                <w:bCs/>
                <w:szCs w:val="22"/>
              </w:rPr>
              <w:t>Y.4816 (anciennement Y.bsis-sec</w:t>
            </w:r>
            <w:r w:rsidRPr="000D6356">
              <w:rPr>
                <w:b/>
                <w:bCs/>
                <w:szCs w:val="22"/>
              </w:rPr>
              <w:t>)</w:t>
            </w:r>
          </w:p>
        </w:tc>
        <w:tc>
          <w:tcPr>
            <w:tcW w:w="7806" w:type="dxa"/>
            <w:tcBorders>
              <w:top w:val="single" w:sz="4" w:space="0" w:color="auto"/>
              <w:left w:val="single" w:sz="4" w:space="0" w:color="auto"/>
              <w:bottom w:val="single" w:sz="4" w:space="0" w:color="auto"/>
              <w:right w:val="single" w:sz="4" w:space="0" w:color="auto"/>
            </w:tcBorders>
            <w:vAlign w:val="center"/>
          </w:tcPr>
          <w:p w14:paraId="7CE9DD81" w14:textId="77777777" w:rsidR="00D64923" w:rsidRPr="000D6356" w:rsidRDefault="00D64923" w:rsidP="000D6356">
            <w:pPr>
              <w:pStyle w:val="enumlev1"/>
              <w:tabs>
                <w:tab w:val="clear" w:pos="794"/>
              </w:tabs>
              <w:ind w:left="526" w:hanging="526"/>
              <w:rPr>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b/>
                <w:bCs/>
                <w:sz w:val="22"/>
                <w:szCs w:val="22"/>
              </w:rPr>
              <w:t>Autorise</w:t>
            </w:r>
            <w:r w:rsidRPr="000D6356">
              <w:rPr>
                <w:sz w:val="22"/>
                <w:szCs w:val="22"/>
              </w:rPr>
              <w:t xml:space="preserve"> la Commission d'études 20 à procéder à l'examen de ce document en vue de son approbation (dans ce cas, sélectionnez l'une des deux options):</w:t>
            </w:r>
          </w:p>
          <w:p w14:paraId="32E38E7B" w14:textId="77777777" w:rsidR="00D64923" w:rsidRPr="000D6356" w:rsidRDefault="00D64923" w:rsidP="000D6356">
            <w:pPr>
              <w:pStyle w:val="enumlev2"/>
              <w:tabs>
                <w:tab w:val="clear" w:pos="794"/>
                <w:tab w:val="clear" w:pos="1191"/>
              </w:tabs>
              <w:ind w:left="928"/>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t xml:space="preserve">Pas </w:t>
            </w:r>
            <w:r w:rsidRPr="000D6356">
              <w:rPr>
                <w:rFonts w:cstheme="minorHAnsi"/>
                <w:sz w:val="22"/>
                <w:szCs w:val="22"/>
              </w:rPr>
              <w:t>de commentaire ou de proposition de modification.</w:t>
            </w:r>
          </w:p>
          <w:p w14:paraId="44CB7B8D" w14:textId="5EDDDED2" w:rsidR="00D64923" w:rsidRPr="000D6356" w:rsidRDefault="00D64923" w:rsidP="000D6356">
            <w:pPr>
              <w:pStyle w:val="enumlev2"/>
              <w:tabs>
                <w:tab w:val="clear" w:pos="794"/>
                <w:tab w:val="clear" w:pos="1191"/>
              </w:tabs>
              <w:ind w:left="928"/>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rFonts w:cstheme="minorHAnsi"/>
                <w:sz w:val="22"/>
                <w:szCs w:val="22"/>
              </w:rPr>
              <w:tab/>
              <w:t>Des commentaires ou propositions de modification sont joints à la présente.</w:t>
            </w:r>
          </w:p>
        </w:tc>
      </w:tr>
      <w:tr w:rsidR="00D64923" w:rsidRPr="000D6356" w14:paraId="348CC830" w14:textId="77777777" w:rsidTr="000D6356">
        <w:trPr>
          <w:trHeight w:val="747"/>
        </w:trPr>
        <w:tc>
          <w:tcPr>
            <w:tcW w:w="1913" w:type="dxa"/>
            <w:vMerge/>
            <w:tcBorders>
              <w:left w:val="single" w:sz="4" w:space="0" w:color="auto"/>
              <w:bottom w:val="single" w:sz="4" w:space="0" w:color="auto"/>
              <w:right w:val="single" w:sz="4" w:space="0" w:color="auto"/>
            </w:tcBorders>
            <w:vAlign w:val="center"/>
          </w:tcPr>
          <w:p w14:paraId="7DF0BCF3" w14:textId="77777777" w:rsidR="00D64923" w:rsidRPr="000D6356" w:rsidRDefault="00D64923" w:rsidP="00D64923">
            <w:pPr>
              <w:pStyle w:val="TableText"/>
              <w:rPr>
                <w:szCs w:val="22"/>
              </w:rPr>
            </w:pPr>
          </w:p>
        </w:tc>
        <w:tc>
          <w:tcPr>
            <w:tcW w:w="7806" w:type="dxa"/>
            <w:tcBorders>
              <w:top w:val="single" w:sz="4" w:space="0" w:color="auto"/>
              <w:left w:val="single" w:sz="4" w:space="0" w:color="auto"/>
              <w:bottom w:val="single" w:sz="4" w:space="0" w:color="auto"/>
              <w:right w:val="single" w:sz="4" w:space="0" w:color="auto"/>
            </w:tcBorders>
            <w:vAlign w:val="center"/>
          </w:tcPr>
          <w:p w14:paraId="178DC35F" w14:textId="373B2F63" w:rsidR="00D64923" w:rsidRPr="000D6356" w:rsidRDefault="00D64923" w:rsidP="000D6356">
            <w:pPr>
              <w:pStyle w:val="enumlev1"/>
              <w:tabs>
                <w:tab w:val="clear" w:pos="794"/>
              </w:tabs>
              <w:ind w:left="526" w:hanging="526"/>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b/>
                <w:bCs/>
                <w:sz w:val="22"/>
                <w:szCs w:val="22"/>
              </w:rPr>
              <w:t>N'autorise pas</w:t>
            </w:r>
            <w:r w:rsidRPr="000D6356">
              <w:rPr>
                <w:sz w:val="22"/>
                <w:szCs w:val="22"/>
              </w:rPr>
              <w:t xml:space="preserve"> la Commission d'études 20 à procéder à l'examen de ce document en vue de son approbation (les motifs de cette décision et une description des éventuelles modifications qui permettraient la poursuite des travaux sont joints à la présente)</w:t>
            </w:r>
            <w:r w:rsidR="00976724" w:rsidRPr="000D6356">
              <w:rPr>
                <w:sz w:val="22"/>
                <w:szCs w:val="22"/>
              </w:rPr>
              <w:t>.</w:t>
            </w:r>
          </w:p>
        </w:tc>
      </w:tr>
      <w:tr w:rsidR="00D64923" w:rsidRPr="000D6356" w14:paraId="692C27CE" w14:textId="77777777" w:rsidTr="000D6356">
        <w:trPr>
          <w:trHeight w:val="747"/>
        </w:trPr>
        <w:tc>
          <w:tcPr>
            <w:tcW w:w="1913" w:type="dxa"/>
            <w:vMerge w:val="restart"/>
            <w:tcBorders>
              <w:top w:val="single" w:sz="4" w:space="0" w:color="auto"/>
              <w:left w:val="single" w:sz="4" w:space="0" w:color="auto"/>
              <w:right w:val="single" w:sz="4" w:space="0" w:color="auto"/>
            </w:tcBorders>
            <w:vAlign w:val="center"/>
          </w:tcPr>
          <w:p w14:paraId="6BAEC9C9" w14:textId="314299BC" w:rsidR="00D64923" w:rsidRPr="000D6356" w:rsidRDefault="00D64923" w:rsidP="00D64923">
            <w:pPr>
              <w:pStyle w:val="TableText"/>
              <w:keepLines/>
              <w:jc w:val="center"/>
              <w:rPr>
                <w:szCs w:val="22"/>
              </w:rPr>
            </w:pPr>
            <w:r w:rsidRPr="000D6356">
              <w:rPr>
                <w:b/>
                <w:bCs/>
                <w:szCs w:val="22"/>
              </w:rPr>
              <w:t xml:space="preserve">Projet de nouvelle Recommandation UIT-T </w:t>
            </w:r>
            <w:r w:rsidR="009E27A8" w:rsidRPr="000D6356">
              <w:rPr>
                <w:b/>
                <w:bCs/>
                <w:szCs w:val="22"/>
              </w:rPr>
              <w:t>Y.4912 (anciennement Y.SNPG-ref</w:t>
            </w:r>
            <w:r w:rsidRPr="000D6356">
              <w:rPr>
                <w:b/>
                <w:bCs/>
                <w:szCs w:val="22"/>
              </w:rPr>
              <w:t>)</w:t>
            </w:r>
          </w:p>
        </w:tc>
        <w:tc>
          <w:tcPr>
            <w:tcW w:w="7806" w:type="dxa"/>
            <w:tcBorders>
              <w:top w:val="single" w:sz="4" w:space="0" w:color="auto"/>
              <w:left w:val="single" w:sz="4" w:space="0" w:color="auto"/>
              <w:bottom w:val="single" w:sz="4" w:space="0" w:color="auto"/>
              <w:right w:val="single" w:sz="4" w:space="0" w:color="auto"/>
            </w:tcBorders>
            <w:vAlign w:val="center"/>
          </w:tcPr>
          <w:p w14:paraId="7AF5BB50" w14:textId="77777777" w:rsidR="00D64923" w:rsidRPr="000D6356" w:rsidRDefault="00D64923" w:rsidP="000D6356">
            <w:pPr>
              <w:pStyle w:val="enumlev1"/>
              <w:tabs>
                <w:tab w:val="clear" w:pos="794"/>
              </w:tabs>
              <w:ind w:left="526" w:hanging="526"/>
              <w:rPr>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b/>
                <w:bCs/>
                <w:sz w:val="22"/>
                <w:szCs w:val="22"/>
              </w:rPr>
              <w:t>Autorise</w:t>
            </w:r>
            <w:r w:rsidRPr="000D6356">
              <w:rPr>
                <w:sz w:val="22"/>
                <w:szCs w:val="22"/>
              </w:rPr>
              <w:t xml:space="preserve"> la Commission d'études 20 à procéder à l'examen de ce document en vue de son approbation (dans ce cas, sélectionnez l'une des deux options):</w:t>
            </w:r>
          </w:p>
          <w:p w14:paraId="401FECB7" w14:textId="77777777" w:rsidR="00D64923" w:rsidRPr="000D6356" w:rsidRDefault="00D64923" w:rsidP="000D6356">
            <w:pPr>
              <w:pStyle w:val="enumlev2"/>
              <w:tabs>
                <w:tab w:val="clear" w:pos="794"/>
                <w:tab w:val="clear" w:pos="1191"/>
              </w:tabs>
              <w:ind w:left="928"/>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t xml:space="preserve">Pas </w:t>
            </w:r>
            <w:r w:rsidRPr="000D6356">
              <w:rPr>
                <w:rFonts w:cstheme="minorHAnsi"/>
                <w:sz w:val="22"/>
                <w:szCs w:val="22"/>
              </w:rPr>
              <w:t>de commentaire ou de proposition de modification.</w:t>
            </w:r>
          </w:p>
          <w:p w14:paraId="2B800427" w14:textId="23C8FDAD" w:rsidR="00D64923" w:rsidRPr="000D6356" w:rsidRDefault="00D64923" w:rsidP="000D6356">
            <w:pPr>
              <w:pStyle w:val="enumlev2"/>
              <w:tabs>
                <w:tab w:val="clear" w:pos="794"/>
                <w:tab w:val="clear" w:pos="1191"/>
              </w:tabs>
              <w:ind w:left="928"/>
              <w:rPr>
                <w:rFonts w:cstheme="minorHAnsi"/>
                <w:sz w:val="22"/>
                <w:szCs w:val="22"/>
              </w:rPr>
            </w:pPr>
            <w:r w:rsidRPr="000D6356">
              <w:rPr>
                <w:rFonts w:cstheme="minorHAnsi"/>
                <w:sz w:val="22"/>
                <w:szCs w:val="22"/>
              </w:rPr>
              <w:lastRenderedPageBreak/>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rFonts w:cstheme="minorHAnsi"/>
                <w:sz w:val="22"/>
                <w:szCs w:val="22"/>
              </w:rPr>
              <w:tab/>
              <w:t>Des commentaires ou propositions de modification sont joints à la présente.</w:t>
            </w:r>
          </w:p>
        </w:tc>
      </w:tr>
      <w:tr w:rsidR="00D64923" w:rsidRPr="000D6356" w14:paraId="4816E29C" w14:textId="77777777" w:rsidTr="000D6356">
        <w:trPr>
          <w:trHeight w:val="747"/>
        </w:trPr>
        <w:tc>
          <w:tcPr>
            <w:tcW w:w="1913" w:type="dxa"/>
            <w:vMerge/>
            <w:tcBorders>
              <w:left w:val="single" w:sz="4" w:space="0" w:color="auto"/>
              <w:bottom w:val="single" w:sz="4" w:space="0" w:color="auto"/>
              <w:right w:val="single" w:sz="4" w:space="0" w:color="auto"/>
            </w:tcBorders>
            <w:vAlign w:val="center"/>
          </w:tcPr>
          <w:p w14:paraId="1C890E82" w14:textId="77777777" w:rsidR="00D64923" w:rsidRPr="000D6356" w:rsidRDefault="00D64923" w:rsidP="00D64923">
            <w:pPr>
              <w:pStyle w:val="TableText"/>
              <w:rPr>
                <w:szCs w:val="22"/>
              </w:rPr>
            </w:pPr>
          </w:p>
        </w:tc>
        <w:tc>
          <w:tcPr>
            <w:tcW w:w="7806" w:type="dxa"/>
            <w:tcBorders>
              <w:top w:val="single" w:sz="4" w:space="0" w:color="auto"/>
              <w:left w:val="single" w:sz="4" w:space="0" w:color="auto"/>
              <w:bottom w:val="single" w:sz="4" w:space="0" w:color="auto"/>
              <w:right w:val="single" w:sz="4" w:space="0" w:color="auto"/>
            </w:tcBorders>
            <w:vAlign w:val="center"/>
          </w:tcPr>
          <w:p w14:paraId="50FE5530" w14:textId="002F480C" w:rsidR="00D64923" w:rsidRPr="000D6356" w:rsidRDefault="00D64923" w:rsidP="000D6356">
            <w:pPr>
              <w:pStyle w:val="enumlev1"/>
              <w:tabs>
                <w:tab w:val="clear" w:pos="794"/>
              </w:tabs>
              <w:ind w:left="526" w:hanging="526"/>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b/>
                <w:bCs/>
                <w:sz w:val="22"/>
                <w:szCs w:val="22"/>
              </w:rPr>
              <w:t>N'autorise pas</w:t>
            </w:r>
            <w:r w:rsidRPr="000D6356">
              <w:rPr>
                <w:sz w:val="22"/>
                <w:szCs w:val="22"/>
              </w:rPr>
              <w:t xml:space="preserve"> la Commission d'études 20 à procéder à l'examen de ce document en vue de son approbation (les motifs de cette décision et une description des éventuelles modifications qui permettraient la poursuite des travaux sont joints à la présente)</w:t>
            </w:r>
            <w:r w:rsidR="00976724" w:rsidRPr="000D6356">
              <w:rPr>
                <w:sz w:val="22"/>
                <w:szCs w:val="22"/>
              </w:rPr>
              <w:t>.</w:t>
            </w:r>
          </w:p>
        </w:tc>
      </w:tr>
      <w:tr w:rsidR="009E27A8" w:rsidRPr="000D6356" w14:paraId="300DF365" w14:textId="77777777" w:rsidTr="000D6356">
        <w:trPr>
          <w:trHeight w:val="747"/>
        </w:trPr>
        <w:tc>
          <w:tcPr>
            <w:tcW w:w="1913" w:type="dxa"/>
            <w:vMerge w:val="restart"/>
            <w:tcBorders>
              <w:top w:val="single" w:sz="4" w:space="0" w:color="auto"/>
              <w:left w:val="single" w:sz="4" w:space="0" w:color="auto"/>
              <w:right w:val="single" w:sz="4" w:space="0" w:color="auto"/>
            </w:tcBorders>
            <w:vAlign w:val="center"/>
          </w:tcPr>
          <w:p w14:paraId="1FBA7B7B" w14:textId="77777777" w:rsidR="009E27A8" w:rsidRPr="000D6356" w:rsidRDefault="009E27A8" w:rsidP="00712331">
            <w:pPr>
              <w:pStyle w:val="TableText"/>
              <w:keepLines/>
              <w:jc w:val="center"/>
              <w:rPr>
                <w:b/>
                <w:bCs/>
                <w:szCs w:val="22"/>
              </w:rPr>
            </w:pPr>
            <w:r w:rsidRPr="000D6356">
              <w:rPr>
                <w:b/>
                <w:bCs/>
                <w:szCs w:val="22"/>
              </w:rPr>
              <w:t xml:space="preserve">Projet de nouvelle Recommandation UIT-T </w:t>
            </w:r>
            <w:r w:rsidRPr="000D6356">
              <w:rPr>
                <w:rFonts w:cs="Calibri"/>
                <w:b/>
                <w:bCs/>
                <w:szCs w:val="22"/>
              </w:rPr>
              <w:t>Y.4512 (anciennement Y.SC-DESMS</w:t>
            </w:r>
            <w:r w:rsidRPr="000D6356">
              <w:rPr>
                <w:b/>
                <w:bCs/>
                <w:szCs w:val="22"/>
              </w:rPr>
              <w:t>)</w:t>
            </w:r>
          </w:p>
        </w:tc>
        <w:tc>
          <w:tcPr>
            <w:tcW w:w="7806" w:type="dxa"/>
            <w:tcBorders>
              <w:top w:val="single" w:sz="4" w:space="0" w:color="auto"/>
              <w:left w:val="single" w:sz="4" w:space="0" w:color="auto"/>
              <w:bottom w:val="single" w:sz="4" w:space="0" w:color="auto"/>
              <w:right w:val="single" w:sz="4" w:space="0" w:color="auto"/>
            </w:tcBorders>
            <w:vAlign w:val="center"/>
          </w:tcPr>
          <w:p w14:paraId="501FCEE9" w14:textId="77777777" w:rsidR="009E27A8" w:rsidRPr="000D6356" w:rsidRDefault="009E27A8" w:rsidP="000D6356">
            <w:pPr>
              <w:pStyle w:val="enumlev1"/>
              <w:tabs>
                <w:tab w:val="clear" w:pos="794"/>
              </w:tabs>
              <w:ind w:left="526" w:hanging="526"/>
              <w:rPr>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b/>
                <w:bCs/>
                <w:sz w:val="22"/>
                <w:szCs w:val="22"/>
              </w:rPr>
              <w:t>Autorise</w:t>
            </w:r>
            <w:r w:rsidRPr="000D6356">
              <w:rPr>
                <w:sz w:val="22"/>
                <w:szCs w:val="22"/>
              </w:rPr>
              <w:t xml:space="preserve"> la Commission d'études 20 à procéder à l'examen de ce document en vue de son approbation (dans ce cas, sélectionnez l'une des deux options):</w:t>
            </w:r>
          </w:p>
          <w:p w14:paraId="6F51A772" w14:textId="77777777" w:rsidR="009E27A8" w:rsidRPr="000D6356" w:rsidRDefault="009E27A8" w:rsidP="000D6356">
            <w:pPr>
              <w:pStyle w:val="enumlev2"/>
              <w:tabs>
                <w:tab w:val="clear" w:pos="794"/>
                <w:tab w:val="clear" w:pos="1191"/>
              </w:tabs>
              <w:ind w:left="928"/>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rFonts w:cstheme="minorHAnsi"/>
                <w:sz w:val="22"/>
                <w:szCs w:val="22"/>
              </w:rPr>
              <w:t>Pas de commentaire ou de proposition de modification.</w:t>
            </w:r>
          </w:p>
          <w:p w14:paraId="2A91A259" w14:textId="77777777" w:rsidR="009E27A8" w:rsidRPr="000D6356" w:rsidRDefault="009E27A8" w:rsidP="000D6356">
            <w:pPr>
              <w:pStyle w:val="enumlev2"/>
              <w:tabs>
                <w:tab w:val="clear" w:pos="794"/>
                <w:tab w:val="clear" w:pos="1191"/>
              </w:tabs>
              <w:ind w:left="928"/>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rFonts w:cstheme="minorHAnsi"/>
                <w:sz w:val="22"/>
                <w:szCs w:val="22"/>
              </w:rPr>
              <w:tab/>
              <w:t>Des commentaires ou propositions de modification sont joints à la présente.</w:t>
            </w:r>
          </w:p>
        </w:tc>
      </w:tr>
      <w:tr w:rsidR="009E27A8" w:rsidRPr="000D6356" w14:paraId="460A90D2" w14:textId="77777777" w:rsidTr="000D6356">
        <w:trPr>
          <w:trHeight w:val="747"/>
        </w:trPr>
        <w:tc>
          <w:tcPr>
            <w:tcW w:w="1913" w:type="dxa"/>
            <w:vMerge/>
            <w:tcBorders>
              <w:left w:val="single" w:sz="4" w:space="0" w:color="auto"/>
              <w:bottom w:val="single" w:sz="4" w:space="0" w:color="auto"/>
              <w:right w:val="single" w:sz="4" w:space="0" w:color="auto"/>
            </w:tcBorders>
            <w:vAlign w:val="center"/>
          </w:tcPr>
          <w:p w14:paraId="223F32F9" w14:textId="77777777" w:rsidR="009E27A8" w:rsidRPr="000D6356" w:rsidRDefault="009E27A8" w:rsidP="00712331">
            <w:pPr>
              <w:pStyle w:val="TableText"/>
              <w:keepLines/>
              <w:jc w:val="center"/>
              <w:rPr>
                <w:b/>
                <w:bCs/>
                <w:szCs w:val="22"/>
              </w:rPr>
            </w:pPr>
          </w:p>
        </w:tc>
        <w:tc>
          <w:tcPr>
            <w:tcW w:w="7806" w:type="dxa"/>
            <w:tcBorders>
              <w:top w:val="single" w:sz="4" w:space="0" w:color="auto"/>
              <w:left w:val="single" w:sz="4" w:space="0" w:color="auto"/>
              <w:bottom w:val="single" w:sz="4" w:space="0" w:color="auto"/>
              <w:right w:val="single" w:sz="4" w:space="0" w:color="auto"/>
            </w:tcBorders>
            <w:vAlign w:val="center"/>
          </w:tcPr>
          <w:p w14:paraId="6D9346A8" w14:textId="77777777" w:rsidR="009E27A8" w:rsidRPr="000D6356" w:rsidRDefault="009E27A8" w:rsidP="000D6356">
            <w:pPr>
              <w:pStyle w:val="enumlev1"/>
              <w:tabs>
                <w:tab w:val="clear" w:pos="794"/>
              </w:tabs>
              <w:ind w:left="526" w:hanging="526"/>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b/>
                <w:bCs/>
                <w:sz w:val="22"/>
                <w:szCs w:val="22"/>
              </w:rPr>
              <w:t>N'autorise pas</w:t>
            </w:r>
            <w:r w:rsidRPr="000D6356">
              <w:rPr>
                <w:sz w:val="22"/>
                <w:szCs w:val="22"/>
              </w:rPr>
              <w:t xml:space="preserve"> la Commission d'études 20 à procéder à l'examen de ce document en vue de son approbation (les motifs de cette décision et une description des éventuelles modifications qui permettraient la poursuite des travaux sont joints à la présente).</w:t>
            </w:r>
          </w:p>
        </w:tc>
      </w:tr>
      <w:tr w:rsidR="00D64923" w:rsidRPr="000D6356" w14:paraId="13D5FFAE" w14:textId="77777777" w:rsidTr="000D6356">
        <w:trPr>
          <w:trHeight w:val="747"/>
        </w:trPr>
        <w:tc>
          <w:tcPr>
            <w:tcW w:w="1913" w:type="dxa"/>
            <w:vMerge w:val="restart"/>
            <w:tcBorders>
              <w:top w:val="single" w:sz="4" w:space="0" w:color="auto"/>
              <w:left w:val="single" w:sz="4" w:space="0" w:color="auto"/>
              <w:right w:val="single" w:sz="4" w:space="0" w:color="auto"/>
            </w:tcBorders>
            <w:vAlign w:val="center"/>
          </w:tcPr>
          <w:p w14:paraId="1047E6D5" w14:textId="061C0500" w:rsidR="00D64923" w:rsidRPr="000D6356" w:rsidRDefault="00D64923" w:rsidP="00D64923">
            <w:pPr>
              <w:pStyle w:val="TableText"/>
              <w:keepLines/>
              <w:jc w:val="center"/>
              <w:rPr>
                <w:b/>
                <w:bCs/>
                <w:szCs w:val="22"/>
              </w:rPr>
            </w:pPr>
            <w:r w:rsidRPr="000D6356">
              <w:rPr>
                <w:b/>
                <w:bCs/>
                <w:szCs w:val="22"/>
              </w:rPr>
              <w:t xml:space="preserve">Projet de nouvelle Recommandation UIT-T </w:t>
            </w:r>
            <w:r w:rsidR="009E27A8" w:rsidRPr="000D6356">
              <w:rPr>
                <w:rFonts w:cs="Calibri"/>
                <w:b/>
                <w:bCs/>
                <w:szCs w:val="22"/>
              </w:rPr>
              <w:t>Y Y.4244 (anciennement Y.EPWS-fc</w:t>
            </w:r>
            <w:r w:rsidRPr="000D6356">
              <w:rPr>
                <w:b/>
                <w:bCs/>
                <w:szCs w:val="22"/>
              </w:rPr>
              <w:t>)</w:t>
            </w:r>
          </w:p>
        </w:tc>
        <w:tc>
          <w:tcPr>
            <w:tcW w:w="7806" w:type="dxa"/>
            <w:tcBorders>
              <w:top w:val="single" w:sz="4" w:space="0" w:color="auto"/>
              <w:left w:val="single" w:sz="4" w:space="0" w:color="auto"/>
              <w:bottom w:val="single" w:sz="4" w:space="0" w:color="auto"/>
              <w:right w:val="single" w:sz="4" w:space="0" w:color="auto"/>
            </w:tcBorders>
            <w:vAlign w:val="center"/>
          </w:tcPr>
          <w:p w14:paraId="7845F278" w14:textId="77777777" w:rsidR="00D64923" w:rsidRPr="000D6356" w:rsidRDefault="00D64923" w:rsidP="000D6356">
            <w:pPr>
              <w:pStyle w:val="enumlev1"/>
              <w:tabs>
                <w:tab w:val="clear" w:pos="794"/>
              </w:tabs>
              <w:ind w:left="526" w:hanging="526"/>
              <w:rPr>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b/>
                <w:bCs/>
                <w:sz w:val="22"/>
                <w:szCs w:val="22"/>
              </w:rPr>
              <w:t>Autorise</w:t>
            </w:r>
            <w:r w:rsidRPr="000D6356">
              <w:rPr>
                <w:sz w:val="22"/>
                <w:szCs w:val="22"/>
              </w:rPr>
              <w:t xml:space="preserve"> la Commission d'études 20 à procéder à l'examen de ce document en vue de son approbation (dans ce cas, sélectionnez l'une des deux options):</w:t>
            </w:r>
          </w:p>
          <w:p w14:paraId="2E73DCCE" w14:textId="77777777" w:rsidR="00D64923" w:rsidRPr="000D6356" w:rsidRDefault="00D64923" w:rsidP="000D6356">
            <w:pPr>
              <w:pStyle w:val="enumlev2"/>
              <w:tabs>
                <w:tab w:val="clear" w:pos="794"/>
                <w:tab w:val="clear" w:pos="1191"/>
              </w:tabs>
              <w:ind w:left="928"/>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t xml:space="preserve">Pas de </w:t>
            </w:r>
            <w:r w:rsidRPr="000D6356">
              <w:rPr>
                <w:rFonts w:cstheme="minorHAnsi"/>
                <w:sz w:val="22"/>
                <w:szCs w:val="22"/>
              </w:rPr>
              <w:t>commentaire ou de proposition de modification.</w:t>
            </w:r>
          </w:p>
          <w:p w14:paraId="316F3F23" w14:textId="2DEAA460" w:rsidR="00D64923" w:rsidRPr="000D6356" w:rsidRDefault="00D64923" w:rsidP="000D6356">
            <w:pPr>
              <w:pStyle w:val="enumlev2"/>
              <w:tabs>
                <w:tab w:val="clear" w:pos="794"/>
                <w:tab w:val="clear" w:pos="1191"/>
              </w:tabs>
              <w:ind w:left="928"/>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rFonts w:cstheme="minorHAnsi"/>
                <w:sz w:val="22"/>
                <w:szCs w:val="22"/>
              </w:rPr>
              <w:tab/>
              <w:t>Des commentaires ou propositions de modification sont joints à la présente.</w:t>
            </w:r>
          </w:p>
        </w:tc>
      </w:tr>
      <w:tr w:rsidR="00D64923" w:rsidRPr="000D6356" w14:paraId="46AFBE67" w14:textId="77777777" w:rsidTr="000D6356">
        <w:trPr>
          <w:trHeight w:val="747"/>
        </w:trPr>
        <w:tc>
          <w:tcPr>
            <w:tcW w:w="1913" w:type="dxa"/>
            <w:vMerge/>
            <w:tcBorders>
              <w:left w:val="single" w:sz="4" w:space="0" w:color="auto"/>
              <w:bottom w:val="single" w:sz="4" w:space="0" w:color="auto"/>
              <w:right w:val="single" w:sz="4" w:space="0" w:color="auto"/>
            </w:tcBorders>
            <w:vAlign w:val="center"/>
          </w:tcPr>
          <w:p w14:paraId="6B5C6FCB" w14:textId="77777777" w:rsidR="00D64923" w:rsidRPr="000D6356" w:rsidRDefault="00D64923" w:rsidP="00D64923">
            <w:pPr>
              <w:pStyle w:val="TableText"/>
              <w:keepLines/>
              <w:jc w:val="center"/>
              <w:rPr>
                <w:b/>
                <w:bCs/>
                <w:szCs w:val="22"/>
              </w:rPr>
            </w:pPr>
          </w:p>
        </w:tc>
        <w:tc>
          <w:tcPr>
            <w:tcW w:w="7806" w:type="dxa"/>
            <w:tcBorders>
              <w:top w:val="single" w:sz="4" w:space="0" w:color="auto"/>
              <w:left w:val="single" w:sz="4" w:space="0" w:color="auto"/>
              <w:bottom w:val="single" w:sz="4" w:space="0" w:color="auto"/>
              <w:right w:val="single" w:sz="4" w:space="0" w:color="auto"/>
            </w:tcBorders>
            <w:vAlign w:val="center"/>
          </w:tcPr>
          <w:p w14:paraId="5439C10C" w14:textId="7495A97A" w:rsidR="00D64923" w:rsidRPr="000D6356" w:rsidRDefault="00D64923" w:rsidP="000D6356">
            <w:pPr>
              <w:pStyle w:val="enumlev1"/>
              <w:tabs>
                <w:tab w:val="clear" w:pos="794"/>
              </w:tabs>
              <w:ind w:left="526" w:hanging="526"/>
              <w:rPr>
                <w:rFonts w:cstheme="minorHAnsi"/>
                <w:sz w:val="22"/>
                <w:szCs w:val="22"/>
              </w:rPr>
            </w:pPr>
            <w:r w:rsidRPr="000D6356">
              <w:rPr>
                <w:rFonts w:cstheme="minorHAnsi"/>
                <w:sz w:val="22"/>
                <w:szCs w:val="22"/>
              </w:rPr>
              <w:fldChar w:fldCharType="begin">
                <w:ffData>
                  <w:name w:val="Check1"/>
                  <w:enabled/>
                  <w:calcOnExit w:val="0"/>
                  <w:checkBox>
                    <w:sizeAuto/>
                    <w:default w:val="0"/>
                  </w:checkBox>
                </w:ffData>
              </w:fldChar>
            </w:r>
            <w:r w:rsidRPr="000D6356">
              <w:rPr>
                <w:rFonts w:cstheme="minorHAnsi"/>
                <w:sz w:val="22"/>
                <w:szCs w:val="22"/>
              </w:rPr>
              <w:instrText xml:space="preserve"> FORMCHECKBOX </w:instrText>
            </w:r>
            <w:r w:rsidRPr="000D6356">
              <w:rPr>
                <w:rFonts w:cstheme="minorHAnsi"/>
                <w:sz w:val="22"/>
                <w:szCs w:val="22"/>
              </w:rPr>
            </w:r>
            <w:r w:rsidRPr="000D6356">
              <w:rPr>
                <w:rFonts w:cstheme="minorHAnsi"/>
                <w:sz w:val="22"/>
                <w:szCs w:val="22"/>
              </w:rPr>
              <w:fldChar w:fldCharType="separate"/>
            </w:r>
            <w:r w:rsidRPr="000D6356">
              <w:rPr>
                <w:rFonts w:cstheme="minorHAnsi"/>
                <w:sz w:val="22"/>
                <w:szCs w:val="22"/>
              </w:rPr>
              <w:fldChar w:fldCharType="end"/>
            </w:r>
            <w:r w:rsidRPr="000D6356">
              <w:rPr>
                <w:sz w:val="22"/>
                <w:szCs w:val="22"/>
              </w:rPr>
              <w:tab/>
            </w:r>
            <w:r w:rsidRPr="000D6356">
              <w:rPr>
                <w:b/>
                <w:bCs/>
                <w:sz w:val="22"/>
                <w:szCs w:val="22"/>
              </w:rPr>
              <w:t>N'autorise pas</w:t>
            </w:r>
            <w:r w:rsidRPr="000D6356">
              <w:rPr>
                <w:sz w:val="22"/>
                <w:szCs w:val="22"/>
              </w:rPr>
              <w:t xml:space="preserve"> la Commission d'études 20 à procéder à l'examen de ce document en vue de son approbation (les motifs de cette décision et une description des éventuelles modifications qui permettraient la poursuite des travaux sont joints à la présente)</w:t>
            </w:r>
            <w:r w:rsidR="00976724" w:rsidRPr="000D6356">
              <w:rPr>
                <w:sz w:val="22"/>
                <w:szCs w:val="22"/>
              </w:rPr>
              <w:t>.</w:t>
            </w:r>
          </w:p>
        </w:tc>
      </w:tr>
    </w:tbl>
    <w:p w14:paraId="62FBFED4" w14:textId="77777777" w:rsidR="00E23217" w:rsidRPr="000D6356" w:rsidRDefault="00E23217" w:rsidP="00E23217">
      <w:pPr>
        <w:rPr>
          <w:bCs/>
        </w:rPr>
      </w:pPr>
      <w:r w:rsidRPr="000D6356">
        <w:rPr>
          <w:bCs/>
        </w:rPr>
        <w:t>Veuillez agréer, Madame, Monsieur, l'assurance de ma considération distinguée.</w:t>
      </w:r>
    </w:p>
    <w:p w14:paraId="786BEAC5" w14:textId="2F952BA8" w:rsidR="00E23217" w:rsidRPr="000D6356" w:rsidRDefault="00E23217" w:rsidP="009E27A8">
      <w:pPr>
        <w:tabs>
          <w:tab w:val="clear" w:pos="794"/>
          <w:tab w:val="clear" w:pos="1191"/>
          <w:tab w:val="clear" w:pos="1588"/>
          <w:tab w:val="clear" w:pos="1985"/>
          <w:tab w:val="left" w:pos="5347"/>
        </w:tabs>
        <w:spacing w:before="840"/>
        <w:rPr>
          <w:bCs/>
          <w:highlight w:val="green"/>
        </w:rPr>
      </w:pPr>
      <w:r w:rsidRPr="000D6356">
        <w:rPr>
          <w:bCs/>
          <w:highlight w:val="green"/>
        </w:rPr>
        <w:t>[Nom]</w:t>
      </w:r>
    </w:p>
    <w:p w14:paraId="5F1A8D03" w14:textId="77777777" w:rsidR="00E23217" w:rsidRPr="000D6356" w:rsidRDefault="00E23217" w:rsidP="00E23217">
      <w:pPr>
        <w:spacing w:before="0"/>
        <w:rPr>
          <w:bCs/>
        </w:rPr>
      </w:pPr>
      <w:r w:rsidRPr="000D6356">
        <w:rPr>
          <w:bCs/>
          <w:highlight w:val="green"/>
        </w:rPr>
        <w:t>[Rôle/titre officiel]</w:t>
      </w:r>
    </w:p>
    <w:p w14:paraId="49E62919" w14:textId="2745C1AA" w:rsidR="00E23217" w:rsidRDefault="00E23217" w:rsidP="00E23217">
      <w:pPr>
        <w:spacing w:before="0"/>
        <w:rPr>
          <w:bCs/>
        </w:rPr>
      </w:pPr>
      <w:r w:rsidRPr="000D6356">
        <w:rPr>
          <w:bCs/>
        </w:rPr>
        <w:t xml:space="preserve">Administration de </w:t>
      </w:r>
      <w:r w:rsidRPr="000D6356">
        <w:rPr>
          <w:bCs/>
          <w:highlight w:val="green"/>
        </w:rPr>
        <w:t>[État Membre]</w:t>
      </w:r>
    </w:p>
    <w:p w14:paraId="1832BB9C" w14:textId="77777777" w:rsidR="00D033C0" w:rsidRDefault="00D033C0" w:rsidP="00E23217">
      <w:pPr>
        <w:spacing w:before="0"/>
        <w:rPr>
          <w:bCs/>
        </w:rPr>
      </w:pPr>
    </w:p>
    <w:p w14:paraId="6F12BF3E" w14:textId="77777777" w:rsidR="00D033C0" w:rsidRDefault="00D033C0" w:rsidP="00E23217">
      <w:pPr>
        <w:spacing w:before="0"/>
        <w:rPr>
          <w:bCs/>
        </w:rPr>
      </w:pPr>
    </w:p>
    <w:p w14:paraId="4E4E14D8" w14:textId="1BC49060" w:rsidR="00D033C0" w:rsidRPr="000D6356" w:rsidRDefault="00D033C0" w:rsidP="00D033C0">
      <w:pPr>
        <w:spacing w:before="0"/>
        <w:jc w:val="center"/>
        <w:rPr>
          <w:bCs/>
        </w:rPr>
      </w:pPr>
      <w:r>
        <w:rPr>
          <w:bCs/>
        </w:rPr>
        <w:t>_______________</w:t>
      </w:r>
    </w:p>
    <w:sectPr w:rsidR="00D033C0" w:rsidRPr="000D6356" w:rsidSect="00D033C0">
      <w:headerReference w:type="default" r:id="rId26"/>
      <w:footerReference w:type="first" r:id="rId27"/>
      <w:pgSz w:w="11907" w:h="16840" w:code="9"/>
      <w:pgMar w:top="1134" w:right="1017" w:bottom="720" w:left="1089" w:header="567" w:footer="435"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23661929"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00B646E7">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0BC40659" w:rsidR="00697BC1" w:rsidRPr="00697BC1" w:rsidRDefault="00DA0048"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9E27A8">
      <w:rPr>
        <w:noProof/>
        <w:sz w:val="18"/>
        <w:szCs w:val="16"/>
      </w:rPr>
      <w:t>106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0D6356"/>
    <w:rsid w:val="001026FD"/>
    <w:rsid w:val="001077FD"/>
    <w:rsid w:val="00115DD7"/>
    <w:rsid w:val="00167472"/>
    <w:rsid w:val="00167F92"/>
    <w:rsid w:val="00173738"/>
    <w:rsid w:val="001B79A3"/>
    <w:rsid w:val="001F6317"/>
    <w:rsid w:val="002152A3"/>
    <w:rsid w:val="0023667A"/>
    <w:rsid w:val="00255476"/>
    <w:rsid w:val="002937DB"/>
    <w:rsid w:val="002A44C1"/>
    <w:rsid w:val="002B3F9C"/>
    <w:rsid w:val="002B4BAC"/>
    <w:rsid w:val="002E395D"/>
    <w:rsid w:val="00307FB4"/>
    <w:rsid w:val="003131F0"/>
    <w:rsid w:val="00333A80"/>
    <w:rsid w:val="00341117"/>
    <w:rsid w:val="00364E95"/>
    <w:rsid w:val="00372875"/>
    <w:rsid w:val="003742F8"/>
    <w:rsid w:val="00390EC7"/>
    <w:rsid w:val="003B1E80"/>
    <w:rsid w:val="003B66E8"/>
    <w:rsid w:val="003E66AD"/>
    <w:rsid w:val="004033F1"/>
    <w:rsid w:val="00414B0C"/>
    <w:rsid w:val="00423C21"/>
    <w:rsid w:val="004257AC"/>
    <w:rsid w:val="0043711B"/>
    <w:rsid w:val="004419E9"/>
    <w:rsid w:val="00445B68"/>
    <w:rsid w:val="00456473"/>
    <w:rsid w:val="0048088B"/>
    <w:rsid w:val="004977C9"/>
    <w:rsid w:val="004B732E"/>
    <w:rsid w:val="004D51F4"/>
    <w:rsid w:val="004D64E0"/>
    <w:rsid w:val="005120A2"/>
    <w:rsid w:val="0051210D"/>
    <w:rsid w:val="005136D2"/>
    <w:rsid w:val="00517A03"/>
    <w:rsid w:val="00524A7F"/>
    <w:rsid w:val="00531550"/>
    <w:rsid w:val="005A3DD9"/>
    <w:rsid w:val="005B1DFC"/>
    <w:rsid w:val="00601682"/>
    <w:rsid w:val="00603470"/>
    <w:rsid w:val="00625E79"/>
    <w:rsid w:val="0062725C"/>
    <w:rsid w:val="006333F7"/>
    <w:rsid w:val="006427A1"/>
    <w:rsid w:val="00644741"/>
    <w:rsid w:val="00697BC1"/>
    <w:rsid w:val="006A6FFE"/>
    <w:rsid w:val="006C5A91"/>
    <w:rsid w:val="006E12ED"/>
    <w:rsid w:val="006F52F7"/>
    <w:rsid w:val="00716BBC"/>
    <w:rsid w:val="007321BC"/>
    <w:rsid w:val="00760063"/>
    <w:rsid w:val="00775E4B"/>
    <w:rsid w:val="0079553B"/>
    <w:rsid w:val="00795679"/>
    <w:rsid w:val="007A40FE"/>
    <w:rsid w:val="007D6625"/>
    <w:rsid w:val="00810105"/>
    <w:rsid w:val="008157E0"/>
    <w:rsid w:val="0083639F"/>
    <w:rsid w:val="00842CA2"/>
    <w:rsid w:val="00850477"/>
    <w:rsid w:val="00854E1D"/>
    <w:rsid w:val="00882BAF"/>
    <w:rsid w:val="00887FA6"/>
    <w:rsid w:val="00893944"/>
    <w:rsid w:val="008C4397"/>
    <w:rsid w:val="008C465A"/>
    <w:rsid w:val="008F2C9B"/>
    <w:rsid w:val="00923CD6"/>
    <w:rsid w:val="00935AA8"/>
    <w:rsid w:val="0096748E"/>
    <w:rsid w:val="00971C9A"/>
    <w:rsid w:val="00976724"/>
    <w:rsid w:val="00976EC8"/>
    <w:rsid w:val="009B35F7"/>
    <w:rsid w:val="009D50D7"/>
    <w:rsid w:val="009D51FA"/>
    <w:rsid w:val="009D6C75"/>
    <w:rsid w:val="009E27A8"/>
    <w:rsid w:val="009F1E23"/>
    <w:rsid w:val="00A15179"/>
    <w:rsid w:val="00A51537"/>
    <w:rsid w:val="00A5280F"/>
    <w:rsid w:val="00A55D53"/>
    <w:rsid w:val="00A5645A"/>
    <w:rsid w:val="00A60FC1"/>
    <w:rsid w:val="00A97C37"/>
    <w:rsid w:val="00AA131B"/>
    <w:rsid w:val="00AB27D2"/>
    <w:rsid w:val="00AC37B5"/>
    <w:rsid w:val="00AD752F"/>
    <w:rsid w:val="00AF08A4"/>
    <w:rsid w:val="00AF0D7D"/>
    <w:rsid w:val="00B27B41"/>
    <w:rsid w:val="00B42659"/>
    <w:rsid w:val="00B46F2D"/>
    <w:rsid w:val="00B60868"/>
    <w:rsid w:val="00B646E7"/>
    <w:rsid w:val="00B8573E"/>
    <w:rsid w:val="00BB24C0"/>
    <w:rsid w:val="00BD6ECF"/>
    <w:rsid w:val="00C26F2E"/>
    <w:rsid w:val="00C302E3"/>
    <w:rsid w:val="00C41B89"/>
    <w:rsid w:val="00C45376"/>
    <w:rsid w:val="00C9028F"/>
    <w:rsid w:val="00CA0416"/>
    <w:rsid w:val="00CB1125"/>
    <w:rsid w:val="00CB4E80"/>
    <w:rsid w:val="00CD042E"/>
    <w:rsid w:val="00CF2560"/>
    <w:rsid w:val="00CF5B46"/>
    <w:rsid w:val="00D033C0"/>
    <w:rsid w:val="00D0775F"/>
    <w:rsid w:val="00D46B68"/>
    <w:rsid w:val="00D542A5"/>
    <w:rsid w:val="00D64923"/>
    <w:rsid w:val="00D7021F"/>
    <w:rsid w:val="00D72144"/>
    <w:rsid w:val="00DA0048"/>
    <w:rsid w:val="00DC3D47"/>
    <w:rsid w:val="00DD6935"/>
    <w:rsid w:val="00DD77DA"/>
    <w:rsid w:val="00E06C61"/>
    <w:rsid w:val="00E13DB3"/>
    <w:rsid w:val="00E23217"/>
    <w:rsid w:val="00E2408B"/>
    <w:rsid w:val="00E62CEA"/>
    <w:rsid w:val="00E64DD9"/>
    <w:rsid w:val="00E66B39"/>
    <w:rsid w:val="00E72AE1"/>
    <w:rsid w:val="00ED6A7A"/>
    <w:rsid w:val="00EE4C36"/>
    <w:rsid w:val="00EF6A23"/>
    <w:rsid w:val="00F346CE"/>
    <w:rsid w:val="00F34F98"/>
    <w:rsid w:val="00F40540"/>
    <w:rsid w:val="00F67402"/>
    <w:rsid w:val="00F766A2"/>
    <w:rsid w:val="00F9451D"/>
    <w:rsid w:val="00FD5609"/>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5-SG20-R-0012/fr" TargetMode="External"/><Relationship Id="rId18" Type="http://schemas.openxmlformats.org/officeDocument/2006/relationships/hyperlink" Target="http://www.itu.int/ip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tu.int/md/T25-SG20-R-0018/en"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itu.int/fr/ITU-T/ipr/Pages/default.aspx" TargetMode="External"/><Relationship Id="rId25" Type="http://schemas.openxmlformats.org/officeDocument/2006/relationships/hyperlink" Target="mailto:tsbdir@itu.int" TargetMode="External"/><Relationship Id="rId2" Type="http://schemas.openxmlformats.org/officeDocument/2006/relationships/numbering" Target="numbering.xml"/><Relationship Id="rId16" Type="http://schemas.openxmlformats.org/officeDocument/2006/relationships/hyperlink" Target="https://www.itu.int/md/T25-SG20-R-0015/en" TargetMode="External"/><Relationship Id="rId20" Type="http://schemas.openxmlformats.org/officeDocument/2006/relationships/hyperlink" Target="https://www.itu.int/md/T25-SG20-R-0017/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20-COL-0003/fr" TargetMode="External"/><Relationship Id="rId24" Type="http://schemas.openxmlformats.org/officeDocument/2006/relationships/hyperlink" Target="https://www.itu.int/md/T25-SG20-R-0021/en" TargetMode="External"/><Relationship Id="rId5" Type="http://schemas.openxmlformats.org/officeDocument/2006/relationships/webSettings" Target="webSettings.xml"/><Relationship Id="rId15" Type="http://schemas.openxmlformats.org/officeDocument/2006/relationships/hyperlink" Target="https://www.itu.int/md/T25-SG20-R-0014/en" TargetMode="External"/><Relationship Id="rId23" Type="http://schemas.openxmlformats.org/officeDocument/2006/relationships/hyperlink" Target="https://www.itu.int/md/T25-SG20-R-0020/en" TargetMode="External"/><Relationship Id="rId28" Type="http://schemas.openxmlformats.org/officeDocument/2006/relationships/fontTable" Target="fontTable.xml"/><Relationship Id="rId10" Type="http://schemas.openxmlformats.org/officeDocument/2006/relationships/hyperlink" Target="https://www.itu.int/dms_pub/itu-t/opb/res/T-RES-T.1-2022-PDF-F.pdf" TargetMode="External"/><Relationship Id="rId19" Type="http://schemas.openxmlformats.org/officeDocument/2006/relationships/hyperlink" Target="https://www.itu.int/md/T25-SG20-R-0016/en" TargetMode="External"/><Relationship Id="rId4" Type="http://schemas.openxmlformats.org/officeDocument/2006/relationships/settings" Target="settings.xml"/><Relationship Id="rId9" Type="http://schemas.openxmlformats.org/officeDocument/2006/relationships/hyperlink" Target="mailto:tsbsg20@itu.int" TargetMode="External"/><Relationship Id="rId14" Type="http://schemas.openxmlformats.org/officeDocument/2006/relationships/hyperlink" Target="https://www.itu.int/md/T25-SG20-R-0013/fr" TargetMode="External"/><Relationship Id="rId22" Type="http://schemas.openxmlformats.org/officeDocument/2006/relationships/hyperlink" Target="https://www.itu.int/md/T25-SG20-R-0019/en"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34</TotalTime>
  <Pages>9</Pages>
  <Words>4173</Words>
  <Characters>23792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27910</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6</cp:revision>
  <cp:lastPrinted>2026-03-27T08:56:00Z</cp:lastPrinted>
  <dcterms:created xsi:type="dcterms:W3CDTF">2026-02-23T12:17:00Z</dcterms:created>
  <dcterms:modified xsi:type="dcterms:W3CDTF">2026-03-27T08:56:00Z</dcterms:modified>
</cp:coreProperties>
</file>