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0BB0446" w14:textId="77777777" w:rsidTr="00D517B2">
        <w:trPr>
          <w:cantSplit/>
          <w:trHeight w:val="1134"/>
        </w:trPr>
        <w:tc>
          <w:tcPr>
            <w:tcW w:w="798" w:type="pct"/>
          </w:tcPr>
          <w:p w14:paraId="22F6BDDC" w14:textId="77777777" w:rsidR="00D517B2" w:rsidRPr="00D517B2" w:rsidRDefault="00D517B2" w:rsidP="00D517B2">
            <w:pPr>
              <w:spacing w:before="0" w:line="240" w:lineRule="auto"/>
              <w:rPr>
                <w:b/>
                <w:bCs/>
                <w:rtl/>
                <w:lang w:bidi="ar-EG"/>
              </w:rPr>
            </w:pPr>
            <w:r w:rsidRPr="00D517B2">
              <w:rPr>
                <w:noProof/>
              </w:rPr>
              <w:drawing>
                <wp:inline distT="0" distB="0" distL="0" distR="0" wp14:anchorId="58946771" wp14:editId="505135B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EDE54EB"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26CBDD2"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260"/>
        <w:gridCol w:w="4818"/>
      </w:tblGrid>
      <w:tr w:rsidR="00D517B2" w:rsidRPr="00D517B2" w14:paraId="7A962D9C" w14:textId="77777777" w:rsidTr="0091174B">
        <w:trPr>
          <w:cantSplit/>
          <w:jc w:val="center"/>
        </w:trPr>
        <w:tc>
          <w:tcPr>
            <w:tcW w:w="810" w:type="pct"/>
          </w:tcPr>
          <w:p w14:paraId="0C450F5D" w14:textId="77777777" w:rsidR="00D517B2" w:rsidRPr="00D517B2" w:rsidRDefault="00D517B2" w:rsidP="006019C6">
            <w:pPr>
              <w:spacing w:before="80" w:line="300" w:lineRule="exact"/>
              <w:jc w:val="left"/>
              <w:rPr>
                <w:position w:val="2"/>
              </w:rPr>
            </w:pPr>
          </w:p>
        </w:tc>
        <w:tc>
          <w:tcPr>
            <w:tcW w:w="1691" w:type="pct"/>
          </w:tcPr>
          <w:p w14:paraId="506B0870" w14:textId="77777777" w:rsidR="00D517B2" w:rsidRPr="00D517B2" w:rsidRDefault="00D517B2" w:rsidP="006019C6">
            <w:pPr>
              <w:spacing w:before="80" w:line="300" w:lineRule="exact"/>
              <w:jc w:val="left"/>
              <w:rPr>
                <w:position w:val="2"/>
                <w:lang w:bidi="ar-EG"/>
              </w:rPr>
            </w:pPr>
          </w:p>
        </w:tc>
        <w:tc>
          <w:tcPr>
            <w:tcW w:w="2499" w:type="pct"/>
          </w:tcPr>
          <w:p w14:paraId="352F81E0" w14:textId="55B229BB"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91174B">
              <w:rPr>
                <w:rFonts w:hint="cs"/>
                <w:position w:val="2"/>
                <w:rtl/>
              </w:rPr>
              <w:t>13 فبراير 2026</w:t>
            </w:r>
          </w:p>
        </w:tc>
      </w:tr>
      <w:tr w:rsidR="00372F67" w:rsidRPr="00D517B2" w14:paraId="7F642B58" w14:textId="77777777" w:rsidTr="0091174B">
        <w:trPr>
          <w:cantSplit/>
          <w:jc w:val="center"/>
        </w:trPr>
        <w:tc>
          <w:tcPr>
            <w:tcW w:w="810" w:type="pct"/>
          </w:tcPr>
          <w:p w14:paraId="6E60C58F"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691" w:type="pct"/>
          </w:tcPr>
          <w:p w14:paraId="1A24986F" w14:textId="77777777" w:rsidR="0091174B" w:rsidRPr="0091174B" w:rsidRDefault="0091174B" w:rsidP="0091174B">
            <w:pPr>
              <w:spacing w:before="80" w:after="60" w:line="300" w:lineRule="exact"/>
              <w:jc w:val="left"/>
              <w:rPr>
                <w:b/>
                <w:bCs/>
                <w:position w:val="2"/>
                <w:lang w:val="en-GB"/>
              </w:rPr>
            </w:pPr>
            <w:r w:rsidRPr="0091174B">
              <w:rPr>
                <w:b/>
                <w:bCs/>
                <w:position w:val="2"/>
                <w:lang w:val="en-GB"/>
              </w:rPr>
              <w:t>TSB Circular 106</w:t>
            </w:r>
          </w:p>
          <w:p w14:paraId="118803F3" w14:textId="08F88FAE" w:rsidR="00372F67" w:rsidRPr="00D517B2" w:rsidRDefault="0091174B" w:rsidP="0091174B">
            <w:pPr>
              <w:spacing w:before="80" w:after="60" w:line="300" w:lineRule="exact"/>
              <w:jc w:val="left"/>
              <w:rPr>
                <w:b/>
                <w:position w:val="2"/>
              </w:rPr>
            </w:pPr>
            <w:r w:rsidRPr="0091174B">
              <w:rPr>
                <w:b/>
                <w:position w:val="2"/>
                <w:lang w:val="en-GB"/>
              </w:rPr>
              <w:t>SG20/CB</w:t>
            </w:r>
          </w:p>
        </w:tc>
        <w:tc>
          <w:tcPr>
            <w:tcW w:w="2499" w:type="pct"/>
            <w:vMerge w:val="restart"/>
          </w:tcPr>
          <w:p w14:paraId="2A0C44A4" w14:textId="77777777" w:rsidR="00372F67" w:rsidRPr="0091174B" w:rsidRDefault="00372F67" w:rsidP="001F4353">
            <w:pPr>
              <w:tabs>
                <w:tab w:val="clear" w:pos="794"/>
                <w:tab w:val="left" w:pos="284"/>
              </w:tabs>
              <w:spacing w:before="80" w:after="60" w:line="300" w:lineRule="exact"/>
              <w:jc w:val="left"/>
              <w:rPr>
                <w:b/>
                <w:bCs/>
                <w:position w:val="2"/>
                <w:rtl/>
                <w:lang w:bidi="ar-EG"/>
              </w:rPr>
            </w:pPr>
            <w:r w:rsidRPr="0091174B">
              <w:rPr>
                <w:rFonts w:hint="cs"/>
                <w:b/>
                <w:bCs/>
                <w:position w:val="2"/>
                <w:rtl/>
              </w:rPr>
              <w:t>إلى:</w:t>
            </w:r>
          </w:p>
          <w:p w14:paraId="2F123BC4" w14:textId="7FE7B739" w:rsidR="0091174B" w:rsidRPr="0091174B" w:rsidRDefault="0091174B" w:rsidP="0091174B">
            <w:pPr>
              <w:tabs>
                <w:tab w:val="clear" w:pos="794"/>
                <w:tab w:val="left" w:pos="284"/>
              </w:tabs>
              <w:spacing w:before="80" w:after="60" w:line="300" w:lineRule="exact"/>
              <w:ind w:left="284" w:hanging="284"/>
              <w:jc w:val="left"/>
              <w:rPr>
                <w:position w:val="2"/>
              </w:rPr>
            </w:pPr>
            <w:r w:rsidRPr="0091174B">
              <w:rPr>
                <w:rFonts w:hint="cs"/>
                <w:position w:val="2"/>
                <w:rtl/>
              </w:rPr>
              <w:t>-</w:t>
            </w:r>
            <w:r w:rsidRPr="0091174B">
              <w:rPr>
                <w:position w:val="2"/>
                <w:rtl/>
              </w:rPr>
              <w:tab/>
              <w:t>إدارات الدول الأعضاء في الاتحاد؛</w:t>
            </w:r>
          </w:p>
          <w:p w14:paraId="698BA87E" w14:textId="39AD569A" w:rsidR="0091174B" w:rsidRPr="0091174B" w:rsidRDefault="0091174B" w:rsidP="0091174B">
            <w:pPr>
              <w:tabs>
                <w:tab w:val="clear" w:pos="794"/>
                <w:tab w:val="left" w:pos="284"/>
              </w:tabs>
              <w:spacing w:before="80" w:after="60" w:line="300" w:lineRule="exact"/>
              <w:ind w:left="284" w:hanging="284"/>
              <w:jc w:val="left"/>
              <w:rPr>
                <w:position w:val="2"/>
              </w:rPr>
            </w:pPr>
            <w:r w:rsidRPr="0091174B">
              <w:rPr>
                <w:rFonts w:hint="cs"/>
                <w:position w:val="2"/>
                <w:rtl/>
              </w:rPr>
              <w:t>-</w:t>
            </w:r>
            <w:r w:rsidRPr="0091174B">
              <w:rPr>
                <w:position w:val="2"/>
                <w:rtl/>
              </w:rPr>
              <w:tab/>
              <w:t xml:space="preserve">دولة فلسطين </w:t>
            </w:r>
            <w:r w:rsidR="008B5D4E">
              <w:rPr>
                <w:rFonts w:hint="cs"/>
                <w:position w:val="2"/>
                <w:rtl/>
              </w:rPr>
              <w:t>(</w:t>
            </w:r>
            <w:r w:rsidRPr="0091174B">
              <w:rPr>
                <w:position w:val="2"/>
                <w:rtl/>
              </w:rPr>
              <w:t>القرار 99 (المراج</w:t>
            </w:r>
            <w:r w:rsidRPr="0091174B">
              <w:rPr>
                <w:rFonts w:hint="cs"/>
                <w:position w:val="2"/>
                <w:rtl/>
              </w:rPr>
              <w:t>َ</w:t>
            </w:r>
            <w:r w:rsidRPr="0091174B">
              <w:rPr>
                <w:position w:val="2"/>
                <w:rtl/>
              </w:rPr>
              <w:t>ع في دبي، 2018))</w:t>
            </w:r>
          </w:p>
          <w:p w14:paraId="1243EFED" w14:textId="77777777" w:rsidR="00372F67" w:rsidRPr="0091174B" w:rsidRDefault="00372F67" w:rsidP="001F4353">
            <w:pPr>
              <w:tabs>
                <w:tab w:val="clear" w:pos="794"/>
                <w:tab w:val="left" w:pos="284"/>
              </w:tabs>
              <w:spacing w:before="80" w:after="60" w:line="300" w:lineRule="exact"/>
              <w:ind w:left="284" w:hanging="284"/>
              <w:jc w:val="left"/>
              <w:rPr>
                <w:b/>
                <w:bCs/>
                <w:position w:val="2"/>
                <w:rtl/>
              </w:rPr>
            </w:pPr>
            <w:r w:rsidRPr="0091174B">
              <w:rPr>
                <w:rFonts w:hint="cs"/>
                <w:b/>
                <w:bCs/>
                <w:position w:val="2"/>
                <w:rtl/>
              </w:rPr>
              <w:t>نسخة إلى:</w:t>
            </w:r>
          </w:p>
          <w:p w14:paraId="212359B0" w14:textId="1D06433F" w:rsidR="0091174B" w:rsidRPr="0091174B" w:rsidRDefault="0091174B" w:rsidP="0091174B">
            <w:pPr>
              <w:tabs>
                <w:tab w:val="left" w:pos="284"/>
                <w:tab w:val="left" w:pos="4111"/>
              </w:tabs>
              <w:spacing w:before="80" w:after="60" w:line="300" w:lineRule="exact"/>
              <w:ind w:left="284" w:hanging="284"/>
              <w:rPr>
                <w:position w:val="2"/>
              </w:rPr>
            </w:pPr>
            <w:r w:rsidRPr="0091174B">
              <w:rPr>
                <w:rFonts w:hint="cs"/>
                <w:position w:val="2"/>
                <w:rtl/>
              </w:rPr>
              <w:t>-</w:t>
            </w:r>
            <w:r w:rsidRPr="0091174B">
              <w:rPr>
                <w:position w:val="2"/>
                <w:rtl/>
              </w:rPr>
              <w:tab/>
              <w:t>أعضاء قطاع تقييس الاتصالات؛</w:t>
            </w:r>
          </w:p>
          <w:p w14:paraId="643486E8" w14:textId="265086FD" w:rsidR="0091174B" w:rsidRPr="0091174B" w:rsidRDefault="0091174B" w:rsidP="0091174B">
            <w:pPr>
              <w:tabs>
                <w:tab w:val="left" w:pos="284"/>
                <w:tab w:val="left" w:pos="4111"/>
              </w:tabs>
              <w:spacing w:before="80" w:after="60" w:line="300" w:lineRule="exact"/>
              <w:ind w:left="284" w:hanging="284"/>
              <w:rPr>
                <w:position w:val="2"/>
              </w:rPr>
            </w:pPr>
            <w:r w:rsidRPr="0091174B">
              <w:rPr>
                <w:rFonts w:hint="cs"/>
                <w:position w:val="2"/>
                <w:rtl/>
              </w:rPr>
              <w:t>-</w:t>
            </w:r>
            <w:r w:rsidRPr="0091174B">
              <w:rPr>
                <w:position w:val="2"/>
                <w:rtl/>
              </w:rPr>
              <w:tab/>
            </w:r>
            <w:r w:rsidRPr="0091174B">
              <w:rPr>
                <w:rFonts w:ascii="Segoe UI" w:hAnsi="Segoe UI" w:cs="Segoe UI"/>
                <w:color w:val="000000"/>
                <w:sz w:val="20"/>
                <w:szCs w:val="20"/>
                <w:shd w:val="clear" w:color="auto" w:fill="FFFFFF"/>
                <w:rtl/>
              </w:rPr>
              <w:t xml:space="preserve"> </w:t>
            </w:r>
            <w:r w:rsidRPr="0091174B">
              <w:rPr>
                <w:position w:val="2"/>
                <w:rtl/>
              </w:rPr>
              <w:t>المنتسبون إلى قطاع تقييس الاتصالات المشاركون في أعمال لجنة الدراسات 20؛</w:t>
            </w:r>
          </w:p>
          <w:p w14:paraId="4E28678B" w14:textId="0308A25B" w:rsidR="0091174B" w:rsidRPr="0091174B" w:rsidRDefault="0091174B" w:rsidP="0091174B">
            <w:pPr>
              <w:tabs>
                <w:tab w:val="left" w:pos="284"/>
                <w:tab w:val="left" w:pos="4111"/>
              </w:tabs>
              <w:spacing w:before="80" w:after="60" w:line="300" w:lineRule="exact"/>
              <w:ind w:left="284" w:hanging="284"/>
              <w:rPr>
                <w:position w:val="2"/>
              </w:rPr>
            </w:pPr>
            <w:r w:rsidRPr="0091174B">
              <w:rPr>
                <w:rFonts w:hint="cs"/>
                <w:position w:val="2"/>
                <w:rtl/>
              </w:rPr>
              <w:t>-</w:t>
            </w:r>
            <w:r w:rsidRPr="0091174B">
              <w:rPr>
                <w:position w:val="2"/>
                <w:rtl/>
              </w:rPr>
              <w:tab/>
              <w:t>الهيئات الأكاديمية المنضمة إلى الاتحاد؛</w:t>
            </w:r>
          </w:p>
          <w:p w14:paraId="7F192399" w14:textId="7D13FB37" w:rsidR="0091174B" w:rsidRPr="0091174B" w:rsidRDefault="0091174B" w:rsidP="0091174B">
            <w:pPr>
              <w:tabs>
                <w:tab w:val="left" w:pos="284"/>
                <w:tab w:val="left" w:pos="4111"/>
              </w:tabs>
              <w:spacing w:before="80" w:after="60" w:line="300" w:lineRule="exact"/>
              <w:ind w:left="284" w:hanging="284"/>
              <w:rPr>
                <w:position w:val="2"/>
              </w:rPr>
            </w:pPr>
            <w:r w:rsidRPr="0091174B">
              <w:rPr>
                <w:rFonts w:hint="cs"/>
                <w:position w:val="2"/>
                <w:rtl/>
              </w:rPr>
              <w:t>-</w:t>
            </w:r>
            <w:r w:rsidRPr="0091174B">
              <w:rPr>
                <w:position w:val="2"/>
                <w:rtl/>
              </w:rPr>
              <w:tab/>
              <w:t>رئيس لجنة الدراسات 20 لقطاع تقييس الاتصالات ونوابه؛</w:t>
            </w:r>
          </w:p>
          <w:p w14:paraId="02779833" w14:textId="51B104D2" w:rsidR="0091174B" w:rsidRPr="0091174B" w:rsidRDefault="0091174B" w:rsidP="0091174B">
            <w:pPr>
              <w:tabs>
                <w:tab w:val="left" w:pos="284"/>
                <w:tab w:val="left" w:pos="4111"/>
              </w:tabs>
              <w:spacing w:before="80" w:after="60" w:line="300" w:lineRule="exact"/>
              <w:ind w:left="284" w:hanging="284"/>
              <w:rPr>
                <w:position w:val="2"/>
              </w:rPr>
            </w:pPr>
            <w:r w:rsidRPr="0091174B">
              <w:rPr>
                <w:rFonts w:hint="cs"/>
                <w:position w:val="2"/>
                <w:rtl/>
              </w:rPr>
              <w:t>-</w:t>
            </w:r>
            <w:r w:rsidRPr="0091174B">
              <w:rPr>
                <w:position w:val="2"/>
                <w:rtl/>
              </w:rPr>
              <w:tab/>
              <w:t>مدير مكتب تنمية الاتصالات؛</w:t>
            </w:r>
          </w:p>
          <w:p w14:paraId="00D4D10A" w14:textId="11ABB483" w:rsidR="00372F67" w:rsidRPr="0091174B" w:rsidRDefault="0091174B" w:rsidP="0091174B">
            <w:pPr>
              <w:tabs>
                <w:tab w:val="left" w:pos="284"/>
                <w:tab w:val="left" w:pos="4111"/>
              </w:tabs>
              <w:spacing w:before="80" w:after="60" w:line="300" w:lineRule="exact"/>
              <w:ind w:left="284" w:hanging="284"/>
              <w:rPr>
                <w:rFonts w:eastAsia="Times New Roman"/>
                <w:position w:val="2"/>
                <w:highlight w:val="yellow"/>
                <w:rtl/>
                <w:lang w:eastAsia="en-US"/>
              </w:rPr>
            </w:pPr>
            <w:r w:rsidRPr="0091174B">
              <w:rPr>
                <w:rFonts w:hint="cs"/>
                <w:position w:val="2"/>
                <w:rtl/>
              </w:rPr>
              <w:t>-</w:t>
            </w:r>
            <w:r w:rsidRPr="0091174B">
              <w:rPr>
                <w:position w:val="2"/>
                <w:rtl/>
              </w:rPr>
              <w:tab/>
              <w:t>مدير مكتب الاتصالات الراديوية</w:t>
            </w:r>
          </w:p>
        </w:tc>
      </w:tr>
      <w:tr w:rsidR="0091174B" w:rsidRPr="00D517B2" w14:paraId="5417AE11" w14:textId="77777777" w:rsidTr="0091174B">
        <w:trPr>
          <w:cantSplit/>
          <w:jc w:val="center"/>
        </w:trPr>
        <w:tc>
          <w:tcPr>
            <w:tcW w:w="810" w:type="pct"/>
          </w:tcPr>
          <w:p w14:paraId="40DFD072" w14:textId="496B66B6" w:rsidR="0091174B" w:rsidRPr="00A67585" w:rsidRDefault="0091174B" w:rsidP="0091174B">
            <w:pPr>
              <w:spacing w:before="80" w:after="60" w:line="300" w:lineRule="exact"/>
              <w:jc w:val="left"/>
              <w:rPr>
                <w:position w:val="2"/>
                <w:lang w:bidi="ar-EG"/>
              </w:rPr>
            </w:pPr>
            <w:r w:rsidRPr="00A67585">
              <w:rPr>
                <w:rFonts w:hint="cs"/>
                <w:position w:val="2"/>
                <w:rtl/>
                <w:lang w:bidi="ar-EG"/>
              </w:rPr>
              <w:t>ال</w:t>
            </w:r>
            <w:r w:rsidRPr="00A67585">
              <w:rPr>
                <w:rFonts w:hint="cs"/>
                <w:position w:val="2"/>
                <w:rtl/>
                <w:lang w:bidi="ar-SY"/>
              </w:rPr>
              <w:t>هاتف</w:t>
            </w:r>
            <w:r w:rsidRPr="00A67585">
              <w:rPr>
                <w:rFonts w:hint="cs"/>
                <w:position w:val="2"/>
                <w:rtl/>
              </w:rPr>
              <w:t>:</w:t>
            </w:r>
          </w:p>
        </w:tc>
        <w:tc>
          <w:tcPr>
            <w:tcW w:w="1691" w:type="pct"/>
          </w:tcPr>
          <w:p w14:paraId="654C85FF" w14:textId="058FB276" w:rsidR="0091174B" w:rsidRPr="00D517B2" w:rsidRDefault="0091174B" w:rsidP="0091174B">
            <w:pPr>
              <w:spacing w:before="80" w:after="60" w:line="300" w:lineRule="exact"/>
              <w:jc w:val="left"/>
              <w:rPr>
                <w:b/>
                <w:position w:val="2"/>
              </w:rPr>
            </w:pPr>
            <w:r w:rsidRPr="0091174B">
              <w:rPr>
                <w:position w:val="2"/>
                <w:lang w:val="en-GB"/>
              </w:rPr>
              <w:t>+41 22 730 6301</w:t>
            </w:r>
          </w:p>
        </w:tc>
        <w:tc>
          <w:tcPr>
            <w:tcW w:w="2499" w:type="pct"/>
            <w:vMerge/>
          </w:tcPr>
          <w:p w14:paraId="43BD66A5" w14:textId="77777777" w:rsidR="0091174B" w:rsidRPr="00D517B2" w:rsidRDefault="0091174B" w:rsidP="0091174B">
            <w:pPr>
              <w:tabs>
                <w:tab w:val="left" w:pos="284"/>
                <w:tab w:val="left" w:pos="4111"/>
              </w:tabs>
              <w:spacing w:before="80" w:after="60" w:line="300" w:lineRule="exact"/>
              <w:ind w:left="284" w:hanging="284"/>
              <w:rPr>
                <w:position w:val="2"/>
                <w:rtl/>
              </w:rPr>
            </w:pPr>
          </w:p>
        </w:tc>
      </w:tr>
      <w:tr w:rsidR="0091174B" w:rsidRPr="00D517B2" w14:paraId="65C0D37E" w14:textId="77777777" w:rsidTr="0091174B">
        <w:trPr>
          <w:cantSplit/>
          <w:jc w:val="center"/>
        </w:trPr>
        <w:tc>
          <w:tcPr>
            <w:tcW w:w="810" w:type="pct"/>
          </w:tcPr>
          <w:p w14:paraId="2B7DB21F" w14:textId="76C66442" w:rsidR="0091174B" w:rsidRPr="00A67585" w:rsidRDefault="0091174B" w:rsidP="0091174B">
            <w:pPr>
              <w:spacing w:before="80" w:after="60" w:line="300" w:lineRule="exact"/>
              <w:jc w:val="left"/>
              <w:rPr>
                <w:position w:val="2"/>
                <w:rtl/>
                <w:lang w:bidi="ar-EG"/>
              </w:rPr>
            </w:pPr>
            <w:r w:rsidRPr="00A67585">
              <w:rPr>
                <w:rFonts w:hint="cs"/>
                <w:position w:val="2"/>
                <w:rtl/>
              </w:rPr>
              <w:t>الفاكس:</w:t>
            </w:r>
          </w:p>
        </w:tc>
        <w:tc>
          <w:tcPr>
            <w:tcW w:w="1691" w:type="pct"/>
          </w:tcPr>
          <w:p w14:paraId="102710FA" w14:textId="145C1214" w:rsidR="0091174B" w:rsidRDefault="0091174B" w:rsidP="0091174B">
            <w:pPr>
              <w:spacing w:before="80" w:after="60" w:line="300" w:lineRule="exact"/>
              <w:jc w:val="left"/>
              <w:rPr>
                <w:b/>
                <w:bCs/>
                <w:position w:val="2"/>
                <w:rtl/>
                <w:lang w:bidi="ar-EG"/>
              </w:rPr>
            </w:pPr>
            <w:r w:rsidRPr="0091174B">
              <w:rPr>
                <w:position w:val="2"/>
                <w:lang w:val="en-GB"/>
              </w:rPr>
              <w:t>+41 22 730 5853</w:t>
            </w:r>
          </w:p>
        </w:tc>
        <w:tc>
          <w:tcPr>
            <w:tcW w:w="2499" w:type="pct"/>
            <w:vMerge/>
          </w:tcPr>
          <w:p w14:paraId="45C305C3" w14:textId="77777777" w:rsidR="0091174B" w:rsidRPr="00D517B2" w:rsidRDefault="0091174B" w:rsidP="0091174B">
            <w:pPr>
              <w:tabs>
                <w:tab w:val="left" w:pos="284"/>
                <w:tab w:val="left" w:pos="4111"/>
              </w:tabs>
              <w:spacing w:before="80" w:after="60" w:line="300" w:lineRule="exact"/>
              <w:ind w:left="284" w:hanging="284"/>
              <w:rPr>
                <w:position w:val="2"/>
                <w:rtl/>
              </w:rPr>
            </w:pPr>
          </w:p>
        </w:tc>
      </w:tr>
      <w:tr w:rsidR="0091174B" w:rsidRPr="00D517B2" w14:paraId="53737A0C" w14:textId="77777777" w:rsidTr="0091174B">
        <w:trPr>
          <w:cantSplit/>
          <w:jc w:val="center"/>
        </w:trPr>
        <w:tc>
          <w:tcPr>
            <w:tcW w:w="810" w:type="pct"/>
          </w:tcPr>
          <w:p w14:paraId="317E77D2" w14:textId="2E9E4568" w:rsidR="0091174B" w:rsidRPr="00A67585" w:rsidRDefault="0091174B" w:rsidP="0091174B">
            <w:pPr>
              <w:spacing w:before="80" w:after="60" w:line="300" w:lineRule="exact"/>
              <w:jc w:val="left"/>
              <w:rPr>
                <w:position w:val="2"/>
                <w:rtl/>
              </w:rPr>
            </w:pPr>
            <w:r w:rsidRPr="00A67585">
              <w:rPr>
                <w:rFonts w:hint="cs"/>
                <w:position w:val="2"/>
                <w:rtl/>
              </w:rPr>
              <w:t>البريد الإلكتروني:</w:t>
            </w:r>
          </w:p>
        </w:tc>
        <w:tc>
          <w:tcPr>
            <w:tcW w:w="1691" w:type="pct"/>
          </w:tcPr>
          <w:p w14:paraId="5BC76E1B" w14:textId="4176C3B9" w:rsidR="0091174B" w:rsidRPr="00D517B2" w:rsidRDefault="0091174B" w:rsidP="0091174B">
            <w:pPr>
              <w:spacing w:before="80" w:after="60" w:line="300" w:lineRule="exact"/>
              <w:jc w:val="left"/>
              <w:rPr>
                <w:position w:val="2"/>
              </w:rPr>
            </w:pPr>
            <w:hyperlink r:id="rId9" w:history="1">
              <w:r w:rsidRPr="0091174B">
                <w:rPr>
                  <w:rStyle w:val="Hyperlink"/>
                  <w:position w:val="2"/>
                  <w:lang w:val="en-GB"/>
                </w:rPr>
                <w:t>tsbsg20@itu.int</w:t>
              </w:r>
            </w:hyperlink>
          </w:p>
        </w:tc>
        <w:tc>
          <w:tcPr>
            <w:tcW w:w="2499" w:type="pct"/>
            <w:vMerge/>
          </w:tcPr>
          <w:p w14:paraId="0CD7F234" w14:textId="77777777" w:rsidR="0091174B" w:rsidRPr="00D517B2" w:rsidRDefault="0091174B" w:rsidP="0091174B">
            <w:pPr>
              <w:tabs>
                <w:tab w:val="left" w:pos="284"/>
                <w:tab w:val="left" w:pos="4111"/>
              </w:tabs>
              <w:spacing w:before="80" w:after="60" w:line="300" w:lineRule="exact"/>
              <w:ind w:left="284" w:hanging="284"/>
              <w:rPr>
                <w:position w:val="2"/>
                <w:rtl/>
              </w:rPr>
            </w:pPr>
          </w:p>
        </w:tc>
      </w:tr>
      <w:tr w:rsidR="0091174B" w:rsidRPr="00D517B2" w14:paraId="5790E086" w14:textId="77777777" w:rsidTr="0091174B">
        <w:trPr>
          <w:cantSplit/>
          <w:jc w:val="center"/>
        </w:trPr>
        <w:tc>
          <w:tcPr>
            <w:tcW w:w="810" w:type="pct"/>
          </w:tcPr>
          <w:p w14:paraId="101E114D" w14:textId="7E38D8C6" w:rsidR="0091174B" w:rsidRPr="00A9156F" w:rsidRDefault="0091174B" w:rsidP="0091174B">
            <w:pPr>
              <w:spacing w:before="80" w:after="60" w:line="300" w:lineRule="exact"/>
              <w:jc w:val="left"/>
              <w:rPr>
                <w:b/>
                <w:bCs/>
                <w:position w:val="2"/>
                <w:rtl/>
              </w:rPr>
            </w:pPr>
          </w:p>
        </w:tc>
        <w:tc>
          <w:tcPr>
            <w:tcW w:w="1691" w:type="pct"/>
          </w:tcPr>
          <w:p w14:paraId="6C8A82DF" w14:textId="77BF3A9F" w:rsidR="0091174B" w:rsidRPr="006E1BAD" w:rsidRDefault="0091174B" w:rsidP="0091174B">
            <w:pPr>
              <w:spacing w:before="80" w:after="60" w:line="300" w:lineRule="exact"/>
              <w:jc w:val="left"/>
              <w:rPr>
                <w:position w:val="2"/>
                <w:highlight w:val="magenta"/>
                <w:rtl/>
                <w:lang w:bidi="ar-EG"/>
              </w:rPr>
            </w:pPr>
          </w:p>
        </w:tc>
        <w:tc>
          <w:tcPr>
            <w:tcW w:w="2499" w:type="pct"/>
            <w:vMerge/>
          </w:tcPr>
          <w:p w14:paraId="18CBA54B" w14:textId="77777777" w:rsidR="0091174B" w:rsidRPr="00D517B2" w:rsidRDefault="0091174B" w:rsidP="0091174B">
            <w:pPr>
              <w:tabs>
                <w:tab w:val="left" w:pos="284"/>
                <w:tab w:val="left" w:pos="4111"/>
              </w:tabs>
              <w:spacing w:before="80" w:after="60" w:line="300" w:lineRule="exact"/>
              <w:ind w:left="284" w:hanging="284"/>
              <w:rPr>
                <w:position w:val="2"/>
                <w:rtl/>
              </w:rPr>
            </w:pPr>
          </w:p>
        </w:tc>
      </w:tr>
      <w:tr w:rsidR="0091174B" w:rsidRPr="00D517B2" w14:paraId="11A0D12F" w14:textId="77777777" w:rsidTr="001E2788">
        <w:trPr>
          <w:cantSplit/>
          <w:jc w:val="center"/>
        </w:trPr>
        <w:tc>
          <w:tcPr>
            <w:tcW w:w="810" w:type="pct"/>
          </w:tcPr>
          <w:p w14:paraId="20E104AA" w14:textId="77777777" w:rsidR="0091174B" w:rsidRPr="00A9156F" w:rsidRDefault="0091174B" w:rsidP="0091174B">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737CB10A" w14:textId="6BF7B561" w:rsidR="0091174B" w:rsidRPr="00D517B2" w:rsidRDefault="0091174B" w:rsidP="008B5D4E">
            <w:pPr>
              <w:spacing w:before="80" w:after="60" w:line="300" w:lineRule="exact"/>
              <w:rPr>
                <w:position w:val="2"/>
                <w:rtl/>
              </w:rPr>
            </w:pPr>
            <w:r w:rsidRPr="0091174B">
              <w:rPr>
                <w:b/>
                <w:bCs/>
                <w:position w:val="2"/>
                <w:rtl/>
              </w:rPr>
              <w:t>مشاورة الدول الأعضاء بشأن مشاريع التوصيات المحددة ITU-T Y.4241 (Y.dt-SComCam سابقاً) وITU-T Y.4242 (Y.energy-storage سابقاً) وITU-T Y.4243 (Y.IoT-smartschool سابقاً) و</w:t>
            </w:r>
            <w:r w:rsidR="008B5D4E" w:rsidRPr="008B5D4E">
              <w:rPr>
                <w:b/>
                <w:bCs/>
                <w:position w:val="2"/>
                <w:lang w:val="en-GB"/>
              </w:rPr>
              <w:t>ITU</w:t>
            </w:r>
            <w:r w:rsidR="008B5D4E">
              <w:rPr>
                <w:b/>
                <w:bCs/>
                <w:position w:val="2"/>
                <w:lang w:val="en-GB"/>
              </w:rPr>
              <w:noBreakHyphen/>
            </w:r>
            <w:r w:rsidR="008B5D4E" w:rsidRPr="008B5D4E">
              <w:rPr>
                <w:b/>
                <w:bCs/>
                <w:position w:val="2"/>
                <w:lang w:val="en-GB"/>
              </w:rPr>
              <w:t>T Y.4244</w:t>
            </w:r>
            <w:r w:rsidRPr="0091174B">
              <w:rPr>
                <w:b/>
                <w:bCs/>
                <w:position w:val="2"/>
                <w:rtl/>
              </w:rPr>
              <w:t xml:space="preserve"> (Y.EPWS-fc سابقاً) وITU-T Y.4420 وITU-T Y.4512 (Y.SC-DESMS سابقاً) وITU-T Y.4614 (Y.CL-EDM سابقاً) وITU-T Y</w:t>
            </w:r>
            <w:r w:rsidR="008B5D4E">
              <w:rPr>
                <w:rFonts w:hint="cs"/>
                <w:b/>
                <w:bCs/>
                <w:position w:val="2"/>
                <w:rtl/>
              </w:rPr>
              <w:t>.</w:t>
            </w:r>
            <w:r w:rsidRPr="0091174B">
              <w:rPr>
                <w:b/>
                <w:bCs/>
                <w:position w:val="2"/>
                <w:rtl/>
              </w:rPr>
              <w:t>4815 (Y.uas-dc-fr سابقاً) وITU-T Y.4816 (Y.bsis-sec سابقاً) وITU-T Y.4912 (Y.SNPG-ref سابقاً)، المقترح الموافقة عليها في اجتماع لجنة الدراسات 20 لقطاع تقييس الاتصالات الذي سيُعقد في جنيف في الفترة 12-21 مايو 2026</w:t>
            </w:r>
          </w:p>
        </w:tc>
      </w:tr>
    </w:tbl>
    <w:p w14:paraId="6185B7FD" w14:textId="77777777" w:rsidR="00D517B2" w:rsidRPr="00D517B2" w:rsidRDefault="00D517B2" w:rsidP="00A67585">
      <w:pPr>
        <w:spacing w:before="240"/>
        <w:rPr>
          <w:lang w:bidi="ar-SY"/>
        </w:rPr>
      </w:pPr>
      <w:r w:rsidRPr="00D517B2">
        <w:rPr>
          <w:rFonts w:hint="cs"/>
          <w:rtl/>
          <w:lang w:bidi="ar-SY"/>
        </w:rPr>
        <w:t>حضرات السادة والسيدات،</w:t>
      </w:r>
    </w:p>
    <w:p w14:paraId="61F03C6D" w14:textId="77777777" w:rsidR="00D517B2" w:rsidRPr="00D517B2" w:rsidRDefault="00D517B2" w:rsidP="00D517B2">
      <w:pPr>
        <w:rPr>
          <w:rtl/>
          <w:lang w:bidi="ar-EG"/>
        </w:rPr>
      </w:pPr>
      <w:r w:rsidRPr="00D517B2">
        <w:rPr>
          <w:rFonts w:hint="cs"/>
          <w:rtl/>
        </w:rPr>
        <w:t>تحية طيبة وبعد،</w:t>
      </w:r>
    </w:p>
    <w:p w14:paraId="13C9BBDF" w14:textId="08B31192" w:rsidR="0091174B" w:rsidRPr="0091174B" w:rsidRDefault="0091174B" w:rsidP="008B5D4E">
      <w:pPr>
        <w:rPr>
          <w:lang w:val="ar-SA" w:bidi="ar-SY"/>
        </w:rPr>
      </w:pPr>
      <w:r w:rsidRPr="0091174B">
        <w:rPr>
          <w:rtl/>
        </w:rPr>
        <w:t>1</w:t>
      </w:r>
      <w:r w:rsidRPr="0091174B">
        <w:rPr>
          <w:rtl/>
        </w:rPr>
        <w:tab/>
        <w:t>تعتزم لجنة الدراسات 20 لقطاع تقييس الاتصالات (لجنة الدراسات 20</w:t>
      </w:r>
      <w:r w:rsidRPr="0091174B">
        <w:rPr>
          <w:lang w:val="en-GB" w:bidi="ar-SY"/>
        </w:rPr>
        <w:t>:</w:t>
      </w:r>
      <w:r w:rsidRPr="0091174B">
        <w:rPr>
          <w:rtl/>
        </w:rPr>
        <w:t xml:space="preserve"> إنترنت الأشياء والتوائم الرقمية والمدن والمجتمعات الذكية المستدامة) تطبيق إجراءات الموافقة التقليدية على النحو المبين في القسم 9 من </w:t>
      </w:r>
      <w:r>
        <w:fldChar w:fldCharType="begin"/>
      </w:r>
      <w:r>
        <w:instrText>HYPERLINK "https://www.itu.int/dms_pub/itu-t/opb/res/T-RES-T.1-2022-PDF-A.pdf"</w:instrText>
      </w:r>
      <w:r>
        <w:fldChar w:fldCharType="separate"/>
      </w:r>
      <w:r w:rsidRPr="0091174B">
        <w:rPr>
          <w:rStyle w:val="Hyperlink"/>
          <w:rtl/>
        </w:rPr>
        <w:t>الق</w:t>
      </w:r>
      <w:r w:rsidRPr="0091174B">
        <w:rPr>
          <w:rStyle w:val="Hyperlink"/>
          <w:rtl/>
        </w:rPr>
        <w:t>ر</w:t>
      </w:r>
      <w:r w:rsidRPr="0091174B">
        <w:rPr>
          <w:rStyle w:val="Hyperlink"/>
          <w:rtl/>
        </w:rPr>
        <w:t>ار 1 (المراجَع في جنيف، 2022) للجمعية العالمية لت</w:t>
      </w:r>
      <w:r w:rsidRPr="0091174B">
        <w:rPr>
          <w:rStyle w:val="Hyperlink"/>
          <w:rtl/>
        </w:rPr>
        <w:t>ق</w:t>
      </w:r>
      <w:r w:rsidRPr="0091174B">
        <w:rPr>
          <w:rStyle w:val="Hyperlink"/>
          <w:rtl/>
        </w:rPr>
        <w:t>ييس الاتصالات</w:t>
      </w:r>
      <w:r>
        <w:fldChar w:fldCharType="end"/>
      </w:r>
      <w:r w:rsidRPr="0091174B">
        <w:rPr>
          <w:rtl/>
        </w:rPr>
        <w:t xml:space="preserve"> للموافقة على مشاريع التوصيات الجديدة المذكورة أعلاه ITU-T Y.4241 (</w:t>
      </w:r>
      <w:proofErr w:type="spellStart"/>
      <w:r w:rsidRPr="0091174B">
        <w:rPr>
          <w:lang w:val="en-GB"/>
        </w:rPr>
        <w:t>Y.dt-SComCam</w:t>
      </w:r>
      <w:proofErr w:type="spellEnd"/>
      <w:r w:rsidRPr="0091174B">
        <w:rPr>
          <w:rtl/>
        </w:rPr>
        <w:t xml:space="preserve"> سابقاً) وITU-T Y.4242 (Y.energy-storage سابقاً) وITU-T Y.4243 (Y.IoT-smartschool سابقاً) وITU-T Y.4244 (Y.EPWS-fc سابقاً) وITU-T Y.4420 وITU-T Y.4512 (Y.SC-DESMS سابقاً) </w:t>
      </w:r>
      <w:r w:rsidR="008B5D4E">
        <w:rPr>
          <w:rFonts w:hint="cs"/>
          <w:rtl/>
        </w:rPr>
        <w:t>و</w:t>
      </w:r>
      <w:r w:rsidR="008B5D4E" w:rsidRPr="008B5D4E">
        <w:rPr>
          <w:lang w:val="en-GB"/>
        </w:rPr>
        <w:t>ITU-T Y.4614</w:t>
      </w:r>
      <w:r w:rsidR="008B5D4E">
        <w:rPr>
          <w:rFonts w:hint="cs"/>
          <w:rtl/>
          <w:lang w:val="en-GB"/>
        </w:rPr>
        <w:t xml:space="preserve"> </w:t>
      </w:r>
      <w:r w:rsidRPr="0091174B">
        <w:rPr>
          <w:rtl/>
        </w:rPr>
        <w:t>(Y.CL</w:t>
      </w:r>
      <w:r w:rsidR="008B5D4E">
        <w:noBreakHyphen/>
      </w:r>
      <w:r w:rsidRPr="0091174B">
        <w:rPr>
          <w:rtl/>
        </w:rPr>
        <w:t xml:space="preserve">EDM سابقاً) وITU-T Y.4815 (Y.uas-dc-fr سابقاً) وITU-T Y.4816 (Y.bsis-sec سابقاً) وITU-T Y.4912 (Y.SNPG-ref سابقاً) في اجتماعها المقبل الذي سيُعقد في جنيف، سويسرا، في الفترة </w:t>
      </w:r>
      <w:r>
        <w:rPr>
          <w:rFonts w:hint="cs"/>
          <w:rtl/>
        </w:rPr>
        <w:t xml:space="preserve">من </w:t>
      </w:r>
      <w:r w:rsidRPr="0091174B">
        <w:rPr>
          <w:rtl/>
        </w:rPr>
        <w:t>12</w:t>
      </w:r>
      <w:r>
        <w:rPr>
          <w:rFonts w:hint="cs"/>
          <w:rtl/>
        </w:rPr>
        <w:t xml:space="preserve"> إلى </w:t>
      </w:r>
      <w:r w:rsidRPr="0091174B">
        <w:rPr>
          <w:rtl/>
        </w:rPr>
        <w:t xml:space="preserve">21 مايو 2026. ويمكن الاطلاع على جدول أعمال اجتماع لجنة الدراسات 20 وجميع المعلومات المتصلة به في </w:t>
      </w:r>
      <w:r>
        <w:fldChar w:fldCharType="begin"/>
      </w:r>
      <w:r>
        <w:instrText>HYPERLINK "https://www.itu.int/md/T25-SG20-COL-0003/en"</w:instrText>
      </w:r>
      <w:r>
        <w:fldChar w:fldCharType="separate"/>
      </w:r>
      <w:r w:rsidRPr="0091174B">
        <w:rPr>
          <w:rStyle w:val="Hyperlink"/>
          <w:rtl/>
        </w:rPr>
        <w:t>الرسالة الجماعية 2</w:t>
      </w:r>
      <w:r w:rsidRPr="0091174B">
        <w:rPr>
          <w:rStyle w:val="Hyperlink"/>
          <w:rtl/>
        </w:rPr>
        <w:t>0</w:t>
      </w:r>
      <w:r w:rsidRPr="0091174B">
        <w:rPr>
          <w:rStyle w:val="Hyperlink"/>
          <w:rtl/>
        </w:rPr>
        <w:t>/3</w:t>
      </w:r>
      <w:r>
        <w:fldChar w:fldCharType="end"/>
      </w:r>
      <w:r w:rsidRPr="0091174B">
        <w:rPr>
          <w:rtl/>
        </w:rPr>
        <w:t>.</w:t>
      </w:r>
      <w:hyperlink r:id="rId10" w:history="1"/>
      <w:hyperlink r:id="rId11" w:history="1"/>
    </w:p>
    <w:p w14:paraId="3D390984" w14:textId="77777777" w:rsidR="0091174B" w:rsidRPr="0091174B" w:rsidRDefault="0091174B" w:rsidP="008B5D4E">
      <w:pPr>
        <w:rPr>
          <w:lang w:val="ar-SA" w:bidi="ar-SY"/>
        </w:rPr>
      </w:pPr>
      <w:r w:rsidRPr="0091174B">
        <w:rPr>
          <w:rtl/>
        </w:rPr>
        <w:t>2</w:t>
      </w:r>
      <w:r w:rsidRPr="0091174B">
        <w:rPr>
          <w:rtl/>
        </w:rPr>
        <w:tab/>
        <w:t>ويمكن الاطلاع في الملحق 1 على عناوين وملخصات مشاريع توصيات قطاع تقييس الاتصالات التي تُقترح الموافقة عليها والوثائق التي ترد فيها.</w:t>
      </w:r>
    </w:p>
    <w:p w14:paraId="502EECF0" w14:textId="77777777" w:rsidR="0091174B" w:rsidRPr="0091174B" w:rsidRDefault="0091174B" w:rsidP="0091174B">
      <w:pPr>
        <w:rPr>
          <w:lang w:val="ar-SA" w:bidi="ar-SY"/>
        </w:rPr>
      </w:pPr>
      <w:r w:rsidRPr="0091174B">
        <w:rPr>
          <w:rtl/>
        </w:rPr>
        <w:t>3</w:t>
      </w:r>
      <w:r w:rsidRPr="0091174B">
        <w:rPr>
          <w:rtl/>
        </w:rPr>
        <w:tab/>
        <w:t xml:space="preserve">وتستهل هذه الرسالة المعممة المشاورة الرسمية مع الدول الأعضاء في الاتحاد بشأن ما إذا كان يمكن النظر في هذه النصوص للموافقة عليها في الاجتماع المقبل، وفقاً للفقرة 4.9 من القرار 1. ويُرجى من الدول الأعضاء ملء الاستمارة الواردة في الملحق 2 وإعادتها في موعد أقصاه </w:t>
      </w:r>
      <w:r w:rsidRPr="0091174B">
        <w:rPr>
          <w:b/>
          <w:bCs/>
          <w:rtl/>
        </w:rPr>
        <w:t>30 أبريل 2026</w:t>
      </w:r>
      <w:r w:rsidRPr="0091174B">
        <w:rPr>
          <w:rtl/>
        </w:rPr>
        <w:t>، الساعة 23:59 بالتوقيت العالمي المنسق.</w:t>
      </w:r>
    </w:p>
    <w:p w14:paraId="334480D0" w14:textId="77777777" w:rsidR="0091174B" w:rsidRPr="0091174B" w:rsidRDefault="0091174B" w:rsidP="0091174B">
      <w:pPr>
        <w:rPr>
          <w:lang w:val="ar-SA" w:bidi="ar-SY"/>
        </w:rPr>
      </w:pPr>
      <w:r w:rsidRPr="0091174B">
        <w:rPr>
          <w:rtl/>
        </w:rPr>
        <w:t>4</w:t>
      </w:r>
      <w:r w:rsidRPr="0091174B">
        <w:rPr>
          <w:rtl/>
        </w:rPr>
        <w:tab/>
        <w:t xml:space="preserve">وإذا كانت نسبة 70 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المضي </w:t>
      </w:r>
      <w:r w:rsidRPr="0091174B">
        <w:rPr>
          <w:rtl/>
        </w:rPr>
        <w:lastRenderedPageBreak/>
        <w:t>قدماً أن تبلغ مدير مكتب تقييس الاتصالات بأسباب هذا الرأي وأن تشير إلى التغييرات الممكنة التي من شأنها أن تمكن من إحراز تقدم في العمل.</w:t>
      </w:r>
    </w:p>
    <w:p w14:paraId="5082BF03" w14:textId="688C51BF" w:rsidR="00E84438" w:rsidRPr="00D517B2" w:rsidRDefault="005D258A"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4DA6167A" wp14:editId="404E2406">
            <wp:simplePos x="0" y="0"/>
            <wp:positionH relativeFrom="margin">
              <wp:align>right</wp:align>
            </wp:positionH>
            <wp:positionV relativeFrom="paragraph">
              <wp:posOffset>306070</wp:posOffset>
            </wp:positionV>
            <wp:extent cx="768389" cy="368319"/>
            <wp:effectExtent l="0" t="0" r="0" b="0"/>
            <wp:wrapNone/>
            <wp:docPr id="112043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437217" name="Picture 1120437217"/>
                    <pic:cNvPicPr/>
                  </pic:nvPicPr>
                  <pic:blipFill>
                    <a:blip r:embed="rId12">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293CB503" w14:textId="7E539BC8" w:rsidR="00E84438" w:rsidRDefault="00807031" w:rsidP="00A67585">
      <w:pPr>
        <w:spacing w:before="720"/>
        <w:jc w:val="left"/>
        <w:rPr>
          <w:rtl/>
          <w:lang w:bidi="ar-SY"/>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054CB975" w14:textId="03E5EF13" w:rsidR="0091174B" w:rsidRPr="0091174B" w:rsidRDefault="0091174B" w:rsidP="00A67585">
      <w:pPr>
        <w:tabs>
          <w:tab w:val="clear" w:pos="794"/>
          <w:tab w:val="left" w:pos="1134"/>
        </w:tabs>
        <w:spacing w:before="360"/>
        <w:jc w:val="left"/>
        <w:rPr>
          <w:b/>
          <w:bCs/>
          <w:rtl/>
        </w:rPr>
      </w:pPr>
      <w:r w:rsidRPr="0091174B">
        <w:rPr>
          <w:rFonts w:hint="cs"/>
          <w:b/>
          <w:bCs/>
          <w:rtl/>
          <w:lang w:bidi="ar-SY"/>
        </w:rPr>
        <w:t>الملحقات:</w:t>
      </w:r>
      <w:r w:rsidRPr="0091174B">
        <w:rPr>
          <w:b/>
          <w:bCs/>
          <w:rtl/>
          <w:lang w:bidi="ar-SY"/>
        </w:rPr>
        <w:tab/>
      </w:r>
      <w:r w:rsidRPr="0091174B">
        <w:rPr>
          <w:rFonts w:hint="cs"/>
          <w:rtl/>
          <w:lang w:bidi="ar-SY"/>
        </w:rPr>
        <w:t>2</w:t>
      </w:r>
    </w:p>
    <w:p w14:paraId="18F8F2A8" w14:textId="77777777" w:rsidR="00596808" w:rsidRDefault="00596808" w:rsidP="00E84438">
      <w:pPr>
        <w:rPr>
          <w:rtl/>
          <w:lang w:bidi="ar-EG"/>
        </w:rPr>
      </w:pPr>
      <w:r>
        <w:rPr>
          <w:rtl/>
          <w:lang w:bidi="ar-EG"/>
        </w:rPr>
        <w:br w:type="page"/>
      </w:r>
    </w:p>
    <w:p w14:paraId="0BDA7ACD" w14:textId="77777777" w:rsidR="0091174B" w:rsidRPr="0091174B" w:rsidRDefault="0091174B" w:rsidP="0091174B">
      <w:pPr>
        <w:pStyle w:val="AnnexNo"/>
        <w:rPr>
          <w:lang w:val="ar-SA" w:bidi="ar-EG"/>
        </w:rPr>
      </w:pPr>
      <w:r w:rsidRPr="0091174B">
        <w:rPr>
          <w:rtl/>
        </w:rPr>
        <w:lastRenderedPageBreak/>
        <w:t>الملحق 1</w:t>
      </w:r>
    </w:p>
    <w:p w14:paraId="57A5D16E" w14:textId="23E3E8FE" w:rsidR="0091174B" w:rsidRPr="0091174B" w:rsidRDefault="0091174B" w:rsidP="0091174B">
      <w:pPr>
        <w:pStyle w:val="Annextitle"/>
        <w:rPr>
          <w:lang w:val="ar-SA" w:bidi="ar-EG"/>
        </w:rPr>
      </w:pPr>
      <w:r w:rsidRPr="0091174B">
        <w:rPr>
          <w:rtl/>
        </w:rPr>
        <w:t xml:space="preserve">ملخصات مشاريع التوصيات المحددة ITU-T Y.4241 (Y.dt-SComCam سابقاً) </w:t>
      </w:r>
      <w:r>
        <w:rPr>
          <w:rtl/>
        </w:rPr>
        <w:br/>
      </w:r>
      <w:r w:rsidRPr="0091174B">
        <w:rPr>
          <w:rtl/>
        </w:rPr>
        <w:t>وITU-T Y.4242 (Y.energy-storage سابقاً) وITU-T Y.4243 (Y.IoT-smartschool سابقاً) وITU-T Y.4244 (Y.EPWS-fc سابقاً) وITU-T Y.4420 و</w:t>
      </w:r>
      <w:r>
        <w:t>ITU</w:t>
      </w:r>
      <w:r>
        <w:noBreakHyphen/>
        <w:t>T Y.4512</w:t>
      </w:r>
      <w:r>
        <w:rPr>
          <w:rFonts w:hint="cs"/>
          <w:rtl/>
        </w:rPr>
        <w:t xml:space="preserve"> </w:t>
      </w:r>
      <w:r w:rsidRPr="0091174B">
        <w:rPr>
          <w:rtl/>
        </w:rPr>
        <w:t xml:space="preserve">(Y.SC-DESMS سابقاً) وITU-T Y.4614 (Y.CL-EDM سابقاً) وITU-T Y.4815 (Y.uas-dc-fr سابقاً) </w:t>
      </w:r>
      <w:r>
        <w:rPr>
          <w:rtl/>
        </w:rPr>
        <w:br/>
      </w:r>
      <w:r w:rsidRPr="0091174B">
        <w:rPr>
          <w:rtl/>
        </w:rPr>
        <w:t xml:space="preserve">وITU-T Y.4816 (Y.bsis-sec سابقاً) وITU-T Y.4912 (Y.SNPG-ref سابقاً) </w:t>
      </w:r>
      <w:r>
        <w:rPr>
          <w:rtl/>
        </w:rPr>
        <w:br/>
      </w:r>
      <w:r w:rsidRPr="0091174B">
        <w:rPr>
          <w:rtl/>
        </w:rPr>
        <w:t>والوثائق التي ترد فيها</w:t>
      </w:r>
    </w:p>
    <w:p w14:paraId="0F604354" w14:textId="057D9003" w:rsidR="0091174B" w:rsidRPr="0091174B" w:rsidRDefault="0091174B" w:rsidP="0091174B">
      <w:pPr>
        <w:pStyle w:val="Heading1"/>
        <w:rPr>
          <w:lang w:val="ar-SA" w:bidi="ar-EG"/>
        </w:rPr>
      </w:pPr>
      <w:r w:rsidRPr="0091174B">
        <w:rPr>
          <w:rtl/>
        </w:rPr>
        <w:t>1</w:t>
      </w:r>
      <w:r w:rsidRPr="0091174B">
        <w:rPr>
          <w:rtl/>
        </w:rPr>
        <w:tab/>
        <w:t>مشروع التوصية الجديدة ITU-T Y.4241 (Y.dt-SComCam سابقاً) (</w:t>
      </w:r>
      <w:r>
        <w:fldChar w:fldCharType="begin"/>
      </w:r>
      <w:r>
        <w:instrText>HYPERLINK "https://www.itu.int/md/T25-SG20-R-0012/en"</w:instrText>
      </w:r>
      <w:r>
        <w:fldChar w:fldCharType="separate"/>
      </w:r>
      <w:r w:rsidRPr="0091174B">
        <w:rPr>
          <w:rStyle w:val="Hyperlink"/>
          <w:lang w:val="fr-CH"/>
        </w:rPr>
        <w:t>SG20-R12</w:t>
      </w:r>
      <w:r>
        <w:fldChar w:fldCharType="end"/>
      </w:r>
      <w:r w:rsidRPr="0091174B">
        <w:rPr>
          <w:rtl/>
        </w:rPr>
        <w:t>)</w:t>
      </w:r>
      <w:r>
        <w:fldChar w:fldCharType="begin"/>
      </w:r>
      <w:r>
        <w:instrText>HYPERLINK "https://www.itu.int/md/T25-SG20-R-0012/en"</w:instrText>
      </w:r>
      <w:r>
        <w:fldChar w:fldCharType="separate"/>
      </w:r>
      <w:r>
        <w:fldChar w:fldCharType="end"/>
      </w:r>
    </w:p>
    <w:p w14:paraId="7B03A33C" w14:textId="5378C861" w:rsidR="0091174B" w:rsidRPr="0091174B" w:rsidRDefault="0091174B" w:rsidP="0091174B">
      <w:pPr>
        <w:rPr>
          <w:lang w:val="ar-SA" w:bidi="ar-EG"/>
        </w:rPr>
      </w:pPr>
      <w:r w:rsidRPr="0091174B">
        <w:rPr>
          <w:rtl/>
        </w:rPr>
        <w:t>المتطلبات المشتركة وإطار القدرات لتكنولوجيا التوأم الرقمي لنظام المجمَّع والحرم التعليمي/الجامعي الذكي</w:t>
      </w:r>
    </w:p>
    <w:p w14:paraId="559A3E11" w14:textId="77777777" w:rsidR="0091174B" w:rsidRPr="0091174B" w:rsidRDefault="0091174B" w:rsidP="00664BAA">
      <w:pPr>
        <w:pStyle w:val="Headingb"/>
        <w:rPr>
          <w:lang w:val="ar-SA" w:bidi="ar-EG"/>
        </w:rPr>
      </w:pPr>
      <w:r w:rsidRPr="0091174B">
        <w:rPr>
          <w:rtl/>
        </w:rPr>
        <w:t>ملخص</w:t>
      </w:r>
    </w:p>
    <w:p w14:paraId="194BE307" w14:textId="77777777" w:rsidR="0091174B" w:rsidRPr="0091174B" w:rsidRDefault="0091174B" w:rsidP="0091174B">
      <w:pPr>
        <w:rPr>
          <w:lang w:val="ar-SA" w:bidi="ar-EG"/>
        </w:rPr>
      </w:pPr>
      <w:r w:rsidRPr="0091174B">
        <w:rPr>
          <w:rtl/>
        </w:rPr>
        <w:t xml:space="preserve">يشير مصطلح المجمَّع أو الحَرَم التعليمي/الجامعي الذكي إلى مجموعة من المباني والأراضي التي تعود إلى مؤسسة معينة. وتتخذ المجمَّعات أشكالاً متعددة، من بينها مجمعات الأعمال، والمناطق الصناعية، والمنشآت الرياضية، وأماكن تنظيم الأحداث، والمراكز التجارية، وغيرها. ويُقصد بالحَرَم التعليمي/الجامعي، على وجه الخصوص، موقع متكامل مخصص لأغراض التعليم أو البحث، مثل الحَرَم الجامعي أو الحَرَم المدرسي. وتضطلع المجمَّعات والأحرام الجامعية/التعليمية بدور محوري في عمل الناس وحياتهم اليومية، كما تتقاسم متطلبات متشابهة في مجال الإدارة الذكية. ومع التطور المتسارع لتكنولوجيا إنترنت الأشياء </w:t>
      </w:r>
      <w:r w:rsidRPr="0091174B">
        <w:rPr>
          <w:lang w:val="en-GB" w:bidi="ar-EG"/>
        </w:rPr>
        <w:t>(IoT)</w:t>
      </w:r>
      <w:r w:rsidRPr="0091174B">
        <w:rPr>
          <w:rtl/>
        </w:rPr>
        <w:t xml:space="preserve"> والذكاء الاصطناعي </w:t>
      </w:r>
      <w:r w:rsidRPr="0091174B">
        <w:rPr>
          <w:lang w:val="en-GB" w:bidi="ar-EG"/>
        </w:rPr>
        <w:t>(AI)</w:t>
      </w:r>
      <w:r w:rsidRPr="0091174B">
        <w:rPr>
          <w:rtl/>
        </w:rPr>
        <w:t>، شهدت إدارة المجمَّعات والأحرام التعليمية/الجامعية تحولاً تدريجياً نحو الحلول الذكية، مما أفضى إلى ظهور مجموعة واسعة من أنظمة المجمَّعات والأحرام التعليمية/الجامعية الذكية، التي تهدف إلى تعزيز الكفاءة الإدارية والتشغيلية.</w:t>
      </w:r>
    </w:p>
    <w:p w14:paraId="0F5136A6" w14:textId="77777777" w:rsidR="0091174B" w:rsidRPr="0091174B" w:rsidRDefault="0091174B" w:rsidP="0091174B">
      <w:pPr>
        <w:rPr>
          <w:lang w:val="ar-SA" w:bidi="ar-EG"/>
        </w:rPr>
      </w:pPr>
      <w:r w:rsidRPr="0091174B">
        <w:rPr>
          <w:rtl/>
        </w:rPr>
        <w:t xml:space="preserve">وتوفّر تكنولوجيا التوأم الرقمي قدرات متقدمة، تشمل إتاحة سجلات البيانات التاريخية، ورصد الأداء التشغيلي، وإجراء التحليلات التنبؤية. وقد جرى اعتماد هذه التكنولوجيا على نطاق واسع في أنظمة المجمَّعات والأحرام التعليمية/الجامعية الذكية. ومن خلال دمج تكنولوجيا التوأم الرقمي مع التقنيات الناشئة في مجال تكنولوجيا المعلومات والاتصالات </w:t>
      </w:r>
      <w:r w:rsidRPr="0091174B">
        <w:rPr>
          <w:lang w:val="en-GB" w:bidi="ar-EG"/>
        </w:rPr>
        <w:t>(ICT)</w:t>
      </w:r>
      <w:r w:rsidRPr="0091174B">
        <w:rPr>
          <w:rtl/>
        </w:rPr>
        <w:t>، مثل الحوسبة السحابية، وإنترنت الأشياء، والبيانات الضخمة، والذكاء الاصطناعي، يصبح بالإمكان النفاذ إلى أجهزة طرفية متنوعة لجمع بيانات آنية عن المجمَّع أو الحَرَم التعليمي/الجامعي الفعلي، ونمذجة الأشخاص (دون الكشف عن معلومات محدِّدة للهوية)، والأجهزة، والأصول، والأحداث داخل المجمَّع أو الحَرَم التعليمي/الجامعي في بيئة رقمية. ويُتيح هذا النظام تحقيق المراقبة الذكية والمحاكاة المتقدمة، فضلاً عن التحكم عن بُعد في المجمَّع أو الحرم التعليمي/الجامعي الفعلي. كما يمكن لتكنولوجيا التوأم الرقمي في المجمَّعات والأحرام التعليمية/الجامعية أن تسهم في معالجة التحديات المرتبطة بإدارتها وتشغيلها، بما في ذلك تدني كفاءة الإدارة، وسوء تجربة الخدمة، والهدر الكبير في استهلاك الطاقة، ومحدودية الأمن الشامل، وارتفاع تكاليف التشغيل. وتنفذ التحول الرقمي لهذه المجمَّعات والأحرام التعليمية/الجامعية وتعزز جودة الخدمات المقدَّمة.</w:t>
      </w:r>
    </w:p>
    <w:p w14:paraId="39AA2D23" w14:textId="77777777" w:rsidR="0091174B" w:rsidRPr="0091174B" w:rsidRDefault="0091174B" w:rsidP="0091174B">
      <w:pPr>
        <w:rPr>
          <w:lang w:val="ar-SA" w:bidi="ar-EG"/>
        </w:rPr>
      </w:pPr>
      <w:r w:rsidRPr="0091174B">
        <w:rPr>
          <w:rtl/>
        </w:rPr>
        <w:t xml:space="preserve">تقدم هذه التوصية المتطلبات المشتركة وإطار القدرات لنظام التوأم الرقمي للمجمَّع والحرم التعليمي/الجامعي الذكي. </w:t>
      </w:r>
    </w:p>
    <w:p w14:paraId="50925F58" w14:textId="3E2A807F" w:rsidR="0091174B" w:rsidRPr="0091174B" w:rsidRDefault="0091174B" w:rsidP="00664BAA">
      <w:pPr>
        <w:pStyle w:val="Heading1"/>
        <w:rPr>
          <w:lang w:val="ar-SA" w:bidi="ar-EG"/>
        </w:rPr>
      </w:pPr>
      <w:r w:rsidRPr="0091174B">
        <w:rPr>
          <w:rtl/>
        </w:rPr>
        <w:t>2</w:t>
      </w:r>
      <w:r w:rsidRPr="0091174B">
        <w:rPr>
          <w:rtl/>
        </w:rPr>
        <w:tab/>
        <w:t>مشروع التوصية الجديدة ITU-T Y.4242 (Y.energy-storage سابقاً) (</w:t>
      </w:r>
      <w:r w:rsidR="00664BAA">
        <w:fldChar w:fldCharType="begin"/>
      </w:r>
      <w:r w:rsidR="00664BAA">
        <w:instrText>HYPERLINK "https://www.itu.int/md/T25-SG20-R-0013/en"</w:instrText>
      </w:r>
      <w:r w:rsidR="00664BAA">
        <w:fldChar w:fldCharType="separate"/>
      </w:r>
      <w:r w:rsidR="00664BAA" w:rsidRPr="00664BAA">
        <w:rPr>
          <w:rStyle w:val="Hyperlink"/>
          <w:lang w:val="en-GB"/>
        </w:rPr>
        <w:t>SG20-R13</w:t>
      </w:r>
      <w:r w:rsidR="00664BAA">
        <w:fldChar w:fldCharType="end"/>
      </w:r>
      <w:r w:rsidRPr="0091174B">
        <w:rPr>
          <w:rtl/>
        </w:rPr>
        <w:t>)</w:t>
      </w:r>
      <w:r>
        <w:fldChar w:fldCharType="begin"/>
      </w:r>
      <w:r>
        <w:instrText>HYPERLINK "https://www.itu.int/md/T25-SG20-R-0013/en"</w:instrText>
      </w:r>
      <w:r>
        <w:fldChar w:fldCharType="separate"/>
      </w:r>
      <w:r>
        <w:fldChar w:fldCharType="end"/>
      </w:r>
    </w:p>
    <w:p w14:paraId="1A60A5B0" w14:textId="77777777" w:rsidR="0091174B" w:rsidRPr="0091174B" w:rsidRDefault="0091174B" w:rsidP="0091174B">
      <w:pPr>
        <w:rPr>
          <w:lang w:val="ar-SA" w:bidi="ar-EG"/>
        </w:rPr>
      </w:pPr>
      <w:r w:rsidRPr="0091174B">
        <w:rPr>
          <w:rtl/>
        </w:rPr>
        <w:t>متطلبات وإطار قدرات خدمة تخزين الطاقة في المجتمعات السكنية في المدن الذكية</w:t>
      </w:r>
    </w:p>
    <w:p w14:paraId="08C107F0" w14:textId="77777777" w:rsidR="0091174B" w:rsidRPr="0091174B" w:rsidRDefault="0091174B" w:rsidP="00664BAA">
      <w:pPr>
        <w:pStyle w:val="Headingb"/>
        <w:rPr>
          <w:lang w:val="ar-SA" w:bidi="ar-EG"/>
        </w:rPr>
      </w:pPr>
      <w:r w:rsidRPr="0091174B">
        <w:rPr>
          <w:rtl/>
        </w:rPr>
        <w:t>ملخص</w:t>
      </w:r>
    </w:p>
    <w:p w14:paraId="705A4219" w14:textId="77777777" w:rsidR="0091174B" w:rsidRPr="0091174B" w:rsidRDefault="0091174B" w:rsidP="0091174B">
      <w:pPr>
        <w:rPr>
          <w:lang w:val="ar-SA" w:bidi="ar-EG"/>
        </w:rPr>
      </w:pPr>
      <w:r w:rsidRPr="0091174B">
        <w:rPr>
          <w:rtl/>
        </w:rPr>
        <w:t xml:space="preserve">تحدّد هذه التوصية متطلبات وإطار قدرة خدمة تخزين الطاقة في المجتمعات السكنية </w:t>
      </w:r>
      <w:r w:rsidRPr="0091174B">
        <w:rPr>
          <w:lang w:val="en-GB" w:bidi="ar-EG"/>
        </w:rPr>
        <w:t>(ESSRC)</w:t>
      </w:r>
      <w:r w:rsidRPr="0091174B">
        <w:rPr>
          <w:rtl/>
        </w:rPr>
        <w:t xml:space="preserve"> في المدن الذكية. </w:t>
      </w:r>
    </w:p>
    <w:p w14:paraId="51A6B6F6" w14:textId="77777777" w:rsidR="0091174B" w:rsidRPr="0091174B" w:rsidRDefault="0091174B" w:rsidP="0091174B">
      <w:pPr>
        <w:rPr>
          <w:lang w:val="ar-SA" w:bidi="ar-EG"/>
        </w:rPr>
      </w:pPr>
      <w:r w:rsidRPr="0091174B">
        <w:rPr>
          <w:rtl/>
        </w:rPr>
        <w:t xml:space="preserve">ومع الترويج للطاقة المتجددة في المجتمعات السكنية، يتحول عدد كبير من المستعملين في المجتمعات السكنية إلى منتجين ومستهلكين في آن واحد أي أن لهم دور مزدوج. وتعد خدمة تخزين الطاقة في المجتمعات السكنية خدمةً أساسيةً تقدَّم إلى المجتمعات السكنية في المدن الذكية، وتهدف إلى تحسين الثقة في إمدادات الطاقة، واستخدام الطاقة المتجددة، وتمكين المستعملين في المجتمعات السكنية من جني فوائد اقتصادية. وتتميز خدمة تخزين الطاقة </w:t>
      </w:r>
      <w:r w:rsidRPr="0091174B">
        <w:rPr>
          <w:lang w:val="en-GB" w:bidi="ar-EG"/>
        </w:rPr>
        <w:t>(ESSRC)</w:t>
      </w:r>
      <w:r w:rsidRPr="0091174B">
        <w:rPr>
          <w:rtl/>
        </w:rPr>
        <w:t xml:space="preserve"> بخصائص تتمثل في </w:t>
      </w:r>
      <w:r w:rsidRPr="0091174B">
        <w:rPr>
          <w:rtl/>
        </w:rPr>
        <w:lastRenderedPageBreak/>
        <w:t xml:space="preserve">الإدارة الذكية لإرسال وترشيد الطاقة، والمراقبة عن بعد والصيانة التنبؤية، وإتاحة سطح بيني سهل الاستعمال. وتستند خدمة تخزين الطاقة </w:t>
      </w:r>
      <w:r w:rsidRPr="0091174B">
        <w:rPr>
          <w:lang w:val="en-GB" w:bidi="ar-EG"/>
        </w:rPr>
        <w:t>(ESSRC)</w:t>
      </w:r>
      <w:r w:rsidRPr="0091174B">
        <w:rPr>
          <w:rtl/>
        </w:rPr>
        <w:t xml:space="preserve"> إلى نظام لإدارة المعلومات قائم على تكنولوجيا المعلومات والاتصالات.</w:t>
      </w:r>
    </w:p>
    <w:p w14:paraId="03C5DB34" w14:textId="296F701E" w:rsidR="0091174B" w:rsidRPr="0091174B" w:rsidRDefault="0091174B" w:rsidP="0091174B">
      <w:pPr>
        <w:rPr>
          <w:lang w:val="ar-SA" w:bidi="ar-EG"/>
        </w:rPr>
      </w:pPr>
      <w:r w:rsidRPr="0091174B">
        <w:rPr>
          <w:rtl/>
        </w:rPr>
        <w:t>وستساعد هذه التوصية أيضاً في تعزيز تحقيق المدن والمجتمعات الذكية الدائرية والمستدامة.</w:t>
      </w:r>
    </w:p>
    <w:p w14:paraId="58771994" w14:textId="1598FEB0" w:rsidR="0091174B" w:rsidRPr="0091174B" w:rsidRDefault="0091174B" w:rsidP="0091174B">
      <w:pPr>
        <w:rPr>
          <w:lang w:val="ar-SA" w:bidi="ar-EG"/>
        </w:rPr>
      </w:pPr>
      <w:r w:rsidRPr="0091174B">
        <w:rPr>
          <w:rtl/>
        </w:rPr>
        <w:t xml:space="preserve">وترد في التذييل حالة استعمال لخدمة تخزين الطاقة في المجتمعات السكنية </w:t>
      </w:r>
      <w:r w:rsidRPr="0091174B">
        <w:rPr>
          <w:lang w:val="en-GB" w:bidi="ar-EG"/>
        </w:rPr>
        <w:t>(ESSRC)</w:t>
      </w:r>
      <w:r w:rsidRPr="0091174B">
        <w:rPr>
          <w:rtl/>
        </w:rPr>
        <w:t>.</w:t>
      </w:r>
    </w:p>
    <w:p w14:paraId="3623DDDC" w14:textId="22EB766A" w:rsidR="0091174B" w:rsidRPr="0091174B" w:rsidRDefault="0091174B" w:rsidP="00664BAA">
      <w:pPr>
        <w:pStyle w:val="Heading1"/>
        <w:rPr>
          <w:lang w:val="ar-SA" w:bidi="ar-EG"/>
        </w:rPr>
      </w:pPr>
      <w:r w:rsidRPr="0091174B">
        <w:rPr>
          <w:rtl/>
        </w:rPr>
        <w:t>3</w:t>
      </w:r>
      <w:r w:rsidRPr="0091174B">
        <w:rPr>
          <w:rtl/>
        </w:rPr>
        <w:tab/>
        <w:t>مشروع التوصية الجديدة ITU-T Y.4243 (Y.IoT-smartschool سابقاً) (</w:t>
      </w:r>
      <w:r w:rsidR="00664BAA">
        <w:fldChar w:fldCharType="begin"/>
      </w:r>
      <w:r w:rsidR="00664BAA">
        <w:instrText>HYPERLINK "https://www.itu.int/md/T25-SG20-R-0014/en"</w:instrText>
      </w:r>
      <w:r w:rsidR="00664BAA">
        <w:fldChar w:fldCharType="separate"/>
      </w:r>
      <w:r w:rsidR="00664BAA" w:rsidRPr="00664BAA">
        <w:rPr>
          <w:rStyle w:val="Hyperlink"/>
          <w:lang w:val="en-GB"/>
        </w:rPr>
        <w:t>SG20-R14</w:t>
      </w:r>
      <w:r w:rsidR="00664BAA">
        <w:fldChar w:fldCharType="end"/>
      </w:r>
      <w:r w:rsidRPr="0091174B">
        <w:rPr>
          <w:rtl/>
        </w:rPr>
        <w:t>)</w:t>
      </w:r>
      <w:r>
        <w:fldChar w:fldCharType="begin"/>
      </w:r>
      <w:r>
        <w:instrText>HYPERLINK "https://www.itu.int/md/T25-SG20-R-0014/en"</w:instrText>
      </w:r>
      <w:r>
        <w:fldChar w:fldCharType="separate"/>
      </w:r>
      <w:r>
        <w:fldChar w:fldCharType="end"/>
      </w:r>
    </w:p>
    <w:p w14:paraId="1902FF7D" w14:textId="77777777" w:rsidR="0091174B" w:rsidRPr="0091174B" w:rsidRDefault="0091174B" w:rsidP="0091174B">
      <w:pPr>
        <w:rPr>
          <w:lang w:val="ar-SA" w:bidi="ar-EG"/>
        </w:rPr>
      </w:pPr>
      <w:r w:rsidRPr="0091174B">
        <w:rPr>
          <w:rtl/>
        </w:rPr>
        <w:t xml:space="preserve">متطلبات إدارة المدارس الذكية القائمة على إنترنت الأشياء </w:t>
      </w:r>
      <w:r w:rsidRPr="0091174B">
        <w:rPr>
          <w:lang w:val="en-GB" w:bidi="ar-EG"/>
        </w:rPr>
        <w:t>(IoT)</w:t>
      </w:r>
    </w:p>
    <w:p w14:paraId="23102B97" w14:textId="77777777" w:rsidR="0091174B" w:rsidRPr="0091174B" w:rsidRDefault="0091174B" w:rsidP="00664BAA">
      <w:pPr>
        <w:pStyle w:val="Headingb"/>
        <w:rPr>
          <w:lang w:val="ar-SA" w:bidi="ar-EG"/>
        </w:rPr>
      </w:pPr>
      <w:r w:rsidRPr="0091174B">
        <w:rPr>
          <w:rtl/>
        </w:rPr>
        <w:t>ملخص</w:t>
      </w:r>
    </w:p>
    <w:p w14:paraId="3E64F6C7" w14:textId="3026BDB7" w:rsidR="0091174B" w:rsidRPr="0091174B" w:rsidRDefault="0091174B" w:rsidP="0091174B">
      <w:pPr>
        <w:rPr>
          <w:lang w:val="ar-SA" w:bidi="ar-EG"/>
        </w:rPr>
      </w:pPr>
      <w:r w:rsidRPr="0091174B">
        <w:rPr>
          <w:rtl/>
        </w:rPr>
        <w:t xml:space="preserve">تحدد هذه التوصية المتطلبات الشاملة لإدارة المدارس الذكية القائمة على إنترنت الأشياء </w:t>
      </w:r>
      <w:r w:rsidRPr="0091174B">
        <w:rPr>
          <w:lang w:val="en-GB" w:bidi="ar-EG"/>
        </w:rPr>
        <w:t>(IoT)</w:t>
      </w:r>
      <w:r w:rsidRPr="0091174B">
        <w:rPr>
          <w:rtl/>
        </w:rPr>
        <w:t xml:space="preserve"> من أجل تعزيز الفعالية التعليمية والكفاءة التشغيلية وسلامة الحرم المدرسي من خلال التكنولوجيات الذكية. وتشمل متطلبات الأجهزة قدرات الاستشعار لإنترنت الأشياء، ومعالجة البيانات، والاتصالات وإرسال البيانات، وإدارة الطاقة والموارد، والتحكم والصيانة، والتأهّب لحالات الطوارئ. وتتناول متطلبات الشبكة التوصيلية والتغطية وإرسال البيانات لضمان بنية تحتية موثوقة لإنترنت الأشياء. وتشمل متطلبات دعم الخدمة ودعم التطبيقات تخزين البيانات وإدارتها، ومعالجة البيانات وتحليلها، والتحسينات القائمة على الذكاء الاصطناعي </w:t>
      </w:r>
      <w:r w:rsidRPr="0091174B">
        <w:rPr>
          <w:lang w:val="en-GB" w:bidi="ar-EG"/>
        </w:rPr>
        <w:t>(AI)</w:t>
      </w:r>
      <w:r w:rsidR="00664BAA">
        <w:rPr>
          <w:rFonts w:hint="cs"/>
          <w:rtl/>
          <w:lang w:val="en-GB" w:bidi="ar-EG"/>
        </w:rPr>
        <w:t>/</w:t>
      </w:r>
      <w:r w:rsidRPr="0091174B">
        <w:rPr>
          <w:rtl/>
        </w:rPr>
        <w:t>تعلم الآلة </w:t>
      </w:r>
      <w:r w:rsidRPr="0091174B">
        <w:rPr>
          <w:lang w:val="en-GB" w:bidi="ar-EG"/>
        </w:rPr>
        <w:t>(ML)</w:t>
      </w:r>
      <w:r w:rsidRPr="0091174B">
        <w:rPr>
          <w:rtl/>
        </w:rPr>
        <w:t>، والنمذجة القائمة على التوائم الرقمية، والتحكم في الأجهزة وإدارتها.</w:t>
      </w:r>
    </w:p>
    <w:p w14:paraId="425C0F9A" w14:textId="77777777" w:rsidR="0091174B" w:rsidRPr="0091174B" w:rsidRDefault="0091174B" w:rsidP="0091174B">
      <w:pPr>
        <w:rPr>
          <w:lang w:val="ar-SA" w:bidi="ar-EG"/>
        </w:rPr>
      </w:pPr>
      <w:r w:rsidRPr="0091174B">
        <w:rPr>
          <w:rtl/>
        </w:rPr>
        <w:t>‏ومن خلال وضع متطلبات موحدة لإدارة المدارس الذكية، تتيح هذه التوصية للمؤسسات التعليمية في جميع أنحاء العالم نشر حلول قائمة على إنترنت الأشياء قابلة للتشغيل البيني وقابلة للتطوير وآمنة في مختلف سيناريوهات التطبيقات المدرسية، بما في ذلك التدريس والتعلم والشؤون الأكاديمية والحياة المدرسية والسلامة والأمن، مما يعزز النتائج التعليمية.‎</w:t>
      </w:r>
    </w:p>
    <w:p w14:paraId="60CF6295" w14:textId="06E869D5" w:rsidR="0091174B" w:rsidRPr="0091174B" w:rsidRDefault="0091174B" w:rsidP="00664BAA">
      <w:pPr>
        <w:pStyle w:val="Heading1"/>
        <w:rPr>
          <w:lang w:val="ar-SA" w:bidi="ar-EG"/>
        </w:rPr>
      </w:pPr>
      <w:r w:rsidRPr="0091174B">
        <w:rPr>
          <w:rtl/>
        </w:rPr>
        <w:t>4</w:t>
      </w:r>
      <w:r w:rsidRPr="0091174B">
        <w:rPr>
          <w:rtl/>
        </w:rPr>
        <w:tab/>
        <w:t xml:space="preserve">مشروع مراجعة التوصية </w:t>
      </w:r>
      <w:r w:rsidR="00664BAA" w:rsidRPr="00664BAA">
        <w:rPr>
          <w:lang w:val="en-GB"/>
        </w:rPr>
        <w:t xml:space="preserve">ITU-T Y.4420 </w:t>
      </w:r>
      <w:r w:rsidR="00664BAA">
        <w:rPr>
          <w:rFonts w:hint="cs"/>
          <w:rtl/>
        </w:rPr>
        <w:t xml:space="preserve"> </w:t>
      </w:r>
      <w:r w:rsidRPr="0091174B">
        <w:rPr>
          <w:rtl/>
        </w:rPr>
        <w:t>(</w:t>
      </w:r>
      <w:hyperlink r:id="rId13" w:history="1">
        <w:r w:rsidR="00664BAA" w:rsidRPr="00664BAA">
          <w:rPr>
            <w:rStyle w:val="Hyperlink"/>
            <w:lang w:val="en-GB"/>
          </w:rPr>
          <w:t>SG20-R15</w:t>
        </w:r>
      </w:hyperlink>
      <w:r w:rsidRPr="0091174B">
        <w:rPr>
          <w:rtl/>
        </w:rPr>
        <w:t>)</w:t>
      </w:r>
      <w:r>
        <w:fldChar w:fldCharType="begin"/>
      </w:r>
      <w:r>
        <w:instrText>HYPERLINK "https://www.itu.int/md/T25-SG20-R-0015/en"</w:instrText>
      </w:r>
      <w:r>
        <w:fldChar w:fldCharType="separate"/>
      </w:r>
      <w:r>
        <w:fldChar w:fldCharType="end"/>
      </w:r>
    </w:p>
    <w:p w14:paraId="0F05CD97" w14:textId="77777777" w:rsidR="0091174B" w:rsidRPr="0091174B" w:rsidRDefault="0091174B" w:rsidP="0091174B">
      <w:pPr>
        <w:rPr>
          <w:lang w:val="ar-SA" w:bidi="ar-EG"/>
        </w:rPr>
      </w:pPr>
      <w:r w:rsidRPr="0091174B">
        <w:rPr>
          <w:rtl/>
        </w:rPr>
        <w:t>إطار لمراقبة المصاعد وإدارتها القائمتين على إنترنت الأشياء</w:t>
      </w:r>
    </w:p>
    <w:p w14:paraId="6CACDD10" w14:textId="77777777" w:rsidR="0091174B" w:rsidRPr="0091174B" w:rsidRDefault="0091174B" w:rsidP="00664BAA">
      <w:pPr>
        <w:pStyle w:val="Headingb"/>
        <w:rPr>
          <w:lang w:val="ar-SA" w:bidi="ar-EG"/>
        </w:rPr>
      </w:pPr>
      <w:r w:rsidRPr="0091174B">
        <w:rPr>
          <w:rtl/>
        </w:rPr>
        <w:t>ملخص</w:t>
      </w:r>
    </w:p>
    <w:p w14:paraId="3EA9AC65" w14:textId="77777777" w:rsidR="0091174B" w:rsidRPr="0091174B" w:rsidRDefault="0091174B" w:rsidP="0091174B">
      <w:pPr>
        <w:rPr>
          <w:lang w:val="ar-SA" w:bidi="ar-EG"/>
        </w:rPr>
      </w:pPr>
      <w:r w:rsidRPr="0091174B">
        <w:rPr>
          <w:rtl/>
        </w:rPr>
        <w:t xml:space="preserve">تصف التوصية ITU-T Y.4420 إطاراً لمراقبة المصاعد وإدارتها القائمتين على إنترنت الأشياء </w:t>
      </w:r>
      <w:r w:rsidRPr="0091174B">
        <w:rPr>
          <w:lang w:val="en-GB" w:bidi="ar-EG"/>
        </w:rPr>
        <w:t>(IoT)</w:t>
      </w:r>
      <w:r w:rsidRPr="0091174B">
        <w:rPr>
          <w:rtl/>
        </w:rPr>
        <w:t xml:space="preserve">، بما يشمل بروتوكولاً ونموذج بيانات، ومتطلبات التحكم الخارجي في المصاعد باستخدام تكنولوجيات إنترنت الأشياء. وتحتاج المصاعد إلى التفاعل مع التطبيقات من خلال شبكات الاتصالات لتقديم أنواع مختلفة من الخدمات للمستخدمين النهائيين. وفي كثير من الحالات، تعجز المصاعد عن التوصيل بشبكات الاتصالات مباشرةً. وبالتالي، تدعم البوابات التوصيل البيني لهذه المصاعد بشبكات الاتصالات. وفي المقابل، تطبق شركات المصاعد المختلفة أيضاً نماذج البيانات والبروتوكولات الخاصة بها. ولهذا السبب، حدثت مشاكل تتعلق بالتشغيل البيني، وبالتالي سيسهِّل هذا الإطار مراقبة المصاعد وإدارتها القائمتين على إنترنت الأشياء بحيث تعمل هذه المصاعد معاً جنباً إلى جنب. </w:t>
      </w:r>
    </w:p>
    <w:p w14:paraId="0E4762A8" w14:textId="6468F583" w:rsidR="0091174B" w:rsidRPr="0091174B" w:rsidRDefault="0091174B" w:rsidP="00664BAA">
      <w:pPr>
        <w:pStyle w:val="Note"/>
        <w:rPr>
          <w:lang w:val="ar-SA" w:bidi="ar-EG"/>
        </w:rPr>
      </w:pPr>
      <w:r w:rsidRPr="0091174B">
        <w:rPr>
          <w:b/>
          <w:bCs/>
          <w:rtl/>
        </w:rPr>
        <w:t>ملاحظة من مكتب تقييس الاتصالات</w:t>
      </w:r>
      <w:r w:rsidRPr="0091174B">
        <w:rPr>
          <w:rtl/>
        </w:rPr>
        <w:t xml:space="preserve"> - تلقى مكتب تقييس الاتصالات حتى تاريخ هذه الرسالة المعممة، بياناً واحداً عن حقوق الملكية الفكرية فيما يخص مشروع النص هذا. وللاطلاع على أحدث المعلومات بهذا الشأن، يُرجى من الأعضاء الرجوع إلى قاعدة بيانات حقوق الملكية الفكرية المتاحة عبر الرابط التالي</w:t>
      </w:r>
      <w:r w:rsidRPr="0091174B">
        <w:rPr>
          <w:lang w:val="en-GB" w:bidi="ar-EG"/>
        </w:rPr>
        <w:t>:</w:t>
      </w:r>
      <w:r w:rsidRPr="0091174B">
        <w:rPr>
          <w:rtl/>
        </w:rPr>
        <w:t xml:space="preserve"> </w:t>
      </w:r>
      <w:hyperlink r:id="rId14" w:history="1">
        <w:r w:rsidR="00664BAA" w:rsidRPr="00664BAA">
          <w:rPr>
            <w:rStyle w:val="Hyperlink"/>
            <w:lang w:val="en-GB"/>
          </w:rPr>
          <w:t>www.itu.int/ipr/</w:t>
        </w:r>
      </w:hyperlink>
      <w:r w:rsidRPr="0091174B">
        <w:rPr>
          <w:rtl/>
        </w:rPr>
        <w:t>.</w:t>
      </w:r>
      <w:hyperlink r:id="rId15" w:history="1"/>
    </w:p>
    <w:p w14:paraId="63A070D7" w14:textId="7F90669E" w:rsidR="0091174B" w:rsidRPr="0091174B" w:rsidRDefault="0091174B" w:rsidP="00664BAA">
      <w:pPr>
        <w:pStyle w:val="Heading1"/>
        <w:rPr>
          <w:lang w:val="ar-SA" w:bidi="ar-EG"/>
        </w:rPr>
      </w:pPr>
      <w:r w:rsidRPr="0091174B">
        <w:rPr>
          <w:rtl/>
        </w:rPr>
        <w:t>5</w:t>
      </w:r>
      <w:r w:rsidRPr="0091174B">
        <w:rPr>
          <w:rtl/>
        </w:rPr>
        <w:tab/>
        <w:t>مشروع التوصية الجديدة ITU-T Y.4614 (Y.CL-EDM سابقاً) (</w:t>
      </w:r>
      <w:hyperlink r:id="rId16" w:history="1">
        <w:r w:rsidR="00664BAA" w:rsidRPr="00664BAA">
          <w:rPr>
            <w:rStyle w:val="Hyperlink"/>
            <w:lang w:val="fr-CH"/>
          </w:rPr>
          <w:t>SG20-R16</w:t>
        </w:r>
      </w:hyperlink>
      <w:r w:rsidRPr="0091174B">
        <w:rPr>
          <w:rtl/>
        </w:rPr>
        <w:t>)</w:t>
      </w:r>
      <w:r>
        <w:fldChar w:fldCharType="begin"/>
      </w:r>
      <w:r>
        <w:instrText>HYPERLINK "https://www.itu.int/md/T25-SG20-R-0016/en"</w:instrText>
      </w:r>
      <w:r>
        <w:fldChar w:fldCharType="separate"/>
      </w:r>
      <w:r>
        <w:fldChar w:fldCharType="end"/>
      </w:r>
    </w:p>
    <w:p w14:paraId="1D15CF95" w14:textId="77777777" w:rsidR="0091174B" w:rsidRPr="0091174B" w:rsidRDefault="0091174B" w:rsidP="0091174B">
      <w:pPr>
        <w:rPr>
          <w:lang w:val="ar-SA" w:bidi="ar-EG"/>
        </w:rPr>
      </w:pPr>
      <w:r w:rsidRPr="0091174B">
        <w:rPr>
          <w:rtl/>
        </w:rPr>
        <w:t>نموذج بيانات الطاقة لمنصة إدارة الطاقة على مستوى المدينة</w:t>
      </w:r>
    </w:p>
    <w:p w14:paraId="68C95B0C" w14:textId="77777777" w:rsidR="0091174B" w:rsidRPr="0091174B" w:rsidRDefault="0091174B" w:rsidP="00664BAA">
      <w:pPr>
        <w:pStyle w:val="Headingb"/>
        <w:rPr>
          <w:lang w:val="ar-SA" w:bidi="ar-EG"/>
        </w:rPr>
      </w:pPr>
      <w:r w:rsidRPr="0091174B">
        <w:rPr>
          <w:rtl/>
        </w:rPr>
        <w:t>ملخص</w:t>
      </w:r>
    </w:p>
    <w:p w14:paraId="0FB6C5FC" w14:textId="77777777" w:rsidR="0091174B" w:rsidRPr="0091174B" w:rsidRDefault="0091174B" w:rsidP="0091174B">
      <w:pPr>
        <w:rPr>
          <w:lang w:val="ar-SA" w:bidi="ar-EG"/>
        </w:rPr>
      </w:pPr>
      <w:r w:rsidRPr="0091174B">
        <w:rPr>
          <w:rtl/>
        </w:rPr>
        <w:t xml:space="preserve">توصف هذه التوصية نموذج بيانات الطاقة لمنصة إدارة الطاقة على مستوى المدينة </w:t>
      </w:r>
      <w:r w:rsidRPr="0091174B">
        <w:rPr>
          <w:lang w:val="en-GB" w:bidi="ar-EG"/>
        </w:rPr>
        <w:t>(CL-EMP)</w:t>
      </w:r>
      <w:r w:rsidRPr="0091174B">
        <w:rPr>
          <w:rtl/>
        </w:rPr>
        <w:t xml:space="preserve"> لدعم خدمات الطاقة في المباني وتتقاسم بيانات الطاقة مع منصات أخرى على مستوى المدينة من أجل خدمات الطاقة المتكاملة في المدينة الذكية المستدامة. وتصف المتطلبات ونموذج بيانات الطاقة وتتقاسم بيانات الطاقة. ويحدد نموذج بيانات الطاقة البيانات التي يتم تقاسمها لدعم تكامل منصة إدارة الطاقة على مستوى المدينة مع منصات أخرى على مستوى المدينة. ونتيجة لذلك، يمكن النموذج من إتاحة مجموعة متنوعة من خدمات الطاقة المتكاملة على مستوى المدينة تكون فيها عدة قطاعات في المدينة مترابطة.</w:t>
      </w:r>
    </w:p>
    <w:p w14:paraId="71D61A3A" w14:textId="4F74214A" w:rsidR="0091174B" w:rsidRPr="0091174B" w:rsidRDefault="0091174B" w:rsidP="00664BAA">
      <w:pPr>
        <w:pStyle w:val="Heading1"/>
        <w:rPr>
          <w:lang w:val="ar-SA" w:bidi="ar-EG"/>
        </w:rPr>
      </w:pPr>
      <w:r w:rsidRPr="0091174B">
        <w:rPr>
          <w:rtl/>
        </w:rPr>
        <w:lastRenderedPageBreak/>
        <w:t>6</w:t>
      </w:r>
      <w:r w:rsidRPr="0091174B">
        <w:rPr>
          <w:rtl/>
        </w:rPr>
        <w:tab/>
        <w:t>مشروع التوصية الجديدة ITU-T Y.4815 (Y.uas-dc-fr سابقاً) (</w:t>
      </w:r>
      <w:r w:rsidR="00664BAA">
        <w:fldChar w:fldCharType="begin"/>
      </w:r>
      <w:r w:rsidR="00664BAA">
        <w:instrText>HYPERLINK "https://www.itu.int/md/T25-SG20-R-0017/en"</w:instrText>
      </w:r>
      <w:r w:rsidR="00664BAA">
        <w:fldChar w:fldCharType="separate"/>
      </w:r>
      <w:r w:rsidR="00664BAA" w:rsidRPr="00664BAA">
        <w:rPr>
          <w:rStyle w:val="Hyperlink"/>
          <w:lang w:val="fr-CH"/>
        </w:rPr>
        <w:t>SG20-R17</w:t>
      </w:r>
      <w:r w:rsidR="00664BAA">
        <w:fldChar w:fldCharType="end"/>
      </w:r>
      <w:r w:rsidRPr="0091174B">
        <w:rPr>
          <w:rtl/>
        </w:rPr>
        <w:t>)</w:t>
      </w:r>
      <w:r>
        <w:fldChar w:fldCharType="begin"/>
      </w:r>
      <w:r>
        <w:instrText>HYPERLINK "https://www.itu.int/md/T25-SG20-R-0017/en"</w:instrText>
      </w:r>
      <w:r>
        <w:fldChar w:fldCharType="separate"/>
      </w:r>
      <w:r>
        <w:fldChar w:fldCharType="end"/>
      </w:r>
    </w:p>
    <w:p w14:paraId="3DB9206D" w14:textId="77777777" w:rsidR="0091174B" w:rsidRPr="0091174B" w:rsidRDefault="0091174B" w:rsidP="0091174B">
      <w:pPr>
        <w:rPr>
          <w:lang w:val="ar-SA" w:bidi="ar-EG"/>
        </w:rPr>
      </w:pPr>
      <w:r w:rsidRPr="0091174B">
        <w:rPr>
          <w:rtl/>
        </w:rPr>
        <w:t xml:space="preserve">إطار خدمة الاستيقان الموحد للتعاون بشأن البيانات في البنية التحتية للطاقة الكهربائية القائمة على إنترنت الأشياء </w:t>
      </w:r>
      <w:r w:rsidRPr="0091174B">
        <w:rPr>
          <w:lang w:val="en-GB" w:bidi="ar-EG"/>
        </w:rPr>
        <w:t>(IoT)</w:t>
      </w:r>
    </w:p>
    <w:p w14:paraId="021DCB18" w14:textId="77777777" w:rsidR="0091174B" w:rsidRPr="0091174B" w:rsidRDefault="0091174B" w:rsidP="00664BAA">
      <w:pPr>
        <w:pStyle w:val="Headingb"/>
        <w:rPr>
          <w:lang w:val="ar-SA" w:bidi="ar-EG"/>
        </w:rPr>
      </w:pPr>
      <w:r w:rsidRPr="0091174B">
        <w:rPr>
          <w:rtl/>
        </w:rPr>
        <w:t>ملخص</w:t>
      </w:r>
    </w:p>
    <w:p w14:paraId="4C0514DC" w14:textId="7246A6B4" w:rsidR="0091174B" w:rsidRPr="0091174B" w:rsidRDefault="0091174B" w:rsidP="0091174B">
      <w:pPr>
        <w:rPr>
          <w:bCs/>
          <w:lang w:val="ar-SA" w:bidi="ar-EG"/>
        </w:rPr>
      </w:pPr>
      <w:r w:rsidRPr="0091174B">
        <w:rPr>
          <w:rtl/>
        </w:rPr>
        <w:t xml:space="preserve">في البنية التحتية للطاقة الكهربائية القائمة على إنترنت الأشياء </w:t>
      </w:r>
      <w:r w:rsidRPr="0091174B">
        <w:rPr>
          <w:lang w:val="en-GB" w:bidi="ar-EG"/>
        </w:rPr>
        <w:t>(IoT-EPI)</w:t>
      </w:r>
      <w:r w:rsidRPr="0091174B">
        <w:rPr>
          <w:rtl/>
        </w:rPr>
        <w:t>، يشيع التعاون بشأن البيانات عبر مختلف أنظمة المعلومات في التطبيقات، ويؤدي دوراً رئيسياً في دعم العمليات من قبيل تحليل البيانات، والتشغيل عل</w:t>
      </w:r>
      <w:r w:rsidR="00664BAA">
        <w:rPr>
          <w:rFonts w:hint="cs"/>
          <w:rtl/>
        </w:rPr>
        <w:t>ى</w:t>
      </w:r>
      <w:r w:rsidRPr="0091174B">
        <w:rPr>
          <w:rtl/>
        </w:rPr>
        <w:t xml:space="preserve"> النحو الأمثل، واتخاذ القرار. وتقليدياً، يتعين على التطبيقات أن تطور وحدات استيقان منفصلة لكل نظام معلومات، ما يؤدي إلى ارتفاع التكاليف وزيادة التعقيد وتوسيع سطح الهجوم.</w:t>
      </w:r>
    </w:p>
    <w:p w14:paraId="79FE1E27" w14:textId="77777777" w:rsidR="0091174B" w:rsidRPr="0091174B" w:rsidRDefault="0091174B" w:rsidP="0091174B">
      <w:pPr>
        <w:rPr>
          <w:lang w:val="ar-SA" w:bidi="ar-EG"/>
        </w:rPr>
      </w:pPr>
      <w:r w:rsidRPr="0091174B">
        <w:rPr>
          <w:rtl/>
        </w:rPr>
        <w:t xml:space="preserve">وتوصف هذه التوصية خدمة الاستيقان الموحد </w:t>
      </w:r>
      <w:r w:rsidRPr="0091174B">
        <w:rPr>
          <w:lang w:val="en-GB" w:bidi="ar-EG"/>
        </w:rPr>
        <w:t>(UA)</w:t>
      </w:r>
      <w:r w:rsidRPr="0091174B">
        <w:rPr>
          <w:rtl/>
        </w:rPr>
        <w:t xml:space="preserve"> للتعاون بشأن البيانات في البنية التحتية </w:t>
      </w:r>
      <w:r w:rsidRPr="0091174B">
        <w:rPr>
          <w:lang w:val="en-GB" w:bidi="ar-EG"/>
        </w:rPr>
        <w:t>IoT-EPI</w:t>
      </w:r>
      <w:r w:rsidRPr="0091174B">
        <w:rPr>
          <w:rtl/>
        </w:rPr>
        <w:t>، بما في ذلك خصائصها ومتطلباتها ومعماريتها الوظيفية وقدراتها وإجراءاتها العامة.</w:t>
      </w:r>
    </w:p>
    <w:p w14:paraId="24D7B408" w14:textId="27391F5A" w:rsidR="0091174B" w:rsidRPr="0091174B" w:rsidRDefault="0091174B" w:rsidP="00664BAA">
      <w:pPr>
        <w:pStyle w:val="Heading1"/>
        <w:rPr>
          <w:lang w:val="ar-SA" w:bidi="ar-EG"/>
        </w:rPr>
      </w:pPr>
      <w:r w:rsidRPr="0091174B">
        <w:rPr>
          <w:rtl/>
        </w:rPr>
        <w:t>7</w:t>
      </w:r>
      <w:r w:rsidRPr="0091174B">
        <w:rPr>
          <w:rtl/>
        </w:rPr>
        <w:tab/>
        <w:t>مشروع التوصية الجديدة ITU-T Y.4816 (Y.bsis-sec سابقاً) (</w:t>
      </w:r>
      <w:r w:rsidR="00664BAA">
        <w:fldChar w:fldCharType="begin"/>
      </w:r>
      <w:r w:rsidR="00664BAA">
        <w:instrText>HYPERLINK "https://www.itu.int/md/T25-SG20-R-0018/en"</w:instrText>
      </w:r>
      <w:r w:rsidR="00664BAA">
        <w:fldChar w:fldCharType="separate"/>
      </w:r>
      <w:r w:rsidR="00664BAA" w:rsidRPr="00664BAA">
        <w:rPr>
          <w:rStyle w:val="Hyperlink"/>
          <w:lang w:val="fr-CH"/>
        </w:rPr>
        <w:t>SG20-R18</w:t>
      </w:r>
      <w:r w:rsidR="00664BAA">
        <w:fldChar w:fldCharType="end"/>
      </w:r>
      <w:r w:rsidRPr="0091174B">
        <w:rPr>
          <w:rtl/>
        </w:rPr>
        <w:t>)</w:t>
      </w:r>
      <w:r>
        <w:fldChar w:fldCharType="begin"/>
      </w:r>
      <w:r>
        <w:instrText>HYPERLINK "https://www.itu.int/md/T25-SG20-R-0018/en"</w:instrText>
      </w:r>
      <w:r>
        <w:fldChar w:fldCharType="separate"/>
      </w:r>
      <w:r>
        <w:fldChar w:fldCharType="end"/>
      </w:r>
    </w:p>
    <w:p w14:paraId="0222661C" w14:textId="77777777" w:rsidR="0091174B" w:rsidRPr="0091174B" w:rsidRDefault="0091174B" w:rsidP="0091174B">
      <w:pPr>
        <w:rPr>
          <w:lang w:val="ar-SA" w:bidi="ar-EG"/>
        </w:rPr>
      </w:pPr>
      <w:r w:rsidRPr="0091174B">
        <w:rPr>
          <w:rtl/>
        </w:rPr>
        <w:t>المتطلبات والقدرات الأمنية لخدمات تفحص المحطات القاعدة باستخدام مركبات جوية بدون طيار</w:t>
      </w:r>
    </w:p>
    <w:p w14:paraId="7CB3F36B" w14:textId="77777777" w:rsidR="0091174B" w:rsidRPr="0091174B" w:rsidRDefault="0091174B" w:rsidP="00664BAA">
      <w:pPr>
        <w:pStyle w:val="Headingb"/>
        <w:rPr>
          <w:lang w:val="ar-SA" w:bidi="ar-EG"/>
        </w:rPr>
      </w:pPr>
      <w:r w:rsidRPr="0091174B">
        <w:rPr>
          <w:rtl/>
        </w:rPr>
        <w:t>ملخص</w:t>
      </w:r>
    </w:p>
    <w:p w14:paraId="1E8E595F" w14:textId="62800CBB" w:rsidR="0091174B" w:rsidRPr="0091174B" w:rsidRDefault="0091174B" w:rsidP="0091174B">
      <w:pPr>
        <w:rPr>
          <w:lang w:val="ar-SA" w:bidi="ar-EG"/>
        </w:rPr>
      </w:pPr>
      <w:r w:rsidRPr="0091174B">
        <w:rPr>
          <w:rtl/>
        </w:rPr>
        <w:t>يشير مصطلح المحطات القاعدة إلى المحطات التي تقع خارج المباني في المدن الذكية والتي تقدم خدمات عامة، مثل محطات إرسال الطاقة، والمحطات القاعدة للاتصالات، ومحطات مراقبة أحوال الطقس، ومحطات مراقبة جودة المياه. وتقع المحطات القاعدة هذه عادةً خارج المباني وهي عرضة للتلف بسبب تغيرات الطقس وتقادم المواد. ولذلك، فهي تتطلب عمليات تفحص في الوقت المناسب وعلى أساس دوري.</w:t>
      </w:r>
    </w:p>
    <w:p w14:paraId="5607418A" w14:textId="5CBD3AA7" w:rsidR="0091174B" w:rsidRPr="0091174B" w:rsidRDefault="0091174B" w:rsidP="0091174B">
      <w:pPr>
        <w:rPr>
          <w:lang w:val="ar-SA" w:bidi="ar-EG"/>
        </w:rPr>
      </w:pPr>
      <w:r w:rsidRPr="0091174B">
        <w:rPr>
          <w:rtl/>
        </w:rPr>
        <w:t>وعلى عكس أمن إنترنت الأشياء التقليدي، تواجه خدمة تفحص المحطات القاعدة هذه مخاطر أمنية كبيرة وفريدة من نوعها. وينشئ الانتشار الواسع للمركبات الجوية بدون طيار، ولا سيما تلك التي تعمل من محطات الإرساء عن بُعد، سطحاً واسعاً للهجوم ويجعل عملية تقديم الخدمة عرضة للهجمات. ويمكن أن تؤدي نقاط الضعف هذه إلى سرقة البيانات، بما في ذلك النفاذ غير المصرح به إلى الصور الحساسة للمناطق المحظورة، ما يشكل مخاطر أمنية كبيرة.</w:t>
      </w:r>
    </w:p>
    <w:p w14:paraId="6F6A3587" w14:textId="77777777" w:rsidR="0091174B" w:rsidRPr="0091174B" w:rsidRDefault="0091174B" w:rsidP="0091174B">
      <w:pPr>
        <w:rPr>
          <w:lang w:val="ar-SA" w:bidi="ar-EG"/>
        </w:rPr>
      </w:pPr>
      <w:r w:rsidRPr="0091174B">
        <w:rPr>
          <w:rtl/>
        </w:rPr>
        <w:t>وتوصف هذه التوصية المتطلبات والقدرات الأمنية لخدمة تفحُّص المحطات القاعدة باستخدام مركبات جوية بدون طيار. وتهدف التوصية إلى تعزيز حماية أمن المعلومات ومنع الحوادث الأمنية مثل النفاذ غير المخوَّل والتدخلات الخبيثة والتلاعب بالبيانات، وبالتالي المساهمة في الأمن العام للمحطات القاعدة والحفاظ على جودة الخدمات العامة في المدن الذكية.</w:t>
      </w:r>
    </w:p>
    <w:p w14:paraId="5894798C" w14:textId="39B2D84F" w:rsidR="0091174B" w:rsidRPr="0091174B" w:rsidRDefault="0091174B" w:rsidP="00664BAA">
      <w:pPr>
        <w:pStyle w:val="Heading1"/>
        <w:rPr>
          <w:lang w:val="ar-SA" w:bidi="ar-EG"/>
        </w:rPr>
      </w:pPr>
      <w:r w:rsidRPr="0091174B">
        <w:rPr>
          <w:rtl/>
        </w:rPr>
        <w:t>8</w:t>
      </w:r>
      <w:r w:rsidRPr="0091174B">
        <w:rPr>
          <w:rtl/>
        </w:rPr>
        <w:tab/>
        <w:t>مشروع التوصية الجديدة ITU-T Y.4912 (Y.SNPG-ref سابقاً) (</w:t>
      </w:r>
      <w:r w:rsidR="00664BAA">
        <w:fldChar w:fldCharType="begin"/>
      </w:r>
      <w:r w:rsidR="00664BAA">
        <w:instrText>HYPERLINK "https://www.itu.int/md/T25-SG20-R-0019/en"</w:instrText>
      </w:r>
      <w:r w:rsidR="00664BAA">
        <w:fldChar w:fldCharType="separate"/>
      </w:r>
      <w:r w:rsidR="00664BAA" w:rsidRPr="00664BAA">
        <w:rPr>
          <w:rStyle w:val="Hyperlink"/>
          <w:lang w:val="fr-CH"/>
        </w:rPr>
        <w:t>SG20-R19</w:t>
      </w:r>
      <w:r w:rsidR="00664BAA">
        <w:fldChar w:fldCharType="end"/>
      </w:r>
      <w:r w:rsidRPr="0091174B">
        <w:rPr>
          <w:rtl/>
        </w:rPr>
        <w:t>)</w:t>
      </w:r>
      <w:r>
        <w:fldChar w:fldCharType="begin"/>
      </w:r>
      <w:r>
        <w:instrText>HYPERLINK "https://www.itu.int/md/T25-SG20-R-0019/en"</w:instrText>
      </w:r>
      <w:r>
        <w:fldChar w:fldCharType="separate"/>
      </w:r>
      <w:r>
        <w:fldChar w:fldCharType="end"/>
      </w:r>
    </w:p>
    <w:p w14:paraId="5307D34A" w14:textId="77777777" w:rsidR="0091174B" w:rsidRPr="0091174B" w:rsidRDefault="0091174B" w:rsidP="0091174B">
      <w:pPr>
        <w:rPr>
          <w:lang w:val="ar-SA" w:bidi="ar-EG"/>
        </w:rPr>
      </w:pPr>
      <w:r w:rsidRPr="0091174B">
        <w:rPr>
          <w:rtl/>
        </w:rPr>
        <w:t>أطر تقييم موثوقية شبكة الاستشعار في شبكة الطاقة الكهربائية</w:t>
      </w:r>
    </w:p>
    <w:p w14:paraId="6E419925" w14:textId="77777777" w:rsidR="0091174B" w:rsidRPr="0091174B" w:rsidRDefault="0091174B" w:rsidP="00664BAA">
      <w:pPr>
        <w:pStyle w:val="Headingb"/>
        <w:rPr>
          <w:lang w:val="ar-SA" w:bidi="ar-EG"/>
        </w:rPr>
      </w:pPr>
      <w:r w:rsidRPr="0091174B">
        <w:rPr>
          <w:rtl/>
        </w:rPr>
        <w:t>ملخص</w:t>
      </w:r>
    </w:p>
    <w:p w14:paraId="659D036B" w14:textId="77777777" w:rsidR="0091174B" w:rsidRPr="0091174B" w:rsidRDefault="0091174B" w:rsidP="0091174B">
      <w:pPr>
        <w:rPr>
          <w:lang w:val="ar-SA" w:bidi="ar-EG"/>
        </w:rPr>
      </w:pPr>
      <w:r w:rsidRPr="0091174B">
        <w:rPr>
          <w:rtl/>
        </w:rPr>
        <w:t xml:space="preserve">تعطي هذه التوصية لمحة عامة عن شبكة الاستشعار في شبكة الطاقة الكهربائية </w:t>
      </w:r>
      <w:r w:rsidRPr="0091174B">
        <w:rPr>
          <w:lang w:val="en-GB" w:bidi="ar-EG"/>
        </w:rPr>
        <w:t>(SNPG)</w:t>
      </w:r>
      <w:r w:rsidRPr="0091174B">
        <w:rPr>
          <w:rtl/>
        </w:rPr>
        <w:t xml:space="preserve"> وتحدد متطلبات تقييم موثوقيتها وإطارها. </w:t>
      </w:r>
    </w:p>
    <w:p w14:paraId="53991E20" w14:textId="77777777" w:rsidR="0091174B" w:rsidRPr="0091174B" w:rsidRDefault="0091174B" w:rsidP="0091174B">
      <w:pPr>
        <w:rPr>
          <w:lang w:val="ar-SA" w:bidi="ar-EG"/>
        </w:rPr>
      </w:pPr>
      <w:r w:rsidRPr="0091174B">
        <w:rPr>
          <w:rtl/>
        </w:rPr>
        <w:t xml:space="preserve">تُحدِث إنترنت الأشياء </w:t>
      </w:r>
      <w:r w:rsidRPr="0091174B">
        <w:rPr>
          <w:lang w:val="en-GB" w:bidi="ar-EG"/>
        </w:rPr>
        <w:t>(IoT)</w:t>
      </w:r>
      <w:r w:rsidRPr="0091174B">
        <w:rPr>
          <w:rtl/>
        </w:rPr>
        <w:t>، بوصفها تكنولوجيا جديدة نسبياً، تحوّلاً في شبكات الاستشعار في شبكة الطاقة الكهربائية، بما يعزّز خدمات نقل بيانات الاستشعار. ومع ذلك، فإن هذا التحول يخلق بالتزامن الحاجة إلى إطار فعال لتقييم موثوقية شبكة الاستشعار في شبكة الطاقة الكهربائية. ويوفر هذا الإطار مرجعا شاملا لتقييم موثوقية شبكة الاستشعار في شبكة الطاقة الكهربائية.</w:t>
      </w:r>
    </w:p>
    <w:p w14:paraId="34258DF0" w14:textId="71C97A82" w:rsidR="0091174B" w:rsidRPr="0091174B" w:rsidRDefault="0091174B" w:rsidP="00664BAA">
      <w:pPr>
        <w:pStyle w:val="Heading1"/>
        <w:rPr>
          <w:lang w:val="ar-SA" w:bidi="ar-EG"/>
        </w:rPr>
      </w:pPr>
      <w:r w:rsidRPr="0091174B">
        <w:rPr>
          <w:rtl/>
        </w:rPr>
        <w:t>9</w:t>
      </w:r>
      <w:r w:rsidRPr="0091174B">
        <w:rPr>
          <w:rtl/>
        </w:rPr>
        <w:tab/>
        <w:t>مشروع التوصية الجديدة ITU-T Y.4512 (Y.SC-DESMS سابقاً) (</w:t>
      </w:r>
      <w:hyperlink r:id="rId17" w:history="1">
        <w:r w:rsidR="00664BAA" w:rsidRPr="00664BAA">
          <w:rPr>
            <w:rStyle w:val="Hyperlink"/>
            <w:lang w:val="fr-CH"/>
          </w:rPr>
          <w:t>SG20-R20</w:t>
        </w:r>
      </w:hyperlink>
      <w:r w:rsidRPr="0091174B">
        <w:rPr>
          <w:rtl/>
        </w:rPr>
        <w:t>)</w:t>
      </w:r>
      <w:r>
        <w:fldChar w:fldCharType="begin"/>
      </w:r>
      <w:r>
        <w:instrText>HYPERLINK "https://www.itu.int/md/T25-SG20-R-0020/en"</w:instrText>
      </w:r>
      <w:r>
        <w:fldChar w:fldCharType="separate"/>
      </w:r>
      <w:r>
        <w:fldChar w:fldCharType="end"/>
      </w:r>
    </w:p>
    <w:p w14:paraId="1FC301A3" w14:textId="77777777" w:rsidR="0091174B" w:rsidRPr="0091174B" w:rsidRDefault="0091174B" w:rsidP="0091174B">
      <w:pPr>
        <w:rPr>
          <w:lang w:val="ar-SA" w:bidi="ar-EG"/>
        </w:rPr>
      </w:pPr>
      <w:r w:rsidRPr="0091174B">
        <w:rPr>
          <w:rtl/>
        </w:rPr>
        <w:t>المعمارية الوظيفية لنظام إدارة تخزين الطاقة الموزَّع القائم على إنترنت الأشياء في المدن الذكية</w:t>
      </w:r>
    </w:p>
    <w:p w14:paraId="17228EB4" w14:textId="77777777" w:rsidR="0091174B" w:rsidRPr="0091174B" w:rsidRDefault="0091174B" w:rsidP="00664BAA">
      <w:pPr>
        <w:pStyle w:val="Headingb"/>
        <w:rPr>
          <w:lang w:val="ar-SA" w:bidi="ar-EG"/>
        </w:rPr>
      </w:pPr>
      <w:r w:rsidRPr="0091174B">
        <w:rPr>
          <w:rtl/>
        </w:rPr>
        <w:lastRenderedPageBreak/>
        <w:t>ملخص</w:t>
      </w:r>
    </w:p>
    <w:p w14:paraId="23C9439E" w14:textId="1EAD7BE4" w:rsidR="0091174B" w:rsidRPr="0091174B" w:rsidRDefault="0091174B" w:rsidP="0091174B">
      <w:pPr>
        <w:rPr>
          <w:lang w:val="ar-SA" w:bidi="ar-EG"/>
        </w:rPr>
      </w:pPr>
      <w:r w:rsidRPr="0091174B">
        <w:rPr>
          <w:rtl/>
        </w:rPr>
        <w:t xml:space="preserve">تحدد التوصية ITU-T Y.SC-DESMS المتطلبات والإطار المعماري الوظيفي لنظام إدارة تخزين الطاقة الموزع </w:t>
      </w:r>
      <w:r w:rsidR="00664BAA">
        <w:rPr>
          <w:rFonts w:hint="cs"/>
          <w:rtl/>
          <w:lang w:bidi="ar-EG"/>
        </w:rPr>
        <w:t>(</w:t>
      </w:r>
      <w:r w:rsidRPr="0091174B">
        <w:rPr>
          <w:rtl/>
        </w:rPr>
        <w:t xml:space="preserve">DESMS). وتقدم توجيهات بشأن تصميم وتطوير وتطبيق نظام </w:t>
      </w:r>
      <w:r w:rsidRPr="0091174B">
        <w:rPr>
          <w:lang w:val="en-GB" w:bidi="ar-EG"/>
        </w:rPr>
        <w:t>DESMS</w:t>
      </w:r>
      <w:r w:rsidRPr="0091174B">
        <w:rPr>
          <w:rtl/>
        </w:rPr>
        <w:t xml:space="preserve"> القائم على إنترنت الأشياء من أجل المدن الذكية. وتفرض المدن الذكية متطلبات جديدة لأنظمة الطاقة، ولا سيما من حيث الموثوقية والنظافة. وهذا يدفع إلى الاعتماد واسع النطاق لتخزين الطاقة الموزَّع </w:t>
      </w:r>
      <w:r w:rsidRPr="0091174B">
        <w:rPr>
          <w:lang w:val="en-GB" w:bidi="ar-EG"/>
        </w:rPr>
        <w:t>(DES)</w:t>
      </w:r>
      <w:r w:rsidRPr="0091174B">
        <w:rPr>
          <w:rtl/>
        </w:rPr>
        <w:t xml:space="preserve">، بما يعزز موثوقية إمدادات الطاقة ويسهم في زيادة استخدام الطاقة المتجددة. ومع تقدم تكنولوجيا إنترنت الأشياء </w:t>
      </w:r>
      <w:r w:rsidRPr="0091174B">
        <w:rPr>
          <w:lang w:val="en-GB" w:bidi="ar-EG"/>
        </w:rPr>
        <w:t>(IoT)</w:t>
      </w:r>
      <w:r w:rsidRPr="0091174B">
        <w:rPr>
          <w:rtl/>
        </w:rPr>
        <w:t xml:space="preserve">، نُشرت أنظمة إدارة تخزين الطاقة الموزَّع </w:t>
      </w:r>
      <w:r w:rsidRPr="0091174B">
        <w:rPr>
          <w:lang w:val="en-GB" w:bidi="ar-EG"/>
        </w:rPr>
        <w:t>(DESMS)</w:t>
      </w:r>
      <w:r w:rsidRPr="0091174B">
        <w:rPr>
          <w:rtl/>
        </w:rPr>
        <w:t xml:space="preserve"> القائم على إنترنت الأشياء في بعض البلدان والمناطق.</w:t>
      </w:r>
    </w:p>
    <w:p w14:paraId="7B33CF06" w14:textId="355FE740" w:rsidR="0091174B" w:rsidRPr="0091174B" w:rsidRDefault="0091174B" w:rsidP="00664BAA">
      <w:pPr>
        <w:pStyle w:val="Heading1"/>
        <w:rPr>
          <w:lang w:val="ar-SA" w:bidi="ar-EG"/>
        </w:rPr>
      </w:pPr>
      <w:r w:rsidRPr="0091174B">
        <w:rPr>
          <w:rtl/>
        </w:rPr>
        <w:t>10</w:t>
      </w:r>
      <w:r w:rsidRPr="0091174B">
        <w:rPr>
          <w:rtl/>
        </w:rPr>
        <w:tab/>
        <w:t>مشروع التوصية الجديدة ITU-T Y.4244 (Y.EPWS-fc سابقاً) (</w:t>
      </w:r>
      <w:r w:rsidR="00664BAA">
        <w:fldChar w:fldCharType="begin"/>
      </w:r>
      <w:r w:rsidR="00664BAA">
        <w:instrText>HYPERLINK "https://www.itu.int/md/T25-SG20-R-0021/en"</w:instrText>
      </w:r>
      <w:r w:rsidR="00664BAA">
        <w:fldChar w:fldCharType="separate"/>
      </w:r>
      <w:r w:rsidR="00664BAA" w:rsidRPr="00664BAA">
        <w:rPr>
          <w:rStyle w:val="Hyperlink"/>
          <w:lang w:val="fr-CH"/>
        </w:rPr>
        <w:t>SG20-R21</w:t>
      </w:r>
      <w:r w:rsidR="00664BAA">
        <w:fldChar w:fldCharType="end"/>
      </w:r>
      <w:r w:rsidRPr="0091174B">
        <w:rPr>
          <w:rtl/>
        </w:rPr>
        <w:t>)</w:t>
      </w:r>
      <w:r>
        <w:fldChar w:fldCharType="begin"/>
      </w:r>
      <w:r>
        <w:instrText>HYPERLINK "https://www.itu.int/md/T25-SG20-R-0021/en"</w:instrText>
      </w:r>
      <w:r>
        <w:fldChar w:fldCharType="separate"/>
      </w:r>
      <w:r>
        <w:fldChar w:fldCharType="end"/>
      </w:r>
    </w:p>
    <w:p w14:paraId="0D9A1617" w14:textId="69D8B2AC" w:rsidR="0091174B" w:rsidRPr="0091174B" w:rsidRDefault="0091174B" w:rsidP="0091174B">
      <w:pPr>
        <w:rPr>
          <w:lang w:val="ar-SA" w:bidi="ar-EG"/>
        </w:rPr>
      </w:pPr>
      <w:r w:rsidRPr="0091174B">
        <w:rPr>
          <w:rtl/>
        </w:rPr>
        <w:t xml:space="preserve">القدرات الوظيفية لدعم خدمات تشغيل مواقع عمل الطاقة الكهربائية القائمة على إنترنت الأشياء </w:t>
      </w:r>
      <w:r w:rsidRPr="0091174B">
        <w:rPr>
          <w:lang w:val="en-GB" w:bidi="ar-EG"/>
        </w:rPr>
        <w:t>(IoT)</w:t>
      </w:r>
    </w:p>
    <w:p w14:paraId="6B4E1C09" w14:textId="77777777" w:rsidR="0091174B" w:rsidRPr="0091174B" w:rsidRDefault="0091174B" w:rsidP="00664BAA">
      <w:pPr>
        <w:pStyle w:val="Headingb"/>
        <w:rPr>
          <w:lang w:val="ar-SA" w:bidi="ar-EG"/>
        </w:rPr>
      </w:pPr>
      <w:r w:rsidRPr="0091174B">
        <w:rPr>
          <w:rtl/>
        </w:rPr>
        <w:t>ملخص</w:t>
      </w:r>
    </w:p>
    <w:p w14:paraId="2E968181" w14:textId="77777777" w:rsidR="0091174B" w:rsidRPr="0091174B" w:rsidRDefault="0091174B" w:rsidP="0091174B">
      <w:pPr>
        <w:rPr>
          <w:bCs/>
          <w:lang w:val="ar-SA" w:bidi="ar-EG"/>
        </w:rPr>
      </w:pPr>
      <w:r w:rsidRPr="0091174B">
        <w:rPr>
          <w:rtl/>
        </w:rPr>
        <w:t xml:space="preserve">تمثل مواقع تشغيل الطاقة الأساس الذي تقوم عليه عمليات تشغيل وصيانة البنية التحتية للطاقة، وتؤدي دوراً حاسماً في ضمان سلامة العاملين والتشغيل المستقر لنظام الطاقة. ولا يكفي التوزيع الواسع النطاق والتعاون متعدد النقاط والطابع المعقد والمتنوع لمواقع تشغيل الطاقة لتلبية الاحتياجات العملية للمشاركة متعددة الأطراف. </w:t>
      </w:r>
    </w:p>
    <w:p w14:paraId="5EF2EBA2" w14:textId="77777777" w:rsidR="0091174B" w:rsidRPr="0091174B" w:rsidRDefault="0091174B" w:rsidP="0091174B">
      <w:pPr>
        <w:rPr>
          <w:bCs/>
          <w:lang w:val="ar-SA" w:bidi="ar-EG"/>
        </w:rPr>
      </w:pPr>
      <w:r w:rsidRPr="0091174B">
        <w:rPr>
          <w:rtl/>
        </w:rPr>
        <w:t xml:space="preserve">وتقدم هذه التوصية القدرات الوظيفية لدعم خدمات تشغيل مواقع عمل الطاقة الكهربائية </w:t>
      </w:r>
      <w:r w:rsidRPr="0091174B">
        <w:rPr>
          <w:lang w:val="en-GB" w:bidi="ar-EG"/>
        </w:rPr>
        <w:t>(EPWS)</w:t>
      </w:r>
      <w:r w:rsidRPr="0091174B">
        <w:rPr>
          <w:rtl/>
        </w:rPr>
        <w:t xml:space="preserve"> القائمة على إنترنت الأشياء </w:t>
      </w:r>
      <w:r w:rsidRPr="0091174B">
        <w:rPr>
          <w:lang w:val="en-GB" w:bidi="ar-EG"/>
        </w:rPr>
        <w:t>(IoT)</w:t>
      </w:r>
      <w:r w:rsidRPr="0091174B">
        <w:rPr>
          <w:rtl/>
        </w:rPr>
        <w:t xml:space="preserve">، بما في ذلك المفهوم والأهداف والمكونات الرئيسية والمتطلبات والقدرات الوظيفية. وترد في التذييل حالات الاستعمال ذات الصلة للقدرات الوظيفية لدعم المواقع </w:t>
      </w:r>
      <w:r w:rsidRPr="0091174B">
        <w:rPr>
          <w:lang w:val="en-GB" w:bidi="ar-EG"/>
        </w:rPr>
        <w:t>EPWS</w:t>
      </w:r>
      <w:r w:rsidRPr="0091174B">
        <w:rPr>
          <w:rtl/>
        </w:rPr>
        <w:t xml:space="preserve"> القائمة على إنترنت الأشياء.</w:t>
      </w:r>
    </w:p>
    <w:p w14:paraId="2846816A" w14:textId="77777777" w:rsidR="0091174B" w:rsidRPr="0091174B" w:rsidRDefault="0091174B" w:rsidP="0091174B">
      <w:pPr>
        <w:rPr>
          <w:lang w:val="en-GB" w:bidi="ar-EG"/>
        </w:rPr>
      </w:pPr>
    </w:p>
    <w:p w14:paraId="33DF9800" w14:textId="77777777" w:rsidR="0091174B" w:rsidRPr="0091174B" w:rsidRDefault="0091174B" w:rsidP="0091174B">
      <w:pPr>
        <w:rPr>
          <w:b/>
          <w:lang w:val="en-GB" w:bidi="ar-EG"/>
        </w:rPr>
      </w:pPr>
      <w:r w:rsidRPr="0091174B">
        <w:rPr>
          <w:lang w:val="en-GB" w:bidi="ar-EG"/>
        </w:rPr>
        <w:br w:type="page"/>
      </w:r>
    </w:p>
    <w:p w14:paraId="23D6FF55" w14:textId="77777777" w:rsidR="0091174B" w:rsidRPr="0091174B" w:rsidRDefault="0091174B" w:rsidP="00664BAA">
      <w:pPr>
        <w:pStyle w:val="AnnexNo"/>
        <w:rPr>
          <w:lang w:val="ar-SA" w:bidi="ar-EG"/>
        </w:rPr>
      </w:pPr>
      <w:r w:rsidRPr="0091174B">
        <w:rPr>
          <w:rtl/>
        </w:rPr>
        <w:lastRenderedPageBreak/>
        <w:t>الملحق 2</w:t>
      </w:r>
    </w:p>
    <w:p w14:paraId="0A0E36B9" w14:textId="46941B78" w:rsidR="0091174B" w:rsidRPr="0091174B" w:rsidRDefault="0091174B" w:rsidP="000926DB">
      <w:pPr>
        <w:pStyle w:val="Annextitle"/>
        <w:rPr>
          <w:lang w:val="ar-SA" w:bidi="ar-EG"/>
        </w:rPr>
      </w:pPr>
      <w:r w:rsidRPr="0091174B">
        <w:rPr>
          <w:rtl/>
        </w:rPr>
        <w:t xml:space="preserve">الموضوع: رد الدولة العضو على الرسالة المعممة 106 لمكتب تقييس الاتصالات: المشاورة المتعلقة بمشاريع التوصيات المحددة ITU-T Y.4241 (Y.dt-SComCam سابقاً) </w:t>
      </w:r>
      <w:r w:rsidR="00664BAA">
        <w:rPr>
          <w:rtl/>
        </w:rPr>
        <w:br/>
      </w:r>
      <w:r w:rsidRPr="0091174B">
        <w:rPr>
          <w:rtl/>
        </w:rPr>
        <w:t>وITU-T Y.4242 (Y.energy-storage سابقاً) وITU-T Y.4243 (Y.IoT-smartschool سابقاً) وITU-T Y.4244 (Y.EPWS-fc سابقاً) وITU-T Y.4420 و</w:t>
      </w:r>
      <w:r w:rsidR="000926DB" w:rsidRPr="000926DB">
        <w:rPr>
          <w:rFonts w:ascii="Calibri" w:eastAsia="Times New Roman" w:hAnsi="Calibri" w:cs="Calibri"/>
          <w:b w:val="0"/>
          <w:bCs w:val="0"/>
          <w:sz w:val="22"/>
          <w:szCs w:val="22"/>
          <w:lang w:val="en-GB" w:eastAsia="en-GB" w:bidi="ar-SA"/>
        </w:rPr>
        <w:t xml:space="preserve"> </w:t>
      </w:r>
      <w:r w:rsidR="000926DB" w:rsidRPr="000926DB">
        <w:rPr>
          <w:lang w:val="en-GB"/>
        </w:rPr>
        <w:t>ITU-T Y.4512</w:t>
      </w:r>
      <w:r w:rsidRPr="0091174B">
        <w:rPr>
          <w:rtl/>
        </w:rPr>
        <w:t xml:space="preserve">(Y.SC-DESMS سابقاً) وITU-T Y.4614 (Y.CL-EDM سابقاً) وITU-T Y.4815 (Y.uas-dc-fr سابقاً) </w:t>
      </w:r>
      <w:r w:rsidR="00664BAA">
        <w:rPr>
          <w:rtl/>
        </w:rPr>
        <w:br/>
      </w:r>
      <w:r w:rsidRPr="0091174B">
        <w:rPr>
          <w:rtl/>
        </w:rPr>
        <w:t>وITU-T Y.4816 (Y.bsis-sec سابقاً) وITU-T Y.4912 (Y.SNPG-ref سابقاً)</w:t>
      </w:r>
    </w:p>
    <w:tbl>
      <w:tblPr>
        <w:bidiVisual/>
        <w:tblW w:w="5000" w:type="pct"/>
        <w:jc w:val="center"/>
        <w:tblLayout w:type="fixed"/>
        <w:tblLook w:val="04A0" w:firstRow="1" w:lastRow="0" w:firstColumn="1" w:lastColumn="0" w:noHBand="0" w:noVBand="1"/>
      </w:tblPr>
      <w:tblGrid>
        <w:gridCol w:w="1560"/>
        <w:gridCol w:w="3402"/>
        <w:gridCol w:w="1984"/>
        <w:gridCol w:w="2693"/>
      </w:tblGrid>
      <w:tr w:rsidR="0091174B" w:rsidRPr="0091174B" w14:paraId="2A7CB710" w14:textId="77777777" w:rsidTr="00664BAA">
        <w:trPr>
          <w:jc w:val="center"/>
        </w:trPr>
        <w:tc>
          <w:tcPr>
            <w:tcW w:w="1560" w:type="dxa"/>
          </w:tcPr>
          <w:p w14:paraId="5E561EB0" w14:textId="77777777" w:rsidR="0091174B" w:rsidRPr="0091174B" w:rsidRDefault="0091174B" w:rsidP="00664BAA">
            <w:pPr>
              <w:spacing w:before="80" w:after="80" w:line="260" w:lineRule="exact"/>
              <w:rPr>
                <w:b/>
                <w:bCs/>
                <w:lang w:val="ar-SA" w:bidi="ar-EG"/>
              </w:rPr>
            </w:pPr>
            <w:r w:rsidRPr="0091174B">
              <w:rPr>
                <w:b/>
                <w:bCs/>
                <w:rtl/>
              </w:rPr>
              <w:t>إلى:</w:t>
            </w:r>
          </w:p>
        </w:tc>
        <w:tc>
          <w:tcPr>
            <w:tcW w:w="3402" w:type="dxa"/>
            <w:tcBorders>
              <w:right w:val="single" w:sz="8" w:space="0" w:color="auto"/>
            </w:tcBorders>
          </w:tcPr>
          <w:p w14:paraId="28E42AB8" w14:textId="77777777" w:rsidR="0091174B" w:rsidRPr="0091174B" w:rsidRDefault="0091174B" w:rsidP="00664BAA">
            <w:pPr>
              <w:spacing w:before="80" w:after="80" w:line="260" w:lineRule="exact"/>
              <w:rPr>
                <w:lang w:val="ar-SA" w:bidi="ar-EG"/>
              </w:rPr>
            </w:pPr>
            <w:r w:rsidRPr="0091174B">
              <w:rPr>
                <w:rtl/>
              </w:rPr>
              <w:t>مدير مكتب تقييس الاتصالات،</w:t>
            </w:r>
          </w:p>
          <w:p w14:paraId="54479415" w14:textId="77777777" w:rsidR="0091174B" w:rsidRPr="0091174B" w:rsidRDefault="0091174B" w:rsidP="00664BAA">
            <w:pPr>
              <w:spacing w:before="80" w:after="80" w:line="260" w:lineRule="exact"/>
              <w:rPr>
                <w:lang w:val="ar-SA" w:bidi="ar-EG"/>
              </w:rPr>
            </w:pPr>
            <w:r w:rsidRPr="0091174B">
              <w:rPr>
                <w:rtl/>
              </w:rPr>
              <w:t>الاتحاد الدولي للاتصالات</w:t>
            </w:r>
          </w:p>
          <w:p w14:paraId="5908CF28" w14:textId="77777777" w:rsidR="0091174B" w:rsidRPr="0091174B" w:rsidRDefault="0091174B" w:rsidP="00664BAA">
            <w:pPr>
              <w:spacing w:before="80" w:after="80" w:line="260" w:lineRule="exact"/>
              <w:rPr>
                <w:lang w:bidi="en-GB"/>
              </w:rPr>
            </w:pPr>
            <w:r w:rsidRPr="0091174B">
              <w:rPr>
                <w:rtl/>
              </w:rPr>
              <w:t>Place des Nations</w:t>
            </w:r>
          </w:p>
          <w:p w14:paraId="42001017" w14:textId="77777777" w:rsidR="0091174B" w:rsidRPr="0091174B" w:rsidRDefault="0091174B" w:rsidP="00664BAA">
            <w:pPr>
              <w:spacing w:before="80" w:after="80" w:line="260" w:lineRule="exact"/>
              <w:rPr>
                <w:lang w:bidi="en-GB"/>
              </w:rPr>
            </w:pPr>
            <w:r w:rsidRPr="0091174B">
              <w:rPr>
                <w:rtl/>
              </w:rPr>
              <w:t>CH 1211 Geneva 20, Switzerland</w:t>
            </w:r>
          </w:p>
        </w:tc>
        <w:tc>
          <w:tcPr>
            <w:tcW w:w="1984" w:type="dxa"/>
            <w:tcBorders>
              <w:left w:val="single" w:sz="8" w:space="0" w:color="auto"/>
            </w:tcBorders>
          </w:tcPr>
          <w:p w14:paraId="1776250A" w14:textId="77777777" w:rsidR="0091174B" w:rsidRPr="0091174B" w:rsidRDefault="0091174B" w:rsidP="00664BAA">
            <w:pPr>
              <w:spacing w:before="80" w:after="80" w:line="260" w:lineRule="exact"/>
              <w:rPr>
                <w:b/>
                <w:bCs/>
                <w:lang w:val="ar-SA" w:bidi="ar-EG"/>
              </w:rPr>
            </w:pPr>
            <w:r w:rsidRPr="0091174B">
              <w:rPr>
                <w:b/>
                <w:bCs/>
                <w:rtl/>
              </w:rPr>
              <w:t>من:</w:t>
            </w:r>
          </w:p>
        </w:tc>
        <w:tc>
          <w:tcPr>
            <w:tcW w:w="2693" w:type="dxa"/>
          </w:tcPr>
          <w:p w14:paraId="517643FF" w14:textId="77777777" w:rsidR="000926DB" w:rsidRDefault="000926DB" w:rsidP="00664BAA">
            <w:pPr>
              <w:spacing w:before="80" w:after="80" w:line="260" w:lineRule="exact"/>
              <w:rPr>
                <w:highlight w:val="green"/>
                <w:rtl/>
              </w:rPr>
            </w:pPr>
            <w:r>
              <w:rPr>
                <w:rFonts w:hint="cs"/>
                <w:highlight w:val="green"/>
                <w:rtl/>
              </w:rPr>
              <w:t>[الاسم]</w:t>
            </w:r>
          </w:p>
          <w:p w14:paraId="2A77AC94" w14:textId="699698F1" w:rsidR="0091174B" w:rsidRPr="0091174B" w:rsidRDefault="0091174B" w:rsidP="00664BAA">
            <w:pPr>
              <w:spacing w:before="80" w:after="80" w:line="260" w:lineRule="exact"/>
              <w:rPr>
                <w:highlight w:val="green"/>
                <w:lang w:val="ar-SA" w:bidi="ar-EG"/>
              </w:rPr>
            </w:pPr>
            <w:r w:rsidRPr="0091174B">
              <w:rPr>
                <w:highlight w:val="green"/>
                <w:rtl/>
              </w:rPr>
              <w:t>[الدور/اللقب الرسمي]</w:t>
            </w:r>
          </w:p>
          <w:p w14:paraId="2BE5D081" w14:textId="77777777" w:rsidR="0091174B" w:rsidRPr="0091174B" w:rsidRDefault="0091174B" w:rsidP="00664BAA">
            <w:pPr>
              <w:spacing w:before="80" w:after="80" w:line="260" w:lineRule="exact"/>
              <w:rPr>
                <w:lang w:val="ar-SA" w:bidi="ar-EG"/>
              </w:rPr>
            </w:pPr>
            <w:r w:rsidRPr="0091174B">
              <w:rPr>
                <w:highlight w:val="green"/>
                <w:rtl/>
              </w:rPr>
              <w:t>[العنوان]</w:t>
            </w:r>
          </w:p>
        </w:tc>
      </w:tr>
      <w:tr w:rsidR="0091174B" w:rsidRPr="0091174B" w14:paraId="487E0943" w14:textId="77777777" w:rsidTr="00664BAA">
        <w:trPr>
          <w:jc w:val="center"/>
        </w:trPr>
        <w:tc>
          <w:tcPr>
            <w:tcW w:w="1560" w:type="dxa"/>
          </w:tcPr>
          <w:p w14:paraId="0D879E42" w14:textId="77777777" w:rsidR="0091174B" w:rsidRPr="0091174B" w:rsidRDefault="0091174B" w:rsidP="00664BAA">
            <w:pPr>
              <w:spacing w:before="80" w:after="80" w:line="260" w:lineRule="exact"/>
              <w:rPr>
                <w:b/>
                <w:bCs/>
                <w:lang w:val="ar-SA" w:bidi="ar-EG"/>
              </w:rPr>
            </w:pPr>
            <w:r w:rsidRPr="0091174B">
              <w:rPr>
                <w:b/>
                <w:bCs/>
                <w:rtl/>
              </w:rPr>
              <w:t>الفاكس:</w:t>
            </w:r>
          </w:p>
        </w:tc>
        <w:tc>
          <w:tcPr>
            <w:tcW w:w="3402" w:type="dxa"/>
            <w:tcBorders>
              <w:right w:val="single" w:sz="8" w:space="0" w:color="auto"/>
            </w:tcBorders>
          </w:tcPr>
          <w:p w14:paraId="26CEFB5B" w14:textId="5AE95CCA" w:rsidR="0091174B" w:rsidRPr="0091174B" w:rsidRDefault="00664BAA" w:rsidP="00664BAA">
            <w:pPr>
              <w:spacing w:before="80" w:after="80" w:line="260" w:lineRule="exact"/>
              <w:rPr>
                <w:lang w:val="ar-SA" w:bidi="ar-EG"/>
              </w:rPr>
            </w:pPr>
            <w:r w:rsidRPr="00664BAA">
              <w:rPr>
                <w:lang w:val="en-GB"/>
              </w:rPr>
              <w:t>+41-22-730-5853</w:t>
            </w:r>
          </w:p>
        </w:tc>
        <w:tc>
          <w:tcPr>
            <w:tcW w:w="1984" w:type="dxa"/>
            <w:tcBorders>
              <w:left w:val="single" w:sz="8" w:space="0" w:color="auto"/>
            </w:tcBorders>
          </w:tcPr>
          <w:p w14:paraId="6D8DA06E" w14:textId="77777777" w:rsidR="0091174B" w:rsidRPr="0091174B" w:rsidRDefault="0091174B" w:rsidP="00664BAA">
            <w:pPr>
              <w:spacing w:before="80" w:after="80" w:line="260" w:lineRule="exact"/>
              <w:rPr>
                <w:b/>
                <w:bCs/>
                <w:lang w:val="ar-SA" w:bidi="ar-EG"/>
              </w:rPr>
            </w:pPr>
            <w:r w:rsidRPr="0091174B">
              <w:rPr>
                <w:b/>
                <w:bCs/>
                <w:rtl/>
              </w:rPr>
              <w:t>الفاكس:</w:t>
            </w:r>
          </w:p>
        </w:tc>
        <w:tc>
          <w:tcPr>
            <w:tcW w:w="2693" w:type="dxa"/>
          </w:tcPr>
          <w:p w14:paraId="6D509C03" w14:textId="77777777" w:rsidR="0091174B" w:rsidRPr="0091174B" w:rsidRDefault="0091174B" w:rsidP="00664BAA">
            <w:pPr>
              <w:spacing w:before="80" w:after="80" w:line="260" w:lineRule="exact"/>
              <w:rPr>
                <w:lang w:val="en-GB" w:bidi="ar-EG"/>
              </w:rPr>
            </w:pPr>
          </w:p>
        </w:tc>
      </w:tr>
      <w:tr w:rsidR="0091174B" w:rsidRPr="0091174B" w14:paraId="4A440250" w14:textId="77777777" w:rsidTr="00664BAA">
        <w:trPr>
          <w:jc w:val="center"/>
        </w:trPr>
        <w:tc>
          <w:tcPr>
            <w:tcW w:w="1560" w:type="dxa"/>
          </w:tcPr>
          <w:p w14:paraId="26363804" w14:textId="77777777" w:rsidR="0091174B" w:rsidRPr="0091174B" w:rsidRDefault="0091174B" w:rsidP="00664BAA">
            <w:pPr>
              <w:spacing w:before="80" w:after="80" w:line="260" w:lineRule="exact"/>
              <w:rPr>
                <w:b/>
                <w:bCs/>
                <w:lang w:val="ar-SA" w:bidi="ar-EG"/>
              </w:rPr>
            </w:pPr>
            <w:r w:rsidRPr="0091174B">
              <w:rPr>
                <w:b/>
                <w:bCs/>
                <w:rtl/>
              </w:rPr>
              <w:t>البريد الإلكتروني:</w:t>
            </w:r>
          </w:p>
        </w:tc>
        <w:tc>
          <w:tcPr>
            <w:tcW w:w="3402" w:type="dxa"/>
            <w:tcBorders>
              <w:right w:val="single" w:sz="8" w:space="0" w:color="auto"/>
            </w:tcBorders>
          </w:tcPr>
          <w:p w14:paraId="090FC1C8" w14:textId="33EBB62B" w:rsidR="0091174B" w:rsidRPr="0091174B" w:rsidRDefault="0091174B" w:rsidP="00664BAA">
            <w:pPr>
              <w:spacing w:before="80" w:after="80" w:line="260" w:lineRule="exact"/>
              <w:rPr>
                <w:lang w:val="ar-SA" w:bidi="ar-EG"/>
              </w:rPr>
            </w:pPr>
            <w:hyperlink r:id="rId18" w:history="1">
              <w:r w:rsidRPr="0091174B">
                <w:rPr>
                  <w:rStyle w:val="Hyperlink"/>
                  <w:rtl/>
                </w:rPr>
                <w:t>tsbdir@itu.int</w:t>
              </w:r>
            </w:hyperlink>
          </w:p>
        </w:tc>
        <w:tc>
          <w:tcPr>
            <w:tcW w:w="1984" w:type="dxa"/>
            <w:tcBorders>
              <w:left w:val="single" w:sz="8" w:space="0" w:color="auto"/>
            </w:tcBorders>
          </w:tcPr>
          <w:p w14:paraId="3C89BE58" w14:textId="77777777" w:rsidR="0091174B" w:rsidRPr="0091174B" w:rsidRDefault="0091174B" w:rsidP="00664BAA">
            <w:pPr>
              <w:spacing w:before="80" w:after="80" w:line="260" w:lineRule="exact"/>
              <w:rPr>
                <w:b/>
                <w:bCs/>
                <w:lang w:val="ar-SA" w:bidi="ar-EG"/>
              </w:rPr>
            </w:pPr>
            <w:r w:rsidRPr="0091174B">
              <w:rPr>
                <w:b/>
                <w:bCs/>
                <w:rtl/>
              </w:rPr>
              <w:t>البريد الإلكتروني:</w:t>
            </w:r>
          </w:p>
        </w:tc>
        <w:tc>
          <w:tcPr>
            <w:tcW w:w="2693" w:type="dxa"/>
          </w:tcPr>
          <w:p w14:paraId="0B5801A6" w14:textId="77777777" w:rsidR="0091174B" w:rsidRPr="0091174B" w:rsidRDefault="0091174B" w:rsidP="00664BAA">
            <w:pPr>
              <w:spacing w:before="80" w:after="80" w:line="260" w:lineRule="exact"/>
              <w:rPr>
                <w:lang w:val="en-GB" w:bidi="ar-EG"/>
              </w:rPr>
            </w:pPr>
          </w:p>
        </w:tc>
      </w:tr>
      <w:tr w:rsidR="0091174B" w:rsidRPr="0091174B" w14:paraId="207DE645" w14:textId="77777777" w:rsidTr="00664BAA">
        <w:trPr>
          <w:jc w:val="center"/>
        </w:trPr>
        <w:tc>
          <w:tcPr>
            <w:tcW w:w="1560" w:type="dxa"/>
          </w:tcPr>
          <w:p w14:paraId="2E199C11" w14:textId="77777777" w:rsidR="0091174B" w:rsidRPr="0091174B" w:rsidRDefault="0091174B" w:rsidP="00664BAA">
            <w:pPr>
              <w:spacing w:before="80" w:after="80" w:line="260" w:lineRule="exact"/>
              <w:rPr>
                <w:b/>
                <w:bCs/>
                <w:lang w:val="en-GB" w:bidi="ar-EG"/>
              </w:rPr>
            </w:pPr>
          </w:p>
        </w:tc>
        <w:tc>
          <w:tcPr>
            <w:tcW w:w="3402" w:type="dxa"/>
            <w:tcBorders>
              <w:right w:val="single" w:sz="8" w:space="0" w:color="auto"/>
            </w:tcBorders>
          </w:tcPr>
          <w:p w14:paraId="27850C52" w14:textId="77777777" w:rsidR="0091174B" w:rsidRPr="0091174B" w:rsidRDefault="0091174B" w:rsidP="00664BAA">
            <w:pPr>
              <w:spacing w:before="80" w:after="80" w:line="260" w:lineRule="exact"/>
              <w:rPr>
                <w:lang w:val="en-GB" w:bidi="ar-EG"/>
              </w:rPr>
            </w:pPr>
          </w:p>
        </w:tc>
        <w:tc>
          <w:tcPr>
            <w:tcW w:w="1984" w:type="dxa"/>
            <w:tcBorders>
              <w:left w:val="single" w:sz="8" w:space="0" w:color="auto"/>
            </w:tcBorders>
          </w:tcPr>
          <w:p w14:paraId="36367EF4" w14:textId="77777777" w:rsidR="0091174B" w:rsidRPr="0091174B" w:rsidRDefault="0091174B" w:rsidP="00664BAA">
            <w:pPr>
              <w:spacing w:before="80" w:after="80" w:line="260" w:lineRule="exact"/>
              <w:rPr>
                <w:b/>
                <w:bCs/>
                <w:lang w:val="ar-SA" w:bidi="ar-EG"/>
              </w:rPr>
            </w:pPr>
            <w:r w:rsidRPr="0091174B">
              <w:rPr>
                <w:b/>
                <w:bCs/>
                <w:rtl/>
              </w:rPr>
              <w:t>التاريخ:</w:t>
            </w:r>
          </w:p>
        </w:tc>
        <w:tc>
          <w:tcPr>
            <w:tcW w:w="2693" w:type="dxa"/>
          </w:tcPr>
          <w:p w14:paraId="63B13652" w14:textId="77777777" w:rsidR="0091174B" w:rsidRPr="0091174B" w:rsidRDefault="0091174B" w:rsidP="00664BAA">
            <w:pPr>
              <w:spacing w:before="80" w:after="80" w:line="260" w:lineRule="exact"/>
              <w:rPr>
                <w:lang w:val="ar-SA" w:bidi="ar-EG"/>
              </w:rPr>
            </w:pPr>
            <w:r w:rsidRPr="0091174B">
              <w:rPr>
                <w:highlight w:val="green"/>
                <w:rtl/>
              </w:rPr>
              <w:t>[المكان،] [التاريخ]</w:t>
            </w:r>
          </w:p>
        </w:tc>
      </w:tr>
    </w:tbl>
    <w:p w14:paraId="18F7AFEC" w14:textId="77777777" w:rsidR="0091174B" w:rsidRPr="0091174B" w:rsidRDefault="0091174B" w:rsidP="00664BAA">
      <w:pPr>
        <w:spacing w:before="600"/>
        <w:rPr>
          <w:lang w:val="ar-SA" w:bidi="ar-EG"/>
        </w:rPr>
      </w:pPr>
      <w:r w:rsidRPr="0091174B">
        <w:rPr>
          <w:rtl/>
        </w:rPr>
        <w:t>حضرات السادة والسيدات،</w:t>
      </w:r>
    </w:p>
    <w:p w14:paraId="7124B5D1" w14:textId="77777777" w:rsidR="0091174B" w:rsidRPr="0091174B" w:rsidRDefault="0091174B" w:rsidP="0091174B">
      <w:pPr>
        <w:rPr>
          <w:lang w:val="ar-SA" w:bidi="ar-EG"/>
        </w:rPr>
      </w:pPr>
      <w:r w:rsidRPr="0091174B">
        <w:rPr>
          <w:rtl/>
        </w:rPr>
        <w:t>تحية طيبة وبعد، فيما يتعلق بمشاورة الدول الأعضاء بشأن مشاريع النصوص المحددة المدرجة في الرسالة المعممة 106 من مكتب تقييس الاتصالات، أود أن أحيطكم علماً برأي هذه الإدارة الوارد في الجدول أدناه.</w:t>
      </w:r>
    </w:p>
    <w:tbl>
      <w:tblPr>
        <w:bidiVisual/>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652"/>
      </w:tblGrid>
      <w:tr w:rsidR="0091174B" w:rsidRPr="0091174B" w14:paraId="13C1202E" w14:textId="77777777" w:rsidTr="000926DB">
        <w:trPr>
          <w:tblHeader/>
        </w:trPr>
        <w:tc>
          <w:tcPr>
            <w:tcW w:w="2067" w:type="dxa"/>
            <w:vAlign w:val="center"/>
          </w:tcPr>
          <w:p w14:paraId="285FFEE6" w14:textId="77777777" w:rsidR="0091174B" w:rsidRPr="0091174B" w:rsidRDefault="0091174B" w:rsidP="000926DB">
            <w:pPr>
              <w:jc w:val="left"/>
              <w:rPr>
                <w:b/>
                <w:bCs/>
                <w:lang w:bidi="ar-EG"/>
              </w:rPr>
            </w:pPr>
          </w:p>
        </w:tc>
        <w:tc>
          <w:tcPr>
            <w:tcW w:w="7652" w:type="dxa"/>
            <w:vAlign w:val="center"/>
          </w:tcPr>
          <w:p w14:paraId="05C28DA8" w14:textId="77777777" w:rsidR="0091174B" w:rsidRPr="0091174B" w:rsidRDefault="0091174B" w:rsidP="000926DB">
            <w:pPr>
              <w:jc w:val="center"/>
              <w:rPr>
                <w:b/>
                <w:bCs/>
                <w:lang w:val="ar-SA" w:bidi="ar-EG"/>
              </w:rPr>
            </w:pPr>
            <w:r w:rsidRPr="0091174B">
              <w:rPr>
                <w:b/>
                <w:bCs/>
                <w:rtl/>
              </w:rPr>
              <w:t>حدد أحد المربعين</w:t>
            </w:r>
          </w:p>
        </w:tc>
      </w:tr>
      <w:tr w:rsidR="0091174B" w:rsidRPr="0091174B" w14:paraId="565220CF" w14:textId="77777777" w:rsidTr="000926DB">
        <w:trPr>
          <w:trHeight w:val="748"/>
        </w:trPr>
        <w:tc>
          <w:tcPr>
            <w:tcW w:w="2067" w:type="dxa"/>
            <w:vMerge w:val="restart"/>
            <w:vAlign w:val="center"/>
          </w:tcPr>
          <w:p w14:paraId="72FC3663" w14:textId="5A998C78" w:rsidR="0091174B" w:rsidRPr="0091174B" w:rsidRDefault="0091174B" w:rsidP="000926DB">
            <w:pPr>
              <w:jc w:val="left"/>
              <w:rPr>
                <w:b/>
                <w:bCs/>
                <w:lang w:val="ar-SA" w:bidi="ar-EG"/>
              </w:rPr>
            </w:pPr>
            <w:r w:rsidRPr="0091174B">
              <w:rPr>
                <w:b/>
                <w:bCs/>
                <w:rtl/>
              </w:rPr>
              <w:t>مشروع التوصية الجديدة</w:t>
            </w:r>
            <w:r w:rsidR="000926DB">
              <w:rPr>
                <w:b/>
                <w:bCs/>
              </w:rPr>
              <w:br/>
            </w:r>
            <w:r w:rsidRPr="0091174B">
              <w:rPr>
                <w:b/>
                <w:bCs/>
                <w:rtl/>
              </w:rPr>
              <w:t>ITU-T Y.4241</w:t>
            </w:r>
            <w:r w:rsidR="000926DB">
              <w:rPr>
                <w:b/>
                <w:bCs/>
              </w:rPr>
              <w:br/>
            </w:r>
            <w:r w:rsidRPr="0091174B">
              <w:rPr>
                <w:b/>
                <w:bCs/>
                <w:rtl/>
              </w:rPr>
              <w:t>(Y.dt-SComCam سابقاً</w:t>
            </w:r>
            <w:r w:rsidR="000926DB">
              <w:rPr>
                <w:b/>
                <w:bCs/>
                <w:lang w:val="en-GB" w:bidi="ar-EG"/>
              </w:rPr>
              <w:t>(</w:t>
            </w:r>
          </w:p>
        </w:tc>
        <w:tc>
          <w:tcPr>
            <w:tcW w:w="7652" w:type="dxa"/>
            <w:vAlign w:val="center"/>
          </w:tcPr>
          <w:p w14:paraId="50BF5E36" w14:textId="24462BBB" w:rsidR="0091174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bookmarkStart w:id="0" w:name="Check1"/>
            <w:r>
              <w:rPr>
                <w:rFonts w:cs="Calibri"/>
              </w:rPr>
              <w:instrText xml:space="preserve"> FORMCHECKBOX </w:instrText>
            </w:r>
            <w:r>
              <w:rPr>
                <w:rFonts w:cs="Calibri"/>
              </w:rPr>
            </w:r>
            <w:r>
              <w:rPr>
                <w:rFonts w:cs="Calibri"/>
              </w:rPr>
              <w:fldChar w:fldCharType="separate"/>
            </w:r>
            <w:r>
              <w:rPr>
                <w:rFonts w:cs="Calibri"/>
              </w:rPr>
              <w:fldChar w:fldCharType="end"/>
            </w:r>
            <w:bookmarkEnd w:id="0"/>
            <w:r w:rsidR="0091174B" w:rsidRPr="0091174B">
              <w:rPr>
                <w:rtl/>
              </w:rPr>
              <w:tab/>
              <w:t>تفوض لجنة الدراسات 20 سلطة النظر في هذا النص بغرض الموافقة عليه (وفي هذه الحالة، تحديد أحد الخيارين</w:t>
            </w:r>
            <w:r>
              <w:rPr>
                <w:rFonts w:cs="Calibri" w:hint="cs"/>
                <w:rtl/>
              </w:rPr>
              <w:t xml:space="preserve"> </w:t>
            </w:r>
            <w:r w:rsidRPr="001F4132">
              <w:rPr>
                <w:rFonts w:cs="Calibri"/>
              </w:rPr>
              <w:t>⃝</w:t>
            </w:r>
            <w:r>
              <w:rPr>
                <w:rFonts w:cs="Calibri" w:hint="cs"/>
                <w:rtl/>
                <w:lang w:bidi="ar-EG"/>
              </w:rPr>
              <w:t xml:space="preserve">     ):</w:t>
            </w:r>
          </w:p>
          <w:p w14:paraId="588E2D56" w14:textId="2F167CF2" w:rsidR="0091174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0091174B" w:rsidRPr="0091174B">
              <w:rPr>
                <w:rtl/>
              </w:rPr>
              <w:tab/>
              <w:t>لا توجد تعليقات أو تغييرات مقترحة</w:t>
            </w:r>
          </w:p>
          <w:p w14:paraId="616E0F69" w14:textId="15047C5B" w:rsidR="0091174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0091174B" w:rsidRPr="0091174B">
              <w:rPr>
                <w:rtl/>
              </w:rPr>
              <w:tab/>
              <w:t>التعليقات والتغييرات المقترحة مرفَقة</w:t>
            </w:r>
          </w:p>
        </w:tc>
      </w:tr>
      <w:tr w:rsidR="0091174B" w:rsidRPr="0091174B" w14:paraId="6D4BE900" w14:textId="77777777" w:rsidTr="000926DB">
        <w:trPr>
          <w:trHeight w:val="747"/>
        </w:trPr>
        <w:tc>
          <w:tcPr>
            <w:tcW w:w="2067" w:type="dxa"/>
            <w:vMerge/>
            <w:vAlign w:val="center"/>
          </w:tcPr>
          <w:p w14:paraId="27C19418" w14:textId="77777777" w:rsidR="0091174B" w:rsidRPr="0091174B" w:rsidRDefault="0091174B" w:rsidP="000926DB">
            <w:pPr>
              <w:jc w:val="left"/>
              <w:rPr>
                <w:b/>
                <w:bCs/>
                <w:lang w:bidi="ar-EG"/>
              </w:rPr>
            </w:pPr>
          </w:p>
        </w:tc>
        <w:tc>
          <w:tcPr>
            <w:tcW w:w="7652" w:type="dxa"/>
            <w:vAlign w:val="center"/>
          </w:tcPr>
          <w:p w14:paraId="485B2FF7" w14:textId="5DFD1CEF" w:rsidR="0091174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0091174B"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5984CED2" w14:textId="77777777" w:rsidTr="000926DB">
        <w:trPr>
          <w:trHeight w:val="748"/>
        </w:trPr>
        <w:tc>
          <w:tcPr>
            <w:tcW w:w="2067" w:type="dxa"/>
            <w:vMerge w:val="restart"/>
            <w:vAlign w:val="center"/>
          </w:tcPr>
          <w:p w14:paraId="14368FC7" w14:textId="78FA3D35" w:rsidR="000926DB" w:rsidRPr="0091174B" w:rsidRDefault="000926DB" w:rsidP="008B5D4E">
            <w:pPr>
              <w:jc w:val="left"/>
              <w:rPr>
                <w:b/>
                <w:bCs/>
                <w:lang w:val="ar-SA" w:bidi="ar-EG"/>
              </w:rPr>
            </w:pPr>
            <w:r w:rsidRPr="0091174B">
              <w:rPr>
                <w:b/>
                <w:bCs/>
                <w:rtl/>
              </w:rPr>
              <w:t>مشروع التوصية الجديدة</w:t>
            </w:r>
            <w:r>
              <w:rPr>
                <w:b/>
                <w:bCs/>
              </w:rPr>
              <w:br/>
            </w:r>
            <w:r w:rsidRPr="0091174B">
              <w:rPr>
                <w:b/>
                <w:bCs/>
                <w:rtl/>
              </w:rPr>
              <w:t>ITU-T Y.4242</w:t>
            </w:r>
            <w:r>
              <w:rPr>
                <w:b/>
                <w:bCs/>
              </w:rPr>
              <w:br/>
            </w:r>
            <w:r w:rsidRPr="0091174B">
              <w:rPr>
                <w:b/>
                <w:bCs/>
                <w:rtl/>
              </w:rPr>
              <w:t>(</w:t>
            </w:r>
            <w:proofErr w:type="spellStart"/>
            <w:r w:rsidR="008B5D4E" w:rsidRPr="008B5D4E">
              <w:rPr>
                <w:b/>
                <w:bCs/>
                <w:lang w:val="en-GB"/>
              </w:rPr>
              <w:t>Y.energy</w:t>
            </w:r>
            <w:proofErr w:type="spellEnd"/>
            <w:r w:rsidR="008B5D4E" w:rsidRPr="008B5D4E">
              <w:rPr>
                <w:b/>
                <w:bCs/>
                <w:lang w:val="en-GB"/>
              </w:rPr>
              <w:t>-storage</w:t>
            </w:r>
            <w:r w:rsidR="008B5D4E">
              <w:rPr>
                <w:rFonts w:hint="cs"/>
                <w:b/>
                <w:bCs/>
                <w:rtl/>
              </w:rPr>
              <w:t xml:space="preserve"> </w:t>
            </w:r>
            <w:r w:rsidRPr="0091174B">
              <w:rPr>
                <w:b/>
                <w:bCs/>
                <w:rtl/>
              </w:rPr>
              <w:t>سابقاً</w:t>
            </w:r>
            <w:r>
              <w:rPr>
                <w:b/>
                <w:bCs/>
                <w:lang w:val="en-GB" w:bidi="ar-EG"/>
              </w:rPr>
              <w:t>(</w:t>
            </w:r>
          </w:p>
        </w:tc>
        <w:tc>
          <w:tcPr>
            <w:tcW w:w="7652" w:type="dxa"/>
            <w:vAlign w:val="center"/>
          </w:tcPr>
          <w:p w14:paraId="2F67BA93" w14:textId="2B21A164"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396D6322"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452FE584" w14:textId="3480DF00"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6CF856D1" w14:textId="77777777" w:rsidTr="000926DB">
        <w:trPr>
          <w:trHeight w:val="747"/>
        </w:trPr>
        <w:tc>
          <w:tcPr>
            <w:tcW w:w="2067" w:type="dxa"/>
            <w:vMerge/>
            <w:vAlign w:val="center"/>
          </w:tcPr>
          <w:p w14:paraId="56FF2E45" w14:textId="77777777" w:rsidR="000926DB" w:rsidRPr="0091174B" w:rsidRDefault="000926DB" w:rsidP="000926DB">
            <w:pPr>
              <w:jc w:val="left"/>
              <w:rPr>
                <w:b/>
                <w:bCs/>
                <w:lang w:bidi="ar-EG"/>
              </w:rPr>
            </w:pPr>
          </w:p>
        </w:tc>
        <w:tc>
          <w:tcPr>
            <w:tcW w:w="7652" w:type="dxa"/>
            <w:vAlign w:val="center"/>
          </w:tcPr>
          <w:p w14:paraId="169F010F" w14:textId="165B9038"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255EAB37" w14:textId="77777777" w:rsidTr="000926DB">
        <w:trPr>
          <w:trHeight w:val="748"/>
        </w:trPr>
        <w:tc>
          <w:tcPr>
            <w:tcW w:w="2067" w:type="dxa"/>
            <w:vMerge w:val="restart"/>
            <w:vAlign w:val="center"/>
          </w:tcPr>
          <w:p w14:paraId="0E277CE0" w14:textId="330B1A02" w:rsidR="000926DB" w:rsidRPr="0091174B" w:rsidRDefault="000926DB" w:rsidP="000926DB">
            <w:pPr>
              <w:keepNext/>
              <w:jc w:val="left"/>
              <w:rPr>
                <w:b/>
                <w:bCs/>
                <w:lang w:val="ar-SA" w:bidi="ar-EG"/>
              </w:rPr>
            </w:pPr>
            <w:r w:rsidRPr="0091174B">
              <w:rPr>
                <w:b/>
                <w:bCs/>
                <w:rtl/>
              </w:rPr>
              <w:lastRenderedPageBreak/>
              <w:t xml:space="preserve">مشروع التوصية الجديدة </w:t>
            </w:r>
            <w:r>
              <w:rPr>
                <w:b/>
                <w:bCs/>
              </w:rPr>
              <w:br/>
            </w:r>
            <w:r w:rsidRPr="0091174B">
              <w:rPr>
                <w:b/>
                <w:bCs/>
                <w:rtl/>
              </w:rPr>
              <w:t>ITU-T Y.4243</w:t>
            </w:r>
            <w:r>
              <w:rPr>
                <w:b/>
                <w:bCs/>
              </w:rPr>
              <w:br/>
            </w:r>
            <w:r w:rsidRPr="0091174B">
              <w:rPr>
                <w:b/>
                <w:bCs/>
                <w:rtl/>
              </w:rPr>
              <w:t>(Y.IoT-smartschool سابقاً</w:t>
            </w:r>
            <w:r>
              <w:rPr>
                <w:b/>
                <w:bCs/>
                <w:lang w:val="en-GB" w:bidi="ar-EG"/>
              </w:rPr>
              <w:t>(</w:t>
            </w:r>
          </w:p>
        </w:tc>
        <w:tc>
          <w:tcPr>
            <w:tcW w:w="7652" w:type="dxa"/>
            <w:vAlign w:val="center"/>
          </w:tcPr>
          <w:p w14:paraId="128C5440" w14:textId="66B25216" w:rsidR="000926DB" w:rsidRPr="0091174B" w:rsidRDefault="000926DB" w:rsidP="000926DB">
            <w:pPr>
              <w:keepNext/>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2C88C955" w14:textId="77777777" w:rsidR="000926DB" w:rsidRPr="0091174B" w:rsidRDefault="000926DB" w:rsidP="000926DB">
            <w:pPr>
              <w:keepNext/>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69B023EA" w14:textId="16A0908E" w:rsidR="000926DB" w:rsidRPr="0091174B" w:rsidRDefault="000926DB" w:rsidP="000926DB">
            <w:pPr>
              <w:keepNext/>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2D961630" w14:textId="77777777" w:rsidTr="000926DB">
        <w:trPr>
          <w:trHeight w:val="747"/>
        </w:trPr>
        <w:tc>
          <w:tcPr>
            <w:tcW w:w="2067" w:type="dxa"/>
            <w:vMerge/>
            <w:vAlign w:val="center"/>
          </w:tcPr>
          <w:p w14:paraId="3BDB2357" w14:textId="77777777" w:rsidR="000926DB" w:rsidRPr="0091174B" w:rsidRDefault="000926DB" w:rsidP="000926DB">
            <w:pPr>
              <w:jc w:val="left"/>
              <w:rPr>
                <w:b/>
                <w:bCs/>
                <w:lang w:bidi="ar-EG"/>
              </w:rPr>
            </w:pPr>
          </w:p>
        </w:tc>
        <w:tc>
          <w:tcPr>
            <w:tcW w:w="7652" w:type="dxa"/>
            <w:vAlign w:val="center"/>
          </w:tcPr>
          <w:p w14:paraId="60E78995" w14:textId="443206A2"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26314485" w14:textId="77777777" w:rsidTr="000926DB">
        <w:trPr>
          <w:trHeight w:val="748"/>
        </w:trPr>
        <w:tc>
          <w:tcPr>
            <w:tcW w:w="2067" w:type="dxa"/>
            <w:vMerge w:val="restart"/>
            <w:vAlign w:val="center"/>
          </w:tcPr>
          <w:p w14:paraId="71DDE8FB" w14:textId="364155C0" w:rsidR="000926DB" w:rsidRPr="0091174B" w:rsidRDefault="000926DB" w:rsidP="000926DB">
            <w:pPr>
              <w:jc w:val="left"/>
              <w:rPr>
                <w:b/>
                <w:bCs/>
                <w:lang w:val="ar-SA" w:bidi="ar-EG"/>
              </w:rPr>
            </w:pPr>
            <w:r w:rsidRPr="0091174B">
              <w:rPr>
                <w:b/>
                <w:bCs/>
                <w:rtl/>
              </w:rPr>
              <w:t>مشروع مراجعة التوصية</w:t>
            </w:r>
            <w:r>
              <w:rPr>
                <w:b/>
                <w:bCs/>
              </w:rPr>
              <w:br/>
            </w:r>
            <w:r w:rsidRPr="0091174B">
              <w:rPr>
                <w:b/>
                <w:bCs/>
                <w:rtl/>
              </w:rPr>
              <w:t>ITU-T Y.4420</w:t>
            </w:r>
          </w:p>
        </w:tc>
        <w:tc>
          <w:tcPr>
            <w:tcW w:w="7652" w:type="dxa"/>
            <w:vAlign w:val="center"/>
          </w:tcPr>
          <w:p w14:paraId="579C9D28" w14:textId="4C314EC2"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2E45EAE3"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72CFBA76" w14:textId="4B50DAC2"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0FCC642C" w14:textId="77777777" w:rsidTr="000926DB">
        <w:trPr>
          <w:trHeight w:val="747"/>
        </w:trPr>
        <w:tc>
          <w:tcPr>
            <w:tcW w:w="2067" w:type="dxa"/>
            <w:vMerge/>
            <w:vAlign w:val="center"/>
          </w:tcPr>
          <w:p w14:paraId="4B1E5B56" w14:textId="77777777" w:rsidR="000926DB" w:rsidRPr="0091174B" w:rsidRDefault="000926DB" w:rsidP="000926DB">
            <w:pPr>
              <w:jc w:val="left"/>
              <w:rPr>
                <w:b/>
                <w:bCs/>
                <w:lang w:bidi="ar-EG"/>
              </w:rPr>
            </w:pPr>
          </w:p>
        </w:tc>
        <w:tc>
          <w:tcPr>
            <w:tcW w:w="7652" w:type="dxa"/>
            <w:vAlign w:val="center"/>
          </w:tcPr>
          <w:p w14:paraId="66A2D4D9" w14:textId="2DC5A435"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7AEED871" w14:textId="77777777" w:rsidTr="000926DB">
        <w:trPr>
          <w:trHeight w:val="748"/>
        </w:trPr>
        <w:tc>
          <w:tcPr>
            <w:tcW w:w="2067" w:type="dxa"/>
            <w:vMerge w:val="restart"/>
            <w:vAlign w:val="center"/>
          </w:tcPr>
          <w:p w14:paraId="2F2BAF92" w14:textId="4BF18D07" w:rsidR="000926DB" w:rsidRPr="0091174B" w:rsidRDefault="000926DB" w:rsidP="000926DB">
            <w:pPr>
              <w:jc w:val="left"/>
              <w:rPr>
                <w:b/>
                <w:bCs/>
                <w:lang w:val="ar-SA" w:bidi="ar-EG"/>
              </w:rPr>
            </w:pPr>
            <w:r w:rsidRPr="0091174B">
              <w:rPr>
                <w:b/>
                <w:bCs/>
                <w:rtl/>
              </w:rPr>
              <w:t>مشروع التوصية الجديدة</w:t>
            </w:r>
            <w:r>
              <w:rPr>
                <w:b/>
                <w:bCs/>
              </w:rPr>
              <w:br/>
            </w:r>
            <w:r w:rsidRPr="0091174B">
              <w:rPr>
                <w:b/>
                <w:bCs/>
                <w:rtl/>
              </w:rPr>
              <w:t>ITU-T Y.4614</w:t>
            </w:r>
            <w:r>
              <w:rPr>
                <w:b/>
                <w:bCs/>
              </w:rPr>
              <w:br/>
            </w:r>
            <w:r w:rsidRPr="0091174B">
              <w:rPr>
                <w:b/>
                <w:bCs/>
                <w:rtl/>
              </w:rPr>
              <w:t>(Y.CL-EDM سابقاً</w:t>
            </w:r>
            <w:r>
              <w:rPr>
                <w:b/>
                <w:bCs/>
                <w:lang w:val="en-GB" w:bidi="ar-EG"/>
              </w:rPr>
              <w:t>(</w:t>
            </w:r>
          </w:p>
        </w:tc>
        <w:tc>
          <w:tcPr>
            <w:tcW w:w="7652" w:type="dxa"/>
            <w:vAlign w:val="center"/>
          </w:tcPr>
          <w:p w14:paraId="33D37B59" w14:textId="1D2974CA"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532FCFE3"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11F4E481" w14:textId="6C470709"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5D35F67F" w14:textId="77777777" w:rsidTr="000926DB">
        <w:trPr>
          <w:trHeight w:val="747"/>
        </w:trPr>
        <w:tc>
          <w:tcPr>
            <w:tcW w:w="2067" w:type="dxa"/>
            <w:vMerge/>
            <w:vAlign w:val="center"/>
          </w:tcPr>
          <w:p w14:paraId="37F24E01" w14:textId="77777777" w:rsidR="000926DB" w:rsidRPr="0091174B" w:rsidRDefault="000926DB" w:rsidP="000926DB">
            <w:pPr>
              <w:jc w:val="left"/>
              <w:rPr>
                <w:b/>
                <w:bCs/>
                <w:lang w:bidi="ar-EG"/>
              </w:rPr>
            </w:pPr>
          </w:p>
        </w:tc>
        <w:tc>
          <w:tcPr>
            <w:tcW w:w="7652" w:type="dxa"/>
            <w:vAlign w:val="center"/>
          </w:tcPr>
          <w:p w14:paraId="65A74604" w14:textId="3CEB0E2C"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6EB691F5" w14:textId="77777777" w:rsidTr="000926DB">
        <w:trPr>
          <w:trHeight w:val="748"/>
        </w:trPr>
        <w:tc>
          <w:tcPr>
            <w:tcW w:w="2067" w:type="dxa"/>
            <w:vMerge w:val="restart"/>
            <w:vAlign w:val="center"/>
          </w:tcPr>
          <w:p w14:paraId="7A3E4751" w14:textId="15FBBBBD" w:rsidR="000926DB" w:rsidRPr="0091174B" w:rsidRDefault="000926DB" w:rsidP="000926DB">
            <w:pPr>
              <w:jc w:val="left"/>
              <w:rPr>
                <w:b/>
                <w:bCs/>
                <w:lang w:val="ar-SA" w:bidi="ar-EG"/>
              </w:rPr>
            </w:pPr>
            <w:r w:rsidRPr="0091174B">
              <w:rPr>
                <w:b/>
                <w:bCs/>
                <w:rtl/>
              </w:rPr>
              <w:t>مشروع التوصية الجديدة</w:t>
            </w:r>
            <w:r>
              <w:rPr>
                <w:b/>
                <w:bCs/>
              </w:rPr>
              <w:br/>
            </w:r>
            <w:r w:rsidRPr="0091174B">
              <w:rPr>
                <w:b/>
                <w:bCs/>
                <w:rtl/>
              </w:rPr>
              <w:t>ITU-T Y.4815 (Y.uas-dc-fr سابقاً</w:t>
            </w:r>
            <w:r>
              <w:rPr>
                <w:b/>
                <w:bCs/>
                <w:lang w:val="en-GB" w:bidi="ar-EG"/>
              </w:rPr>
              <w:t>(</w:t>
            </w:r>
          </w:p>
        </w:tc>
        <w:tc>
          <w:tcPr>
            <w:tcW w:w="7652" w:type="dxa"/>
            <w:vAlign w:val="center"/>
          </w:tcPr>
          <w:p w14:paraId="2D387F3D" w14:textId="6AE60642"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6B7617B5"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11A47F5B" w14:textId="2C785EB6"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59C9C574" w14:textId="77777777" w:rsidTr="000926DB">
        <w:trPr>
          <w:trHeight w:val="747"/>
        </w:trPr>
        <w:tc>
          <w:tcPr>
            <w:tcW w:w="2067" w:type="dxa"/>
            <w:vMerge/>
            <w:vAlign w:val="center"/>
          </w:tcPr>
          <w:p w14:paraId="6D0A6447" w14:textId="77777777" w:rsidR="000926DB" w:rsidRPr="0091174B" w:rsidRDefault="000926DB" w:rsidP="000926DB">
            <w:pPr>
              <w:jc w:val="left"/>
              <w:rPr>
                <w:b/>
                <w:bCs/>
                <w:lang w:bidi="ar-EG"/>
              </w:rPr>
            </w:pPr>
          </w:p>
        </w:tc>
        <w:tc>
          <w:tcPr>
            <w:tcW w:w="7652" w:type="dxa"/>
            <w:vAlign w:val="center"/>
          </w:tcPr>
          <w:p w14:paraId="42B5F6CC" w14:textId="5352C733"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2BACB096" w14:textId="77777777" w:rsidTr="000926DB">
        <w:trPr>
          <w:trHeight w:val="748"/>
        </w:trPr>
        <w:tc>
          <w:tcPr>
            <w:tcW w:w="2067" w:type="dxa"/>
            <w:vMerge w:val="restart"/>
            <w:vAlign w:val="center"/>
          </w:tcPr>
          <w:p w14:paraId="2CA8C8B6" w14:textId="1B6942D5" w:rsidR="000926DB" w:rsidRPr="0091174B" w:rsidRDefault="000926DB" w:rsidP="000926DB">
            <w:pPr>
              <w:jc w:val="left"/>
              <w:rPr>
                <w:b/>
                <w:bCs/>
                <w:lang w:val="ar-SA" w:bidi="ar-EG"/>
              </w:rPr>
            </w:pPr>
            <w:r w:rsidRPr="0091174B">
              <w:rPr>
                <w:b/>
                <w:bCs/>
                <w:rtl/>
              </w:rPr>
              <w:t xml:space="preserve">مشروع التوصية الجديدة </w:t>
            </w:r>
            <w:r>
              <w:rPr>
                <w:b/>
                <w:bCs/>
              </w:rPr>
              <w:br/>
            </w:r>
            <w:r w:rsidRPr="0091174B">
              <w:rPr>
                <w:b/>
                <w:bCs/>
                <w:rtl/>
              </w:rPr>
              <w:t>ITU-T Y.4816 (Y.bsis-sec سابقاً</w:t>
            </w:r>
            <w:r>
              <w:rPr>
                <w:b/>
                <w:bCs/>
                <w:lang w:val="en-GB" w:bidi="ar-EG"/>
              </w:rPr>
              <w:t>(</w:t>
            </w:r>
          </w:p>
        </w:tc>
        <w:tc>
          <w:tcPr>
            <w:tcW w:w="7652" w:type="dxa"/>
            <w:vAlign w:val="center"/>
          </w:tcPr>
          <w:p w14:paraId="1B532A77" w14:textId="11625630"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6090D2DF"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108078F3" w14:textId="2EF6A555"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150CF262" w14:textId="77777777" w:rsidTr="000926DB">
        <w:trPr>
          <w:trHeight w:val="747"/>
        </w:trPr>
        <w:tc>
          <w:tcPr>
            <w:tcW w:w="2067" w:type="dxa"/>
            <w:vMerge/>
            <w:vAlign w:val="center"/>
          </w:tcPr>
          <w:p w14:paraId="1AFF27B6" w14:textId="77777777" w:rsidR="000926DB" w:rsidRPr="0091174B" w:rsidRDefault="000926DB" w:rsidP="000926DB">
            <w:pPr>
              <w:jc w:val="left"/>
              <w:rPr>
                <w:b/>
                <w:bCs/>
                <w:lang w:bidi="ar-EG"/>
              </w:rPr>
            </w:pPr>
          </w:p>
        </w:tc>
        <w:tc>
          <w:tcPr>
            <w:tcW w:w="7652" w:type="dxa"/>
            <w:vAlign w:val="center"/>
          </w:tcPr>
          <w:p w14:paraId="49A333F4" w14:textId="4E0BBF3C"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1D12FAC1" w14:textId="77777777" w:rsidTr="000926DB">
        <w:trPr>
          <w:trHeight w:val="748"/>
        </w:trPr>
        <w:tc>
          <w:tcPr>
            <w:tcW w:w="2067" w:type="dxa"/>
            <w:vMerge w:val="restart"/>
            <w:vAlign w:val="center"/>
          </w:tcPr>
          <w:p w14:paraId="2CBB4BCE" w14:textId="0573A869" w:rsidR="000926DB" w:rsidRPr="0091174B" w:rsidRDefault="000926DB" w:rsidP="000926DB">
            <w:pPr>
              <w:keepNext/>
              <w:jc w:val="left"/>
              <w:rPr>
                <w:b/>
                <w:bCs/>
                <w:lang w:val="ar-SA" w:bidi="ar-EG"/>
              </w:rPr>
            </w:pPr>
            <w:r w:rsidRPr="0091174B">
              <w:rPr>
                <w:b/>
                <w:bCs/>
                <w:rtl/>
              </w:rPr>
              <w:lastRenderedPageBreak/>
              <w:t>مشروع التوصية الجديدة</w:t>
            </w:r>
            <w:r>
              <w:rPr>
                <w:b/>
                <w:bCs/>
              </w:rPr>
              <w:br/>
            </w:r>
            <w:r w:rsidRPr="0091174B">
              <w:rPr>
                <w:b/>
                <w:bCs/>
                <w:rtl/>
              </w:rPr>
              <w:t xml:space="preserve">ITU-T Y.4912 </w:t>
            </w:r>
            <w:r>
              <w:rPr>
                <w:b/>
                <w:bCs/>
              </w:rPr>
              <w:br/>
            </w:r>
            <w:r w:rsidRPr="0091174B">
              <w:rPr>
                <w:b/>
                <w:bCs/>
                <w:rtl/>
              </w:rPr>
              <w:t>(Y.SNPG-ref سابقاً</w:t>
            </w:r>
            <w:r>
              <w:rPr>
                <w:b/>
                <w:bCs/>
                <w:lang w:val="en-GB" w:bidi="ar-EG"/>
              </w:rPr>
              <w:t>(</w:t>
            </w:r>
          </w:p>
        </w:tc>
        <w:tc>
          <w:tcPr>
            <w:tcW w:w="7652" w:type="dxa"/>
            <w:vAlign w:val="center"/>
          </w:tcPr>
          <w:p w14:paraId="4B8FEBD9" w14:textId="50344E53"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6B57B55A"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4978098B" w14:textId="1ED52F84"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140C305B" w14:textId="77777777" w:rsidTr="000926DB">
        <w:trPr>
          <w:trHeight w:val="747"/>
        </w:trPr>
        <w:tc>
          <w:tcPr>
            <w:tcW w:w="2067" w:type="dxa"/>
            <w:vMerge/>
            <w:vAlign w:val="center"/>
          </w:tcPr>
          <w:p w14:paraId="7C2A8F1B" w14:textId="77777777" w:rsidR="000926DB" w:rsidRPr="0091174B" w:rsidRDefault="000926DB" w:rsidP="000926DB">
            <w:pPr>
              <w:jc w:val="left"/>
              <w:rPr>
                <w:b/>
                <w:bCs/>
                <w:lang w:bidi="ar-EG"/>
              </w:rPr>
            </w:pPr>
          </w:p>
        </w:tc>
        <w:tc>
          <w:tcPr>
            <w:tcW w:w="7652" w:type="dxa"/>
            <w:vAlign w:val="center"/>
          </w:tcPr>
          <w:p w14:paraId="07C10C94" w14:textId="71C26952"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23193B93" w14:textId="77777777" w:rsidTr="000926DB">
        <w:trPr>
          <w:trHeight w:val="748"/>
        </w:trPr>
        <w:tc>
          <w:tcPr>
            <w:tcW w:w="2067" w:type="dxa"/>
            <w:vMerge w:val="restart"/>
            <w:vAlign w:val="center"/>
          </w:tcPr>
          <w:p w14:paraId="32A7DB71" w14:textId="2DC408F4" w:rsidR="000926DB" w:rsidRPr="0091174B" w:rsidRDefault="000926DB" w:rsidP="000926DB">
            <w:pPr>
              <w:jc w:val="left"/>
              <w:rPr>
                <w:b/>
                <w:bCs/>
                <w:lang w:val="ar-SA" w:bidi="ar-EG"/>
              </w:rPr>
            </w:pPr>
            <w:r w:rsidRPr="0091174B">
              <w:rPr>
                <w:b/>
                <w:bCs/>
                <w:rtl/>
              </w:rPr>
              <w:t>مشروع التوصية الجديدة</w:t>
            </w:r>
            <w:r>
              <w:rPr>
                <w:b/>
                <w:bCs/>
              </w:rPr>
              <w:br/>
            </w:r>
            <w:r w:rsidRPr="0091174B">
              <w:rPr>
                <w:b/>
                <w:bCs/>
                <w:rtl/>
              </w:rPr>
              <w:t>ITU-T Y.4512</w:t>
            </w:r>
            <w:r>
              <w:rPr>
                <w:b/>
                <w:bCs/>
              </w:rPr>
              <w:br/>
            </w:r>
            <w:r w:rsidRPr="0091174B">
              <w:rPr>
                <w:b/>
                <w:bCs/>
                <w:rtl/>
              </w:rPr>
              <w:t>(Y.SC-DESMS سابقاً</w:t>
            </w:r>
            <w:r>
              <w:rPr>
                <w:b/>
                <w:bCs/>
                <w:lang w:val="en-GB" w:bidi="ar-EG"/>
              </w:rPr>
              <w:t>(</w:t>
            </w:r>
          </w:p>
        </w:tc>
        <w:tc>
          <w:tcPr>
            <w:tcW w:w="7652" w:type="dxa"/>
            <w:vAlign w:val="center"/>
          </w:tcPr>
          <w:p w14:paraId="3A2772FF" w14:textId="7D3E80AD"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16736BB8"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0DA58CDA" w14:textId="64F82578"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4ED98364" w14:textId="77777777" w:rsidTr="000926DB">
        <w:trPr>
          <w:trHeight w:val="747"/>
        </w:trPr>
        <w:tc>
          <w:tcPr>
            <w:tcW w:w="2067" w:type="dxa"/>
            <w:vMerge/>
            <w:vAlign w:val="center"/>
          </w:tcPr>
          <w:p w14:paraId="1A0F289B" w14:textId="77777777" w:rsidR="000926DB" w:rsidRPr="0091174B" w:rsidRDefault="000926DB" w:rsidP="000926DB">
            <w:pPr>
              <w:jc w:val="left"/>
              <w:rPr>
                <w:b/>
                <w:bCs/>
                <w:lang w:bidi="ar-EG"/>
              </w:rPr>
            </w:pPr>
          </w:p>
        </w:tc>
        <w:tc>
          <w:tcPr>
            <w:tcW w:w="7652" w:type="dxa"/>
            <w:vAlign w:val="center"/>
          </w:tcPr>
          <w:p w14:paraId="5295909C" w14:textId="1EF2380A"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r w:rsidR="000926DB" w:rsidRPr="0091174B" w14:paraId="2890902C" w14:textId="77777777" w:rsidTr="000926DB">
        <w:trPr>
          <w:trHeight w:val="748"/>
        </w:trPr>
        <w:tc>
          <w:tcPr>
            <w:tcW w:w="2067" w:type="dxa"/>
            <w:vMerge w:val="restart"/>
            <w:vAlign w:val="center"/>
          </w:tcPr>
          <w:p w14:paraId="0992818D" w14:textId="377A0240" w:rsidR="000926DB" w:rsidRPr="0091174B" w:rsidRDefault="000926DB" w:rsidP="000926DB">
            <w:pPr>
              <w:jc w:val="left"/>
              <w:rPr>
                <w:b/>
                <w:bCs/>
                <w:lang w:val="ar-SA" w:bidi="ar-EG"/>
              </w:rPr>
            </w:pPr>
            <w:r w:rsidRPr="0091174B">
              <w:rPr>
                <w:b/>
                <w:bCs/>
                <w:rtl/>
              </w:rPr>
              <w:t>مشروع التوصية الجديدة</w:t>
            </w:r>
            <w:r>
              <w:rPr>
                <w:b/>
                <w:bCs/>
              </w:rPr>
              <w:br/>
            </w:r>
            <w:r w:rsidRPr="0091174B">
              <w:rPr>
                <w:b/>
                <w:bCs/>
                <w:rtl/>
              </w:rPr>
              <w:t>ITU-T Y.4244</w:t>
            </w:r>
            <w:r>
              <w:rPr>
                <w:b/>
                <w:bCs/>
              </w:rPr>
              <w:br/>
            </w:r>
            <w:r w:rsidRPr="0091174B">
              <w:rPr>
                <w:b/>
                <w:bCs/>
                <w:rtl/>
              </w:rPr>
              <w:t>(Y.EPWS-fc سابقاً</w:t>
            </w:r>
            <w:r>
              <w:rPr>
                <w:b/>
                <w:bCs/>
                <w:lang w:val="en-GB" w:bidi="ar-EG"/>
              </w:rPr>
              <w:t>(</w:t>
            </w:r>
          </w:p>
        </w:tc>
        <w:tc>
          <w:tcPr>
            <w:tcW w:w="7652" w:type="dxa"/>
            <w:vAlign w:val="center"/>
          </w:tcPr>
          <w:p w14:paraId="65D33897" w14:textId="36C03955" w:rsidR="000926DB" w:rsidRPr="0091174B" w:rsidRDefault="000926DB" w:rsidP="000926DB">
            <w:pPr>
              <w:ind w:left="794" w:hanging="794"/>
              <w:rPr>
                <w:rtl/>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 xml:space="preserve">تفوض لجنة الدراسات 20 سلطة النظر في هذا النص بغرض الموافقة عليه (وفي هذه الحالة، تحديد أحد </w:t>
            </w:r>
            <w:r>
              <w:rPr>
                <w:rtl/>
              </w:rPr>
              <w:t xml:space="preserve">الخيارين </w:t>
            </w:r>
            <w:r w:rsidRPr="001F4132">
              <w:rPr>
                <w:rFonts w:cs="Calibri"/>
              </w:rPr>
              <w:t>⃝</w:t>
            </w:r>
            <w:r>
              <w:rPr>
                <w:rFonts w:cs="Calibri" w:hint="cs"/>
                <w:rtl/>
                <w:lang w:bidi="ar-EG"/>
              </w:rPr>
              <w:t xml:space="preserve">     ):</w:t>
            </w:r>
          </w:p>
          <w:p w14:paraId="732ED6AA" w14:textId="77777777"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لا توجد تعليقات أو تغييرات مقترحة</w:t>
            </w:r>
          </w:p>
          <w:p w14:paraId="6AD92C97" w14:textId="66EE217B" w:rsidR="000926DB" w:rsidRPr="0091174B" w:rsidRDefault="000926DB" w:rsidP="000926DB">
            <w:pPr>
              <w:ind w:left="794"/>
              <w:rPr>
                <w:lang w:val="ar-SA" w:bidi="ar-EG"/>
              </w:rPr>
            </w:pPr>
            <w:r w:rsidRPr="001F4132">
              <w:rPr>
                <w:rFonts w:cs="Calibri"/>
              </w:rPr>
              <w:fldChar w:fldCharType="begin">
                <w:ffData>
                  <w:name w:val="Check1"/>
                  <w:enabled/>
                  <w:calcOnExit w:val="0"/>
                  <w:checkBox>
                    <w:sizeAuto/>
                    <w:default w:val="0"/>
                  </w:checkBox>
                </w:ffData>
              </w:fldChar>
            </w:r>
            <w:r w:rsidRPr="001F4132">
              <w:rPr>
                <w:rFonts w:cs="Calibri"/>
              </w:rPr>
              <w:instrText xml:space="preserve"> FORMCHECKBOX </w:instrText>
            </w:r>
            <w:r w:rsidRPr="001F4132">
              <w:rPr>
                <w:rFonts w:cs="Calibri"/>
              </w:rPr>
            </w:r>
            <w:r w:rsidRPr="001F4132">
              <w:rPr>
                <w:rFonts w:cs="Calibri"/>
              </w:rPr>
              <w:fldChar w:fldCharType="separate"/>
            </w:r>
            <w:r w:rsidRPr="001F4132">
              <w:rPr>
                <w:rFonts w:cs="Calibri"/>
              </w:rPr>
              <w:fldChar w:fldCharType="end"/>
            </w:r>
            <w:r w:rsidRPr="0091174B">
              <w:rPr>
                <w:rtl/>
              </w:rPr>
              <w:tab/>
              <w:t>التعليقات والتغييرات المقترحة مرفَقة</w:t>
            </w:r>
          </w:p>
        </w:tc>
      </w:tr>
      <w:tr w:rsidR="000926DB" w:rsidRPr="0091174B" w14:paraId="7A118BE8" w14:textId="77777777" w:rsidTr="000926DB">
        <w:trPr>
          <w:trHeight w:val="747"/>
        </w:trPr>
        <w:tc>
          <w:tcPr>
            <w:tcW w:w="2067" w:type="dxa"/>
            <w:vMerge/>
            <w:vAlign w:val="center"/>
          </w:tcPr>
          <w:p w14:paraId="4CF7B071" w14:textId="77777777" w:rsidR="000926DB" w:rsidRPr="0091174B" w:rsidRDefault="000926DB" w:rsidP="000926DB">
            <w:pPr>
              <w:jc w:val="left"/>
              <w:rPr>
                <w:b/>
                <w:bCs/>
                <w:lang w:bidi="ar-EG"/>
              </w:rPr>
            </w:pPr>
          </w:p>
        </w:tc>
        <w:tc>
          <w:tcPr>
            <w:tcW w:w="7652" w:type="dxa"/>
            <w:vAlign w:val="center"/>
          </w:tcPr>
          <w:p w14:paraId="5538AB54" w14:textId="5A37E3B1" w:rsidR="000926DB" w:rsidRPr="0091174B" w:rsidRDefault="000926DB" w:rsidP="000926DB">
            <w:pPr>
              <w:ind w:left="794" w:hanging="794"/>
              <w:rPr>
                <w:lang w:val="ar-SA" w:bidi="ar-EG"/>
              </w:rPr>
            </w:pPr>
            <w:r>
              <w:rPr>
                <w:rFonts w:cs="Calibri"/>
              </w:rPr>
              <w:fldChar w:fldCharType="begin">
                <w:ffData>
                  <w:name w:val="Check1"/>
                  <w:enabled/>
                  <w:calcOnExit w:val="0"/>
                  <w:checkBox>
                    <w:sizeAuto/>
                    <w:default w:val="0"/>
                  </w:checkBox>
                </w:ffData>
              </w:fldChar>
            </w:r>
            <w:r>
              <w:rPr>
                <w:rFonts w:cs="Calibri"/>
              </w:rPr>
              <w:instrText xml:space="preserve"> FORMCHECKBOX </w:instrText>
            </w:r>
            <w:r>
              <w:rPr>
                <w:rFonts w:cs="Calibri"/>
              </w:rPr>
            </w:r>
            <w:r>
              <w:rPr>
                <w:rFonts w:cs="Calibri"/>
              </w:rPr>
              <w:fldChar w:fldCharType="separate"/>
            </w:r>
            <w:r>
              <w:rPr>
                <w:rFonts w:cs="Calibri"/>
              </w:rPr>
              <w:fldChar w:fldCharType="end"/>
            </w:r>
            <w:r w:rsidRPr="0091174B">
              <w:rPr>
                <w:rtl/>
              </w:rPr>
              <w:tab/>
              <w:t>لا تخول للجنة الدراسات 20 النظر في هذا النص للموافقة عليه (مرفق طيه أسباب هذا الرأي وموجز للتغييرات الممكنة التي من شأنها أن تمكن من إحراز تقدم في العمل)</w:t>
            </w:r>
          </w:p>
        </w:tc>
      </w:tr>
    </w:tbl>
    <w:p w14:paraId="44CEB70D" w14:textId="77777777" w:rsidR="0091174B" w:rsidRPr="0091174B" w:rsidRDefault="0091174B" w:rsidP="000926DB">
      <w:pPr>
        <w:spacing w:before="240"/>
        <w:rPr>
          <w:lang w:val="ar-SA" w:bidi="ar-EG"/>
        </w:rPr>
      </w:pPr>
      <w:r w:rsidRPr="0091174B">
        <w:rPr>
          <w:rtl/>
        </w:rPr>
        <w:t>وتفضلوا بقبول فائق التقدير والاحترام.</w:t>
      </w:r>
    </w:p>
    <w:p w14:paraId="19379D9B" w14:textId="6416C105" w:rsidR="000926DB" w:rsidRDefault="000926DB" w:rsidP="000926DB">
      <w:pPr>
        <w:spacing w:before="360"/>
        <w:rPr>
          <w:highlight w:val="green"/>
          <w:rtl/>
        </w:rPr>
      </w:pPr>
      <w:r>
        <w:rPr>
          <w:rFonts w:hint="cs"/>
          <w:highlight w:val="green"/>
          <w:rtl/>
        </w:rPr>
        <w:t>[الاسم]</w:t>
      </w:r>
    </w:p>
    <w:p w14:paraId="4D5E7A8E" w14:textId="4B410A5E" w:rsidR="0091174B" w:rsidRPr="0091174B" w:rsidRDefault="0091174B" w:rsidP="000926DB">
      <w:pPr>
        <w:rPr>
          <w:highlight w:val="green"/>
          <w:lang w:val="ar-SA" w:bidi="ar-EG"/>
        </w:rPr>
      </w:pPr>
      <w:r w:rsidRPr="0091174B">
        <w:rPr>
          <w:highlight w:val="green"/>
          <w:rtl/>
        </w:rPr>
        <w:t>[الدور/اللقب الرسمي]</w:t>
      </w:r>
    </w:p>
    <w:p w14:paraId="0C4CF269" w14:textId="77777777" w:rsidR="0091174B" w:rsidRPr="0091174B" w:rsidRDefault="0091174B" w:rsidP="0091174B">
      <w:pPr>
        <w:rPr>
          <w:lang w:val="ar-SA" w:bidi="ar-EG"/>
        </w:rPr>
      </w:pPr>
      <w:r w:rsidRPr="0091174B">
        <w:rPr>
          <w:rtl/>
        </w:rPr>
        <w:t xml:space="preserve">إدارة </w:t>
      </w:r>
      <w:r w:rsidRPr="0091174B">
        <w:rPr>
          <w:highlight w:val="green"/>
          <w:rtl/>
        </w:rPr>
        <w:t>[الدولة العضو]</w:t>
      </w:r>
    </w:p>
    <w:p w14:paraId="0F1CA28B" w14:textId="277D5738"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9"/>
      <w:footerReference w:type="first" r:id="rId2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B4D6" w14:textId="77777777" w:rsidR="0091174B" w:rsidRDefault="0091174B" w:rsidP="006C3242">
      <w:pPr>
        <w:spacing w:before="0" w:line="240" w:lineRule="auto"/>
      </w:pPr>
      <w:r>
        <w:separator/>
      </w:r>
    </w:p>
  </w:endnote>
  <w:endnote w:type="continuationSeparator" w:id="0">
    <w:p w14:paraId="7F150143" w14:textId="77777777" w:rsidR="0091174B" w:rsidRDefault="0091174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08D0"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8065" w14:textId="77777777" w:rsidR="0091174B" w:rsidRDefault="0091174B" w:rsidP="006C3242">
      <w:pPr>
        <w:spacing w:before="0" w:line="240" w:lineRule="auto"/>
      </w:pPr>
      <w:r>
        <w:separator/>
      </w:r>
    </w:p>
  </w:footnote>
  <w:footnote w:type="continuationSeparator" w:id="0">
    <w:p w14:paraId="1C60E3EC" w14:textId="77777777" w:rsidR="0091174B" w:rsidRDefault="0091174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367D" w14:textId="643C279D" w:rsidR="00447F32" w:rsidRPr="00596808" w:rsidRDefault="00596808" w:rsidP="00B916A7">
    <w:pPr>
      <w:pStyle w:val="Header"/>
      <w:spacing w:after="240" w:line="192" w:lineRule="auto"/>
      <w:jc w:val="center"/>
      <w:rPr>
        <w:rtl/>
      </w:rP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91174B">
      <w:rPr>
        <w:sz w:val="20"/>
        <w:szCs w:val="20"/>
        <w:lang w:bidi="ar-EG"/>
      </w:rPr>
      <w:t>106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8AA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228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9686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96E5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2E61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2C31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B86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48CB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7E5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B22B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4B"/>
    <w:rsid w:val="00002A63"/>
    <w:rsid w:val="0006468A"/>
    <w:rsid w:val="00090574"/>
    <w:rsid w:val="000926DB"/>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D258A"/>
    <w:rsid w:val="006019C6"/>
    <w:rsid w:val="00641093"/>
    <w:rsid w:val="006635B2"/>
    <w:rsid w:val="00664BAA"/>
    <w:rsid w:val="00677396"/>
    <w:rsid w:val="0069200F"/>
    <w:rsid w:val="006A65CB"/>
    <w:rsid w:val="006C1530"/>
    <w:rsid w:val="006C3242"/>
    <w:rsid w:val="006C7CC0"/>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8B5D4E"/>
    <w:rsid w:val="0091174B"/>
    <w:rsid w:val="0091702E"/>
    <w:rsid w:val="00923B0C"/>
    <w:rsid w:val="00926F44"/>
    <w:rsid w:val="0094021C"/>
    <w:rsid w:val="0094432F"/>
    <w:rsid w:val="00952F86"/>
    <w:rsid w:val="00982B28"/>
    <w:rsid w:val="009D313F"/>
    <w:rsid w:val="009F17C2"/>
    <w:rsid w:val="00A47A5A"/>
    <w:rsid w:val="00A6683B"/>
    <w:rsid w:val="00A67585"/>
    <w:rsid w:val="00A77C90"/>
    <w:rsid w:val="00A9156F"/>
    <w:rsid w:val="00A97F94"/>
    <w:rsid w:val="00AA7EA2"/>
    <w:rsid w:val="00AB0BC9"/>
    <w:rsid w:val="00AF6B5C"/>
    <w:rsid w:val="00B03099"/>
    <w:rsid w:val="00B05BC8"/>
    <w:rsid w:val="00B64B47"/>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1E8"/>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7A6FB"/>
  <w15:chartTrackingRefBased/>
  <w15:docId w15:val="{34379044-D20D-4672-AA76-15BF9A08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911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20-R-0015/en" TargetMode="External"/><Relationship Id="rId18" Type="http://schemas.openxmlformats.org/officeDocument/2006/relationships/hyperlink" Target="mailto:tsbdir@itu.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md/T25-SG20-R-0020/en" TargetMode="External"/><Relationship Id="rId2" Type="http://schemas.openxmlformats.org/officeDocument/2006/relationships/numbering" Target="numbering.xml"/><Relationship Id="rId16" Type="http://schemas.openxmlformats.org/officeDocument/2006/relationships/hyperlink" Target="https://www.itu.int/md/T25-SG20-R-0016/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20-COL-0003/en" TargetMode="External"/><Relationship Id="rId5" Type="http://schemas.openxmlformats.org/officeDocument/2006/relationships/webSettings" Target="webSettings.xml"/><Relationship Id="rId15" Type="http://schemas.openxmlformats.org/officeDocument/2006/relationships/hyperlink" Target="http://www.itu.int/ipr/" TargetMode="External"/><Relationship Id="rId10" Type="http://schemas.openxmlformats.org/officeDocument/2006/relationships/hyperlink" Target="https://www.itu.int/dms_pub/itu-t/opb/res/T-RES-T.1-2022-PDF-E.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www.itu.int/ip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21</TotalTime>
  <Pages>9</Pages>
  <Words>3141</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Braud, Olivia</cp:lastModifiedBy>
  <cp:revision>4</cp:revision>
  <cp:lastPrinted>2026-03-27T09:07:00Z</cp:lastPrinted>
  <dcterms:created xsi:type="dcterms:W3CDTF">2026-02-16T17:14:00Z</dcterms:created>
  <dcterms:modified xsi:type="dcterms:W3CDTF">2026-03-27T09:08:00Z</dcterms:modified>
</cp:coreProperties>
</file>