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8" w:type="dxa"/>
        <w:tblLayout w:type="fixed"/>
        <w:tblCellMar>
          <w:left w:w="0" w:type="dxa"/>
          <w:right w:w="0" w:type="dxa"/>
        </w:tblCellMar>
        <w:tblLook w:val="0000" w:firstRow="0" w:lastRow="0" w:firstColumn="0" w:lastColumn="0" w:noHBand="0" w:noVBand="0"/>
      </w:tblPr>
      <w:tblGrid>
        <w:gridCol w:w="993"/>
        <w:gridCol w:w="417"/>
        <w:gridCol w:w="3467"/>
        <w:gridCol w:w="5329"/>
      </w:tblGrid>
      <w:tr w:rsidR="007B6316" w14:paraId="0B5F4CA1" w14:textId="77777777" w:rsidTr="007B6316">
        <w:trPr>
          <w:cantSplit/>
          <w:trHeight w:val="340"/>
        </w:trPr>
        <w:tc>
          <w:tcPr>
            <w:tcW w:w="1410" w:type="dxa"/>
            <w:gridSpan w:val="2"/>
          </w:tcPr>
          <w:p w14:paraId="7954BADD" w14:textId="77777777" w:rsidR="007B6316" w:rsidRDefault="007B6316" w:rsidP="00303D62">
            <w:pPr>
              <w:tabs>
                <w:tab w:val="left" w:pos="4111"/>
              </w:tabs>
              <w:spacing w:before="10"/>
              <w:ind w:left="57"/>
              <w:rPr>
                <w:sz w:val="22"/>
              </w:rPr>
            </w:pPr>
            <w:r w:rsidRPr="00F1238A">
              <w:rPr>
                <w:noProof/>
                <w:lang w:val="en-US" w:eastAsia="zh-CN"/>
              </w:rPr>
              <w:drawing>
                <wp:inline distT="0" distB="0" distL="0" distR="0" wp14:anchorId="5E484020" wp14:editId="14D10383">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6" w:type="dxa"/>
            <w:gridSpan w:val="2"/>
            <w:vAlign w:val="center"/>
          </w:tcPr>
          <w:p w14:paraId="42919750"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6666A89C"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14:paraId="158DE38A" w14:textId="77777777" w:rsidTr="00303D62">
        <w:trPr>
          <w:cantSplit/>
          <w:trHeight w:val="340"/>
        </w:trPr>
        <w:tc>
          <w:tcPr>
            <w:tcW w:w="993" w:type="dxa"/>
          </w:tcPr>
          <w:p w14:paraId="620B7BCD" w14:textId="77777777" w:rsidR="007B6316" w:rsidRPr="007B6316" w:rsidRDefault="007B6316" w:rsidP="00303D62">
            <w:pPr>
              <w:tabs>
                <w:tab w:val="left" w:pos="4111"/>
              </w:tabs>
              <w:spacing w:before="10"/>
              <w:ind w:left="57"/>
              <w:rPr>
                <w:b/>
                <w:bCs/>
                <w:sz w:val="22"/>
              </w:rPr>
            </w:pPr>
          </w:p>
        </w:tc>
        <w:tc>
          <w:tcPr>
            <w:tcW w:w="3884" w:type="dxa"/>
            <w:gridSpan w:val="2"/>
          </w:tcPr>
          <w:p w14:paraId="6D9953F7" w14:textId="77777777" w:rsidR="007B6316" w:rsidRDefault="007B6316" w:rsidP="00303D62">
            <w:pPr>
              <w:tabs>
                <w:tab w:val="left" w:pos="4111"/>
              </w:tabs>
              <w:spacing w:before="0"/>
              <w:ind w:left="57"/>
              <w:rPr>
                <w:b/>
              </w:rPr>
            </w:pPr>
          </w:p>
        </w:tc>
        <w:tc>
          <w:tcPr>
            <w:tcW w:w="5329" w:type="dxa"/>
          </w:tcPr>
          <w:p w14:paraId="2E372B89" w14:textId="1B064A6E" w:rsidR="007B6316" w:rsidRDefault="007B6316" w:rsidP="007B6316">
            <w:pPr>
              <w:tabs>
                <w:tab w:val="clear" w:pos="794"/>
                <w:tab w:val="clear" w:pos="1191"/>
                <w:tab w:val="clear" w:pos="1588"/>
                <w:tab w:val="clear" w:pos="1985"/>
                <w:tab w:val="left" w:pos="284"/>
              </w:tabs>
              <w:spacing w:after="120"/>
              <w:ind w:left="284" w:hanging="227"/>
            </w:pPr>
            <w:r w:rsidRPr="00081FE5">
              <w:rPr>
                <w:szCs w:val="24"/>
              </w:rPr>
              <w:t>Ginebra,</w:t>
            </w:r>
            <w:r w:rsidR="00196B22">
              <w:rPr>
                <w:szCs w:val="24"/>
              </w:rPr>
              <w:t xml:space="preserve"> 10 de diciembre de 2025</w:t>
            </w:r>
          </w:p>
        </w:tc>
      </w:tr>
      <w:tr w:rsidR="001350B9" w14:paraId="17AFA114" w14:textId="77777777" w:rsidTr="00303D62">
        <w:trPr>
          <w:cantSplit/>
          <w:trHeight w:val="340"/>
        </w:trPr>
        <w:tc>
          <w:tcPr>
            <w:tcW w:w="993" w:type="dxa"/>
          </w:tcPr>
          <w:p w14:paraId="7F5EE485" w14:textId="77777777" w:rsidR="001350B9" w:rsidRPr="00196B22" w:rsidRDefault="001350B9" w:rsidP="00303D62">
            <w:pPr>
              <w:tabs>
                <w:tab w:val="left" w:pos="4111"/>
              </w:tabs>
              <w:spacing w:before="10"/>
              <w:ind w:left="57"/>
              <w:rPr>
                <w:szCs w:val="24"/>
              </w:rPr>
            </w:pPr>
            <w:r w:rsidRPr="00196B22">
              <w:rPr>
                <w:szCs w:val="24"/>
              </w:rPr>
              <w:t>Ref.:</w:t>
            </w:r>
          </w:p>
          <w:p w14:paraId="7671B5C7" w14:textId="77777777" w:rsidR="001350B9" w:rsidRPr="00196B22" w:rsidRDefault="001350B9" w:rsidP="007B6316">
            <w:pPr>
              <w:tabs>
                <w:tab w:val="left" w:pos="4111"/>
              </w:tabs>
              <w:spacing w:before="10"/>
              <w:ind w:left="57"/>
              <w:rPr>
                <w:szCs w:val="24"/>
              </w:rPr>
            </w:pPr>
          </w:p>
        </w:tc>
        <w:tc>
          <w:tcPr>
            <w:tcW w:w="3884" w:type="dxa"/>
            <w:gridSpan w:val="2"/>
          </w:tcPr>
          <w:p w14:paraId="0357900D" w14:textId="4B8981C6" w:rsidR="001350B9" w:rsidRPr="00196B22" w:rsidRDefault="001350B9" w:rsidP="00303D62">
            <w:pPr>
              <w:tabs>
                <w:tab w:val="left" w:pos="4111"/>
              </w:tabs>
              <w:spacing w:before="0"/>
              <w:ind w:left="57"/>
              <w:rPr>
                <w:b/>
                <w:szCs w:val="24"/>
              </w:rPr>
            </w:pPr>
            <w:r w:rsidRPr="00196B22">
              <w:rPr>
                <w:b/>
                <w:szCs w:val="24"/>
              </w:rPr>
              <w:t xml:space="preserve">Circular TSB </w:t>
            </w:r>
            <w:r w:rsidR="00196B22" w:rsidRPr="00196B22">
              <w:rPr>
                <w:b/>
                <w:szCs w:val="24"/>
              </w:rPr>
              <w:t>105</w:t>
            </w:r>
          </w:p>
          <w:p w14:paraId="5398F77D" w14:textId="588FED57" w:rsidR="001350B9" w:rsidRPr="00D9175A" w:rsidRDefault="00196B22" w:rsidP="00D9175A">
            <w:pPr>
              <w:tabs>
                <w:tab w:val="left" w:pos="4111"/>
              </w:tabs>
              <w:spacing w:before="0" w:after="120"/>
              <w:ind w:left="57"/>
              <w:rPr>
                <w:b/>
                <w:szCs w:val="24"/>
              </w:rPr>
            </w:pPr>
            <w:r w:rsidRPr="00196B22">
              <w:rPr>
                <w:szCs w:val="24"/>
              </w:rPr>
              <w:t>SG2</w:t>
            </w:r>
            <w:r w:rsidR="001350B9" w:rsidRPr="00196B22">
              <w:rPr>
                <w:szCs w:val="24"/>
              </w:rPr>
              <w:t>/</w:t>
            </w:r>
            <w:r w:rsidRPr="00196B22">
              <w:rPr>
                <w:szCs w:val="24"/>
              </w:rPr>
              <w:t>MCB</w:t>
            </w:r>
          </w:p>
        </w:tc>
        <w:tc>
          <w:tcPr>
            <w:tcW w:w="5329" w:type="dxa"/>
            <w:vMerge w:val="restart"/>
          </w:tcPr>
          <w:p w14:paraId="729A096A" w14:textId="128A8CBF" w:rsidR="00196B22" w:rsidRPr="00196B22" w:rsidRDefault="00196B22" w:rsidP="00196B22">
            <w:pPr>
              <w:tabs>
                <w:tab w:val="clear" w:pos="794"/>
                <w:tab w:val="clear" w:pos="1191"/>
                <w:tab w:val="clear" w:pos="1588"/>
                <w:tab w:val="clear" w:pos="1985"/>
                <w:tab w:val="left" w:pos="284"/>
              </w:tabs>
              <w:spacing w:before="0"/>
              <w:ind w:left="284" w:hanging="227"/>
              <w:rPr>
                <w:szCs w:val="24"/>
              </w:rPr>
            </w:pPr>
            <w:bookmarkStart w:id="0" w:name="Addressee_S"/>
            <w:bookmarkEnd w:id="0"/>
            <w:r w:rsidRPr="00196B22">
              <w:rPr>
                <w:szCs w:val="24"/>
              </w:rPr>
              <w:t>–</w:t>
            </w:r>
            <w:r w:rsidR="001350B9" w:rsidRPr="00196B22">
              <w:rPr>
                <w:szCs w:val="24"/>
              </w:rPr>
              <w:tab/>
              <w:t>A las Administraciones de los Estados Miembros de la Unión</w:t>
            </w:r>
            <w:r w:rsidRPr="00196B22">
              <w:rPr>
                <w:szCs w:val="24"/>
              </w:rPr>
              <w:t>;</w:t>
            </w:r>
          </w:p>
          <w:p w14:paraId="68462D5D" w14:textId="643DA777" w:rsidR="00196B22" w:rsidRPr="00196B22" w:rsidRDefault="00196B22" w:rsidP="00196B22">
            <w:pPr>
              <w:tabs>
                <w:tab w:val="clear" w:pos="794"/>
                <w:tab w:val="clear" w:pos="1191"/>
                <w:tab w:val="clear" w:pos="1588"/>
                <w:tab w:val="clear" w:pos="1985"/>
                <w:tab w:val="left" w:pos="284"/>
              </w:tabs>
              <w:spacing w:before="0"/>
              <w:ind w:left="284" w:hanging="227"/>
              <w:rPr>
                <w:szCs w:val="24"/>
              </w:rPr>
            </w:pPr>
            <w:r w:rsidRPr="00196B22">
              <w:rPr>
                <w:szCs w:val="24"/>
              </w:rPr>
              <w:t>–</w:t>
            </w:r>
            <w:r w:rsidRPr="00196B22">
              <w:rPr>
                <w:szCs w:val="24"/>
              </w:rPr>
              <w:tab/>
            </w:r>
            <w:r w:rsidRPr="00196B22">
              <w:rPr>
                <w:szCs w:val="24"/>
                <w:lang w:val="es-ES"/>
              </w:rPr>
              <w:t>Al Estado de Palestina (Res.99 (Rev. Dubái, 2018))</w:t>
            </w:r>
            <w:r w:rsidRPr="00196B22">
              <w:rPr>
                <w:szCs w:val="24"/>
                <w:lang w:val="es-ES"/>
              </w:rPr>
              <w:t>;</w:t>
            </w:r>
          </w:p>
          <w:p w14:paraId="6E873524" w14:textId="55496B21" w:rsidR="00196B22" w:rsidRPr="00196B22" w:rsidRDefault="00196B22" w:rsidP="00196B22">
            <w:pPr>
              <w:tabs>
                <w:tab w:val="clear" w:pos="794"/>
                <w:tab w:val="clear" w:pos="1191"/>
                <w:tab w:val="clear" w:pos="1588"/>
                <w:tab w:val="clear" w:pos="1985"/>
                <w:tab w:val="left" w:pos="284"/>
              </w:tabs>
              <w:spacing w:before="0"/>
              <w:ind w:left="284" w:hanging="227"/>
              <w:rPr>
                <w:szCs w:val="24"/>
              </w:rPr>
            </w:pPr>
            <w:r w:rsidRPr="00196B22">
              <w:rPr>
                <w:szCs w:val="24"/>
              </w:rPr>
              <w:t>–</w:t>
            </w:r>
            <w:r w:rsidR="001350B9" w:rsidRPr="00196B22">
              <w:rPr>
                <w:szCs w:val="24"/>
              </w:rPr>
              <w:tab/>
              <w:t xml:space="preserve">A los Miembros del Sector </w:t>
            </w:r>
            <w:r w:rsidRPr="00196B22">
              <w:rPr>
                <w:szCs w:val="24"/>
              </w:rPr>
              <w:t xml:space="preserve">del </w:t>
            </w:r>
            <w:r w:rsidR="001350B9" w:rsidRPr="00196B22">
              <w:rPr>
                <w:szCs w:val="24"/>
              </w:rPr>
              <w:t>UIT</w:t>
            </w:r>
            <w:r w:rsidR="001350B9" w:rsidRPr="00196B22">
              <w:rPr>
                <w:szCs w:val="24"/>
              </w:rPr>
              <w:noBreakHyphen/>
              <w:t>T;</w:t>
            </w:r>
          </w:p>
          <w:p w14:paraId="141274BF" w14:textId="049E1ECE" w:rsidR="00196B22" w:rsidRPr="00196B22" w:rsidRDefault="00196B22" w:rsidP="00196B22">
            <w:pPr>
              <w:tabs>
                <w:tab w:val="clear" w:pos="794"/>
                <w:tab w:val="clear" w:pos="1191"/>
                <w:tab w:val="clear" w:pos="1588"/>
                <w:tab w:val="clear" w:pos="1985"/>
                <w:tab w:val="left" w:pos="284"/>
              </w:tabs>
              <w:spacing w:before="0"/>
              <w:ind w:left="284" w:hanging="227"/>
              <w:rPr>
                <w:szCs w:val="24"/>
              </w:rPr>
            </w:pPr>
            <w:r w:rsidRPr="00196B22">
              <w:rPr>
                <w:szCs w:val="24"/>
              </w:rPr>
              <w:t>–</w:t>
            </w:r>
            <w:r w:rsidR="001350B9" w:rsidRPr="00196B22">
              <w:rPr>
                <w:szCs w:val="24"/>
              </w:rPr>
              <w:tab/>
              <w:t>A los Asociados del UIT</w:t>
            </w:r>
            <w:r w:rsidR="001350B9" w:rsidRPr="00196B22">
              <w:rPr>
                <w:szCs w:val="24"/>
              </w:rPr>
              <w:noBreakHyphen/>
              <w:t>T;</w:t>
            </w:r>
          </w:p>
          <w:p w14:paraId="20A08BB6" w14:textId="623C3A91" w:rsidR="00196B22" w:rsidRPr="00196B22" w:rsidRDefault="00196B22" w:rsidP="00196B22">
            <w:pPr>
              <w:tabs>
                <w:tab w:val="clear" w:pos="794"/>
                <w:tab w:val="clear" w:pos="1191"/>
                <w:tab w:val="clear" w:pos="1588"/>
                <w:tab w:val="clear" w:pos="1985"/>
                <w:tab w:val="left" w:pos="284"/>
              </w:tabs>
              <w:spacing w:before="0"/>
              <w:ind w:left="284" w:hanging="227"/>
              <w:rPr>
                <w:szCs w:val="24"/>
              </w:rPr>
            </w:pPr>
            <w:r w:rsidRPr="00196B22">
              <w:rPr>
                <w:szCs w:val="24"/>
              </w:rPr>
              <w:t>–</w:t>
            </w:r>
            <w:r w:rsidR="001350B9" w:rsidRPr="00196B22">
              <w:rPr>
                <w:szCs w:val="24"/>
              </w:rPr>
              <w:tab/>
              <w:t>A las Instituciones Académicas de</w:t>
            </w:r>
            <w:r w:rsidRPr="00196B22">
              <w:rPr>
                <w:szCs w:val="24"/>
              </w:rPr>
              <w:t xml:space="preserve"> </w:t>
            </w:r>
            <w:r w:rsidR="001350B9" w:rsidRPr="00196B22">
              <w:rPr>
                <w:szCs w:val="24"/>
              </w:rPr>
              <w:t>l</w:t>
            </w:r>
            <w:r w:rsidRPr="00196B22">
              <w:rPr>
                <w:szCs w:val="24"/>
              </w:rPr>
              <w:t>a</w:t>
            </w:r>
            <w:r w:rsidR="001350B9" w:rsidRPr="00196B22">
              <w:rPr>
                <w:szCs w:val="24"/>
              </w:rPr>
              <w:t xml:space="preserve"> UIT</w:t>
            </w:r>
          </w:p>
          <w:p w14:paraId="3B9FC2FD" w14:textId="1E631609" w:rsidR="00196B22" w:rsidRPr="00196B22" w:rsidRDefault="00196B22" w:rsidP="00196B22">
            <w:pPr>
              <w:tabs>
                <w:tab w:val="clear" w:pos="794"/>
                <w:tab w:val="clear" w:pos="1191"/>
                <w:tab w:val="clear" w:pos="1588"/>
                <w:tab w:val="clear" w:pos="1985"/>
                <w:tab w:val="left" w:pos="284"/>
              </w:tabs>
              <w:spacing w:after="120"/>
              <w:ind w:left="284" w:hanging="227"/>
              <w:rPr>
                <w:b/>
                <w:bCs/>
                <w:szCs w:val="24"/>
              </w:rPr>
            </w:pPr>
            <w:r w:rsidRPr="00196B22">
              <w:rPr>
                <w:b/>
                <w:bCs/>
                <w:szCs w:val="24"/>
              </w:rPr>
              <w:t>Copia:</w:t>
            </w:r>
          </w:p>
          <w:p w14:paraId="3780E2BD" w14:textId="6C1E2FDA" w:rsidR="00196B22" w:rsidRPr="00196B22" w:rsidRDefault="00196B22" w:rsidP="00196B22">
            <w:pPr>
              <w:tabs>
                <w:tab w:val="clear" w:pos="794"/>
                <w:tab w:val="clear" w:pos="1191"/>
                <w:tab w:val="clear" w:pos="1588"/>
                <w:tab w:val="clear" w:pos="1985"/>
                <w:tab w:val="left" w:pos="284"/>
              </w:tabs>
              <w:spacing w:before="0"/>
              <w:ind w:left="284" w:hanging="227"/>
              <w:rPr>
                <w:szCs w:val="24"/>
              </w:rPr>
            </w:pPr>
            <w:r w:rsidRPr="00196B22">
              <w:rPr>
                <w:szCs w:val="24"/>
              </w:rPr>
              <w:t>–</w:t>
            </w:r>
            <w:r w:rsidR="001350B9" w:rsidRPr="00196B22">
              <w:rPr>
                <w:szCs w:val="24"/>
              </w:rPr>
              <w:tab/>
              <w:t>A</w:t>
            </w:r>
            <w:r w:rsidRPr="00196B22">
              <w:rPr>
                <w:szCs w:val="24"/>
              </w:rPr>
              <w:t xml:space="preserve"> </w:t>
            </w:r>
            <w:r w:rsidR="001350B9" w:rsidRPr="00196B22">
              <w:rPr>
                <w:szCs w:val="24"/>
              </w:rPr>
              <w:t>l</w:t>
            </w:r>
            <w:r w:rsidRPr="00196B22">
              <w:rPr>
                <w:szCs w:val="24"/>
              </w:rPr>
              <w:t>os</w:t>
            </w:r>
            <w:r w:rsidR="001350B9" w:rsidRPr="00196B22">
              <w:rPr>
                <w:szCs w:val="24"/>
              </w:rPr>
              <w:t xml:space="preserve"> Presidente</w:t>
            </w:r>
            <w:r w:rsidRPr="00196B22">
              <w:rPr>
                <w:szCs w:val="24"/>
              </w:rPr>
              <w:t>s</w:t>
            </w:r>
            <w:r w:rsidR="001350B9" w:rsidRPr="00196B22">
              <w:rPr>
                <w:szCs w:val="24"/>
              </w:rPr>
              <w:t xml:space="preserve"> y a los Vicepresidentes de la</w:t>
            </w:r>
            <w:r w:rsidRPr="00196B22">
              <w:rPr>
                <w:szCs w:val="24"/>
              </w:rPr>
              <w:t xml:space="preserve">s </w:t>
            </w:r>
            <w:r w:rsidR="001350B9" w:rsidRPr="00196B22">
              <w:rPr>
                <w:szCs w:val="24"/>
              </w:rPr>
              <w:t>Comisi</w:t>
            </w:r>
            <w:r w:rsidRPr="00196B22">
              <w:rPr>
                <w:szCs w:val="24"/>
              </w:rPr>
              <w:t>ones</w:t>
            </w:r>
            <w:r w:rsidR="001350B9" w:rsidRPr="00196B22">
              <w:rPr>
                <w:szCs w:val="24"/>
              </w:rPr>
              <w:t xml:space="preserve"> de Estudio </w:t>
            </w:r>
            <w:r w:rsidRPr="00196B22">
              <w:rPr>
                <w:szCs w:val="24"/>
              </w:rPr>
              <w:t>del UIT-T</w:t>
            </w:r>
            <w:r w:rsidR="001350B9" w:rsidRPr="00196B22">
              <w:rPr>
                <w:szCs w:val="24"/>
              </w:rPr>
              <w:t>;</w:t>
            </w:r>
          </w:p>
          <w:p w14:paraId="2388AAE7" w14:textId="5CE2651A" w:rsidR="00196B22" w:rsidRPr="00196B22" w:rsidRDefault="00196B22" w:rsidP="00196B22">
            <w:pPr>
              <w:tabs>
                <w:tab w:val="clear" w:pos="794"/>
                <w:tab w:val="clear" w:pos="1191"/>
                <w:tab w:val="clear" w:pos="1588"/>
                <w:tab w:val="clear" w:pos="1985"/>
                <w:tab w:val="left" w:pos="284"/>
              </w:tabs>
              <w:spacing w:before="0"/>
              <w:ind w:left="284" w:hanging="227"/>
              <w:rPr>
                <w:szCs w:val="24"/>
              </w:rPr>
            </w:pPr>
            <w:r w:rsidRPr="00196B22">
              <w:rPr>
                <w:szCs w:val="24"/>
              </w:rPr>
              <w:t>–</w:t>
            </w:r>
            <w:r w:rsidR="001350B9" w:rsidRPr="00196B22">
              <w:rPr>
                <w:szCs w:val="24"/>
              </w:rPr>
              <w:tab/>
              <w:t>Al Director de la Oficina de Desarrollo de las Telecomunicaciones;</w:t>
            </w:r>
          </w:p>
          <w:p w14:paraId="4A361425" w14:textId="4EE088D1" w:rsidR="001350B9" w:rsidRPr="00196B22" w:rsidRDefault="00196B22" w:rsidP="00196B22">
            <w:pPr>
              <w:tabs>
                <w:tab w:val="clear" w:pos="794"/>
                <w:tab w:val="clear" w:pos="1191"/>
                <w:tab w:val="clear" w:pos="1588"/>
                <w:tab w:val="clear" w:pos="1985"/>
                <w:tab w:val="left" w:pos="284"/>
              </w:tabs>
              <w:spacing w:before="0"/>
              <w:ind w:left="284" w:hanging="227"/>
              <w:rPr>
                <w:szCs w:val="24"/>
              </w:rPr>
            </w:pPr>
            <w:r w:rsidRPr="00196B22">
              <w:rPr>
                <w:szCs w:val="24"/>
              </w:rPr>
              <w:t>–</w:t>
            </w:r>
            <w:r w:rsidR="001350B9" w:rsidRPr="00196B22">
              <w:rPr>
                <w:szCs w:val="24"/>
              </w:rPr>
              <w:tab/>
              <w:t>Al Director de la Oficina de Radiocomunicaciones</w:t>
            </w:r>
          </w:p>
        </w:tc>
      </w:tr>
      <w:tr w:rsidR="001350B9" w14:paraId="1967337A" w14:textId="77777777" w:rsidTr="00303D62">
        <w:trPr>
          <w:cantSplit/>
        </w:trPr>
        <w:tc>
          <w:tcPr>
            <w:tcW w:w="993" w:type="dxa"/>
          </w:tcPr>
          <w:p w14:paraId="47C33EF4" w14:textId="77777777" w:rsidR="001350B9" w:rsidRPr="00196B22" w:rsidRDefault="001350B9" w:rsidP="00303D62">
            <w:pPr>
              <w:tabs>
                <w:tab w:val="left" w:pos="4111"/>
              </w:tabs>
              <w:spacing w:before="10"/>
              <w:ind w:left="57"/>
              <w:rPr>
                <w:szCs w:val="24"/>
              </w:rPr>
            </w:pPr>
            <w:r w:rsidRPr="00196B22">
              <w:rPr>
                <w:szCs w:val="24"/>
              </w:rPr>
              <w:t>Tel.:</w:t>
            </w:r>
          </w:p>
        </w:tc>
        <w:tc>
          <w:tcPr>
            <w:tcW w:w="3884" w:type="dxa"/>
            <w:gridSpan w:val="2"/>
          </w:tcPr>
          <w:p w14:paraId="2852E372" w14:textId="6E754014" w:rsidR="001350B9" w:rsidRPr="00196B22" w:rsidRDefault="001350B9" w:rsidP="00303D62">
            <w:pPr>
              <w:tabs>
                <w:tab w:val="left" w:pos="4111"/>
              </w:tabs>
              <w:spacing w:before="0"/>
              <w:ind w:left="57"/>
              <w:rPr>
                <w:rStyle w:val="Hyperlink"/>
                <w:szCs w:val="24"/>
              </w:rPr>
            </w:pPr>
            <w:r w:rsidRPr="00196B22">
              <w:rPr>
                <w:szCs w:val="24"/>
              </w:rPr>
              <w:t>+41 22 730</w:t>
            </w:r>
            <w:r w:rsidR="00196B22" w:rsidRPr="00196B22">
              <w:rPr>
                <w:szCs w:val="24"/>
              </w:rPr>
              <w:t xml:space="preserve"> 5901</w:t>
            </w:r>
          </w:p>
        </w:tc>
        <w:tc>
          <w:tcPr>
            <w:tcW w:w="5329" w:type="dxa"/>
            <w:vMerge/>
          </w:tcPr>
          <w:p w14:paraId="0EEC46DD" w14:textId="77777777" w:rsidR="001350B9" w:rsidRPr="00196B22" w:rsidRDefault="001350B9" w:rsidP="00303D62">
            <w:pPr>
              <w:tabs>
                <w:tab w:val="left" w:pos="226"/>
                <w:tab w:val="left" w:pos="510"/>
              </w:tabs>
              <w:spacing w:before="0"/>
              <w:ind w:left="226" w:hanging="169"/>
              <w:rPr>
                <w:b/>
                <w:szCs w:val="24"/>
              </w:rPr>
            </w:pPr>
          </w:p>
        </w:tc>
      </w:tr>
      <w:tr w:rsidR="001350B9" w14:paraId="4B1CD962" w14:textId="77777777" w:rsidTr="00303D62">
        <w:trPr>
          <w:cantSplit/>
        </w:trPr>
        <w:tc>
          <w:tcPr>
            <w:tcW w:w="993" w:type="dxa"/>
          </w:tcPr>
          <w:p w14:paraId="272E82B9" w14:textId="77777777" w:rsidR="001350B9" w:rsidRPr="00196B22" w:rsidRDefault="001350B9" w:rsidP="00303D62">
            <w:pPr>
              <w:tabs>
                <w:tab w:val="left" w:pos="4111"/>
              </w:tabs>
              <w:spacing w:before="10"/>
              <w:ind w:left="57"/>
              <w:rPr>
                <w:szCs w:val="24"/>
              </w:rPr>
            </w:pPr>
            <w:r w:rsidRPr="00196B22">
              <w:rPr>
                <w:szCs w:val="24"/>
              </w:rPr>
              <w:t>Fax:</w:t>
            </w:r>
          </w:p>
        </w:tc>
        <w:tc>
          <w:tcPr>
            <w:tcW w:w="3884" w:type="dxa"/>
            <w:gridSpan w:val="2"/>
          </w:tcPr>
          <w:p w14:paraId="3E59BDE9" w14:textId="77777777" w:rsidR="001350B9" w:rsidRPr="00196B22" w:rsidRDefault="001350B9" w:rsidP="00303D62">
            <w:pPr>
              <w:tabs>
                <w:tab w:val="left" w:pos="4111"/>
              </w:tabs>
              <w:spacing w:before="0"/>
              <w:ind w:left="57"/>
              <w:rPr>
                <w:rStyle w:val="Hyperlink"/>
                <w:szCs w:val="24"/>
              </w:rPr>
            </w:pPr>
            <w:r w:rsidRPr="00196B22">
              <w:rPr>
                <w:szCs w:val="24"/>
              </w:rPr>
              <w:t>+41 22 730 5853</w:t>
            </w:r>
          </w:p>
        </w:tc>
        <w:tc>
          <w:tcPr>
            <w:tcW w:w="5329" w:type="dxa"/>
            <w:vMerge/>
          </w:tcPr>
          <w:p w14:paraId="13D77128" w14:textId="77777777" w:rsidR="001350B9" w:rsidRPr="00196B22" w:rsidRDefault="001350B9" w:rsidP="00303D62">
            <w:pPr>
              <w:tabs>
                <w:tab w:val="left" w:pos="226"/>
                <w:tab w:val="left" w:pos="510"/>
              </w:tabs>
              <w:spacing w:before="0"/>
              <w:ind w:left="226" w:hanging="169"/>
              <w:rPr>
                <w:b/>
                <w:szCs w:val="24"/>
              </w:rPr>
            </w:pPr>
          </w:p>
        </w:tc>
      </w:tr>
      <w:tr w:rsidR="001350B9" w14:paraId="320E2F38" w14:textId="77777777" w:rsidTr="00303D62">
        <w:trPr>
          <w:cantSplit/>
        </w:trPr>
        <w:tc>
          <w:tcPr>
            <w:tcW w:w="993" w:type="dxa"/>
          </w:tcPr>
          <w:p w14:paraId="2CCC53E1" w14:textId="77777777" w:rsidR="001350B9" w:rsidRPr="00196B22" w:rsidRDefault="001350B9" w:rsidP="00303D62">
            <w:pPr>
              <w:tabs>
                <w:tab w:val="left" w:pos="4111"/>
              </w:tabs>
              <w:spacing w:before="10"/>
              <w:ind w:left="57"/>
              <w:rPr>
                <w:szCs w:val="24"/>
              </w:rPr>
            </w:pPr>
            <w:r w:rsidRPr="00196B22">
              <w:rPr>
                <w:szCs w:val="24"/>
              </w:rPr>
              <w:t>Correo-e:</w:t>
            </w:r>
          </w:p>
        </w:tc>
        <w:tc>
          <w:tcPr>
            <w:tcW w:w="3884" w:type="dxa"/>
            <w:gridSpan w:val="2"/>
          </w:tcPr>
          <w:p w14:paraId="35BA98F5" w14:textId="3082DD21" w:rsidR="001350B9" w:rsidRPr="00196B22" w:rsidRDefault="00196B22" w:rsidP="00303D62">
            <w:pPr>
              <w:tabs>
                <w:tab w:val="left" w:pos="4111"/>
              </w:tabs>
              <w:spacing w:before="0"/>
              <w:ind w:left="57"/>
              <w:rPr>
                <w:szCs w:val="24"/>
              </w:rPr>
            </w:pPr>
            <w:hyperlink r:id="rId9" w:history="1">
              <w:r w:rsidRPr="00196B22">
                <w:rPr>
                  <w:rStyle w:val="Hyperlink"/>
                  <w:szCs w:val="24"/>
                </w:rPr>
                <w:t>tsbsg2@itu.int</w:t>
              </w:r>
            </w:hyperlink>
          </w:p>
        </w:tc>
        <w:tc>
          <w:tcPr>
            <w:tcW w:w="5329" w:type="dxa"/>
            <w:vMerge/>
          </w:tcPr>
          <w:p w14:paraId="528ACE03" w14:textId="77777777" w:rsidR="001350B9" w:rsidRPr="00196B22" w:rsidRDefault="001350B9" w:rsidP="00303D62">
            <w:pPr>
              <w:tabs>
                <w:tab w:val="clear" w:pos="794"/>
                <w:tab w:val="clear" w:pos="1191"/>
                <w:tab w:val="clear" w:pos="1588"/>
                <w:tab w:val="clear" w:pos="1985"/>
                <w:tab w:val="left" w:pos="226"/>
                <w:tab w:val="left" w:pos="510"/>
              </w:tabs>
              <w:spacing w:before="0"/>
              <w:ind w:left="226" w:hanging="169"/>
              <w:rPr>
                <w:szCs w:val="24"/>
              </w:rPr>
            </w:pPr>
          </w:p>
        </w:tc>
      </w:tr>
      <w:tr w:rsidR="007B6316" w14:paraId="3289CAB1" w14:textId="77777777" w:rsidTr="00DA30ED">
        <w:trPr>
          <w:cantSplit/>
        </w:trPr>
        <w:tc>
          <w:tcPr>
            <w:tcW w:w="993" w:type="dxa"/>
          </w:tcPr>
          <w:p w14:paraId="11B68D85" w14:textId="77777777" w:rsidR="007B6316" w:rsidRPr="00196B22" w:rsidRDefault="007B6316" w:rsidP="00303D62">
            <w:pPr>
              <w:tabs>
                <w:tab w:val="left" w:pos="4111"/>
              </w:tabs>
              <w:spacing w:before="10"/>
              <w:ind w:left="57"/>
              <w:rPr>
                <w:szCs w:val="24"/>
              </w:rPr>
            </w:pPr>
            <w:r w:rsidRPr="00196B22">
              <w:rPr>
                <w:szCs w:val="24"/>
              </w:rPr>
              <w:t>Asunto:</w:t>
            </w:r>
          </w:p>
        </w:tc>
        <w:tc>
          <w:tcPr>
            <w:tcW w:w="9213" w:type="dxa"/>
            <w:gridSpan w:val="3"/>
          </w:tcPr>
          <w:p w14:paraId="235FF013" w14:textId="429D4799" w:rsidR="007B6316" w:rsidRPr="00196B22" w:rsidRDefault="00196B22" w:rsidP="00303D62">
            <w:pPr>
              <w:tabs>
                <w:tab w:val="left" w:pos="4111"/>
              </w:tabs>
              <w:spacing w:before="0"/>
              <w:rPr>
                <w:b/>
                <w:szCs w:val="24"/>
              </w:rPr>
            </w:pPr>
            <w:bookmarkStart w:id="1" w:name="lt_pId048"/>
            <w:bookmarkStart w:id="2" w:name="_Hlk40375742"/>
            <w:r w:rsidRPr="00196B22">
              <w:rPr>
                <w:rFonts w:cstheme="minorHAnsi"/>
                <w:b/>
                <w:szCs w:val="24"/>
                <w:lang w:val="es-ES"/>
              </w:rPr>
              <w:t>Aplicación de la Recomendación UIT-T E.156 (2025), Directrices para la actuación del UIT</w:t>
            </w:r>
            <w:r w:rsidR="00D9175A">
              <w:rPr>
                <w:rFonts w:cstheme="minorHAnsi"/>
                <w:b/>
                <w:szCs w:val="24"/>
                <w:lang w:val="es-ES"/>
              </w:rPr>
              <w:noBreakHyphen/>
            </w:r>
            <w:r w:rsidRPr="00196B22">
              <w:rPr>
                <w:rFonts w:cstheme="minorHAnsi"/>
                <w:b/>
                <w:szCs w:val="24"/>
                <w:lang w:val="es-ES"/>
              </w:rPr>
              <w:t>T cuando se le notifique una utilización indebida de recursos de numeración E.164</w:t>
            </w:r>
            <w:bookmarkEnd w:id="1"/>
            <w:bookmarkEnd w:id="2"/>
          </w:p>
        </w:tc>
      </w:tr>
    </w:tbl>
    <w:p w14:paraId="6B31AE35" w14:textId="77777777" w:rsidR="00C34772" w:rsidRDefault="00C34772" w:rsidP="007B6316">
      <w:pPr>
        <w:spacing w:before="320"/>
      </w:pPr>
      <w:bookmarkStart w:id="3" w:name="StartTyping_S"/>
      <w:bookmarkStart w:id="4" w:name="suitetext"/>
      <w:bookmarkStart w:id="5" w:name="text"/>
      <w:bookmarkEnd w:id="3"/>
      <w:bookmarkEnd w:id="4"/>
      <w:bookmarkEnd w:id="5"/>
      <w:r>
        <w:t>Muy Señora mía/Muy Señor mío:</w:t>
      </w:r>
    </w:p>
    <w:p w14:paraId="6BF51326" w14:textId="76693211" w:rsidR="007B6316" w:rsidRPr="00196B22" w:rsidRDefault="00196B22" w:rsidP="00196B22">
      <w:pPr>
        <w:rPr>
          <w:szCs w:val="24"/>
        </w:rPr>
      </w:pPr>
      <w:r w:rsidRPr="00196B22">
        <w:rPr>
          <w:szCs w:val="24"/>
          <w:lang w:val="es-ES"/>
        </w:rPr>
        <w:t xml:space="preserve">La Comisión de Estudio 2 (CE 2) del UIT-T aprobó en septiembre de 2025 la revisión de la </w:t>
      </w:r>
      <w:hyperlink r:id="rId10" w:history="1">
        <w:r w:rsidRPr="00196B22">
          <w:rPr>
            <w:rStyle w:val="Hyperlink"/>
            <w:szCs w:val="24"/>
            <w:lang w:val="es-ES"/>
          </w:rPr>
          <w:t>Recomendación UIT-T E.156</w:t>
        </w:r>
      </w:hyperlink>
      <w:r w:rsidRPr="00196B22">
        <w:rPr>
          <w:szCs w:val="24"/>
          <w:lang w:val="es-ES"/>
        </w:rPr>
        <w:t>, que contiene directrices actualizadas sobre las medidas que deben adoptar las Administraciones u operadores y el Director de la Oficina de Normalización de las Telecomunicaciones (TSB) ante la recepción de informes de presunta utilización indebida de los recursos de numeración UIT-T E.164. Abarca la notificación de presuntos usos indebidos y las medidas disponibles para hacer frente a los usos indebidos comunicados, que la CE</w:t>
      </w:r>
      <w:r w:rsidR="00D9175A">
        <w:rPr>
          <w:szCs w:val="24"/>
          <w:lang w:val="es-ES"/>
        </w:rPr>
        <w:t> </w:t>
      </w:r>
      <w:r w:rsidRPr="00196B22">
        <w:rPr>
          <w:szCs w:val="24"/>
          <w:lang w:val="es-ES"/>
        </w:rPr>
        <w:t>2 del UIT</w:t>
      </w:r>
      <w:r w:rsidR="00D9175A">
        <w:rPr>
          <w:szCs w:val="24"/>
          <w:lang w:val="es-ES"/>
        </w:rPr>
        <w:noBreakHyphen/>
      </w:r>
      <w:r w:rsidRPr="00196B22">
        <w:rPr>
          <w:szCs w:val="24"/>
          <w:lang w:val="es-ES"/>
        </w:rPr>
        <w:t xml:space="preserve">T debe aplicar en virtud de la </w:t>
      </w:r>
      <w:hyperlink r:id="rId11" w:history="1">
        <w:r w:rsidRPr="00196B22">
          <w:rPr>
            <w:rStyle w:val="Hyperlink"/>
            <w:szCs w:val="24"/>
            <w:lang w:val="es-ES"/>
          </w:rPr>
          <w:t>Resolución 20 (Rev. Nueva Delhi, 2024) de la AMNT</w:t>
        </w:r>
      </w:hyperlink>
      <w:r w:rsidRPr="00196B22">
        <w:rPr>
          <w:szCs w:val="24"/>
          <w:lang w:val="es-ES"/>
        </w:rPr>
        <w:t xml:space="preserve">. La página web de la UIT sobre utilización indebida de un recurso de numeración internacional E.164 puede consultarse en </w:t>
      </w:r>
      <w:hyperlink r:id="rId12" w:history="1">
        <w:r w:rsidRPr="00196B22">
          <w:rPr>
            <w:rStyle w:val="Hyperlink"/>
            <w:szCs w:val="24"/>
            <w:lang w:val="es-ES"/>
          </w:rPr>
          <w:t>este enlace</w:t>
        </w:r>
      </w:hyperlink>
      <w:r w:rsidRPr="00196B22">
        <w:rPr>
          <w:szCs w:val="24"/>
          <w:lang w:val="es-ES"/>
        </w:rPr>
        <w:t>.</w:t>
      </w:r>
    </w:p>
    <w:p w14:paraId="117A1854" w14:textId="3CB2AAD7" w:rsidR="00196B22" w:rsidRPr="00196B22" w:rsidRDefault="00196B22" w:rsidP="00D9175A">
      <w:pPr>
        <w:rPr>
          <w:lang w:val="es-ES"/>
        </w:rPr>
      </w:pPr>
      <w:r w:rsidRPr="00196B22">
        <w:rPr>
          <w:lang w:val="es-ES"/>
        </w:rPr>
        <w:t>En la Recomendación UIT-T E.156 (2025) se identifican tres situaciones distintas:</w:t>
      </w:r>
    </w:p>
    <w:p w14:paraId="1404031E" w14:textId="2DF28294" w:rsidR="00196B22" w:rsidRPr="00196B22" w:rsidRDefault="00196B22" w:rsidP="00D9175A">
      <w:pPr>
        <w:pStyle w:val="enumlev1"/>
        <w:rPr>
          <w:lang w:val="es-ES"/>
        </w:rPr>
      </w:pPr>
      <w:r w:rsidRPr="00196B22">
        <w:rPr>
          <w:lang w:val="es-ES"/>
        </w:rPr>
        <w:t>1)</w:t>
      </w:r>
      <w:r w:rsidRPr="00196B22">
        <w:rPr>
          <w:lang w:val="es-ES"/>
        </w:rPr>
        <w:tab/>
        <w:t>utilización indebida de números asignados directamente por la TSB a entidades distintas de los Estados Miembros que cumplen los criterios de asignación previstos en las Recomendaciones UIT-T aplicables, por ejemplo, números indicados por +800, +882, +883;</w:t>
      </w:r>
    </w:p>
    <w:p w14:paraId="78F85D01" w14:textId="4B88425B" w:rsidR="00196B22" w:rsidRPr="00196B22" w:rsidRDefault="00196B22" w:rsidP="00D9175A">
      <w:pPr>
        <w:pStyle w:val="enumlev1"/>
        <w:rPr>
          <w:lang w:val="es-ES"/>
        </w:rPr>
      </w:pPr>
      <w:r w:rsidRPr="00196B22">
        <w:rPr>
          <w:lang w:val="es-ES"/>
        </w:rPr>
        <w:t>2)</w:t>
      </w:r>
      <w:r w:rsidRPr="00196B22">
        <w:rPr>
          <w:lang w:val="es-ES"/>
        </w:rPr>
        <w:tab/>
        <w:t>utilización indebida de números asignados por Estados Miembros, por ejemplo, números dirigidos por +41 asignados por BAKOM en Suiza; y</w:t>
      </w:r>
    </w:p>
    <w:p w14:paraId="6B14D7A9" w14:textId="77777777" w:rsidR="00196B22" w:rsidRPr="00196B22" w:rsidRDefault="00196B22" w:rsidP="00D9175A">
      <w:pPr>
        <w:pStyle w:val="enumlev1"/>
        <w:rPr>
          <w:lang w:val="es-ES"/>
        </w:rPr>
      </w:pPr>
      <w:r w:rsidRPr="00196B22">
        <w:rPr>
          <w:lang w:val="es-ES"/>
        </w:rPr>
        <w:t>3)</w:t>
      </w:r>
      <w:r w:rsidRPr="00196B22">
        <w:rPr>
          <w:lang w:val="es-ES"/>
        </w:rPr>
        <w:tab/>
        <w:t>utilización indebida de recursos de numeración no asignados (y para los cuales el Director de la TSB se considera el asignatario a los efectos de la presente Recomendación), por ejemplo, números dirigidos por +999 que es un indicativo de país de reserva.</w:t>
      </w:r>
    </w:p>
    <w:p w14:paraId="19A2689B" w14:textId="04A4A17C" w:rsidR="00196B22" w:rsidRPr="00196B22" w:rsidRDefault="00196B22" w:rsidP="00196B22">
      <w:pPr>
        <w:rPr>
          <w:szCs w:val="24"/>
          <w:lang w:val="es-ES"/>
        </w:rPr>
      </w:pPr>
      <w:r w:rsidRPr="00196B22">
        <w:rPr>
          <w:szCs w:val="24"/>
          <w:lang w:val="es-ES"/>
        </w:rPr>
        <w:t xml:space="preserve">Los </w:t>
      </w:r>
      <w:r w:rsidRPr="00196B22">
        <w:rPr>
          <w:b/>
          <w:bCs/>
          <w:szCs w:val="24"/>
          <w:lang w:val="es-ES"/>
        </w:rPr>
        <w:t>procedimientos para la presentación de informes de presunta utilización indebida</w:t>
      </w:r>
      <w:r w:rsidRPr="00196B22">
        <w:rPr>
          <w:szCs w:val="24"/>
          <w:lang w:val="es-ES"/>
        </w:rPr>
        <w:t xml:space="preserve"> por parte de administradores u operadores (sean o no miembros de la UIT) se especifican en la cláusula</w:t>
      </w:r>
      <w:r w:rsidR="00D9175A">
        <w:rPr>
          <w:szCs w:val="24"/>
          <w:lang w:val="es-ES"/>
        </w:rPr>
        <w:t> </w:t>
      </w:r>
      <w:r w:rsidRPr="00196B22">
        <w:rPr>
          <w:szCs w:val="24"/>
          <w:lang w:val="es-ES"/>
        </w:rPr>
        <w:t xml:space="preserve">6 de la Recomendación UIT-T E.156 (2025). Las administraciones y los operadores pueden denunciar la presunta utilización indebida de los recursos de numeración. Las Administraciones, los Miembros del Sector UIT-T o los Asociados de la Comisión de Estudio 2 del UIT-T pueden hacerlo directamente al Director de la TSB a través del </w:t>
      </w:r>
      <w:hyperlink r:id="rId13" w:history="1">
        <w:r w:rsidRPr="00196B22">
          <w:rPr>
            <w:rStyle w:val="Hyperlink"/>
            <w:szCs w:val="24"/>
            <w:lang w:val="es-ES"/>
          </w:rPr>
          <w:t>formulario en línea</w:t>
        </w:r>
      </w:hyperlink>
      <w:r w:rsidRPr="00196B22">
        <w:rPr>
          <w:szCs w:val="24"/>
          <w:lang w:val="es-ES"/>
        </w:rPr>
        <w:t xml:space="preserve"> del sitio web de la UIT. Las </w:t>
      </w:r>
      <w:r w:rsidRPr="00196B22">
        <w:rPr>
          <w:szCs w:val="24"/>
          <w:lang w:val="es-ES"/>
        </w:rPr>
        <w:lastRenderedPageBreak/>
        <w:t xml:space="preserve">demás entidades que no son miembros deben informar por conducto de su Administración, a menos que dicha Administración haya notificado al Director de la TSB que la entidad no miembro está autorizada a comunicarse directamente con el Director de la TSB con el fin de informar sobre la utilización indebida de los recursos de numeración UIT-T E.164, en cuyo caso la notificación puede presentarse directamente a través del </w:t>
      </w:r>
      <w:hyperlink r:id="rId14" w:history="1">
        <w:r w:rsidRPr="00196B22">
          <w:rPr>
            <w:rStyle w:val="Hyperlink"/>
            <w:szCs w:val="24"/>
            <w:lang w:val="es-ES"/>
          </w:rPr>
          <w:t>formulario en línea</w:t>
        </w:r>
      </w:hyperlink>
      <w:r w:rsidRPr="00196B22">
        <w:rPr>
          <w:szCs w:val="24"/>
          <w:lang w:val="es-ES"/>
        </w:rPr>
        <w:t>. Las Administraciones, los Miembros del Sector UIT-T y los Asociados también pueden comunicar la utilización indebida directamente a la Comisión de Estudio 2 del UIT-T mediante una contribución.</w:t>
      </w:r>
    </w:p>
    <w:p w14:paraId="0693BFAE" w14:textId="77777777" w:rsidR="00196B22" w:rsidRPr="00196B22" w:rsidRDefault="00196B22" w:rsidP="00196B22">
      <w:pPr>
        <w:rPr>
          <w:szCs w:val="24"/>
          <w:lang w:val="es-ES"/>
        </w:rPr>
      </w:pPr>
      <w:r w:rsidRPr="00196B22">
        <w:rPr>
          <w:b/>
          <w:bCs/>
          <w:szCs w:val="24"/>
          <w:lang w:val="es-ES"/>
        </w:rPr>
        <w:t>En el caso de recursos de numeración no asignados o asignados a entidades distintas de un Estado Miembro</w:t>
      </w:r>
      <w:r w:rsidRPr="00196B22">
        <w:rPr>
          <w:szCs w:val="24"/>
          <w:lang w:val="es-ES"/>
        </w:rPr>
        <w:t xml:space="preserve">, una Administración o un operador (sea o no miembro de la UIT) que detecte la utilización indebida de un recurso de numeración UIT-T E.164 puede dirigirse al Director de la TSB conforme a lo especificado en la Recomendación UIT-T E.156, tal como se resume </w:t>
      </w:r>
      <w:r w:rsidRPr="00196B22">
        <w:rPr>
          <w:i/>
          <w:iCs/>
          <w:szCs w:val="24"/>
          <w:lang w:val="es-ES"/>
        </w:rPr>
        <w:t>infra</w:t>
      </w:r>
      <w:r w:rsidRPr="00196B22">
        <w:rPr>
          <w:szCs w:val="24"/>
          <w:lang w:val="es-ES"/>
        </w:rPr>
        <w:t>.</w:t>
      </w:r>
    </w:p>
    <w:p w14:paraId="6D2D209E" w14:textId="77777777" w:rsidR="00196B22" w:rsidRPr="00196B22" w:rsidRDefault="00196B22" w:rsidP="00196B22">
      <w:pPr>
        <w:rPr>
          <w:szCs w:val="24"/>
          <w:lang w:val="es-ES"/>
        </w:rPr>
      </w:pPr>
      <w:r w:rsidRPr="00196B22">
        <w:rPr>
          <w:szCs w:val="24"/>
          <w:lang w:val="es-ES"/>
        </w:rPr>
        <w:t xml:space="preserve">En el caso de los </w:t>
      </w:r>
      <w:r w:rsidRPr="00196B22">
        <w:rPr>
          <w:b/>
          <w:bCs/>
          <w:szCs w:val="24"/>
          <w:lang w:val="es-ES"/>
        </w:rPr>
        <w:t>recursos de numeración</w:t>
      </w:r>
      <w:r w:rsidRPr="00196B22">
        <w:rPr>
          <w:szCs w:val="24"/>
          <w:lang w:val="es-ES"/>
        </w:rPr>
        <w:t xml:space="preserve"> asignados a un </w:t>
      </w:r>
      <w:r w:rsidRPr="00196B22">
        <w:rPr>
          <w:b/>
          <w:bCs/>
          <w:szCs w:val="24"/>
          <w:lang w:val="es-ES"/>
        </w:rPr>
        <w:t>Estado Miembro</w:t>
      </w:r>
      <w:r w:rsidRPr="00196B22">
        <w:rPr>
          <w:szCs w:val="24"/>
          <w:lang w:val="es-ES"/>
        </w:rPr>
        <w:t>, una Administración, un operador (sea o no miembro de la UIT) o un particular que detecte la presunta utilización indebida de los recursos de numeración deberá:</w:t>
      </w:r>
    </w:p>
    <w:p w14:paraId="77494641" w14:textId="24E4939A" w:rsidR="00196B22" w:rsidRPr="00D9175A" w:rsidRDefault="00D9175A" w:rsidP="00D9175A">
      <w:pPr>
        <w:pStyle w:val="enumlev1"/>
      </w:pPr>
      <w:r>
        <w:rPr>
          <w:lang w:val="es-ES"/>
        </w:rPr>
        <w:t>a)</w:t>
      </w:r>
      <w:r>
        <w:rPr>
          <w:lang w:val="es-ES"/>
        </w:rPr>
        <w:tab/>
      </w:r>
      <w:r w:rsidR="00196B22" w:rsidRPr="00196B22">
        <w:rPr>
          <w:lang w:val="es-ES"/>
        </w:rPr>
        <w:t xml:space="preserve">notificar </w:t>
      </w:r>
      <w:r w:rsidR="00196B22" w:rsidRPr="00D9175A">
        <w:t>a su Administración, si procede;</w:t>
      </w:r>
    </w:p>
    <w:p w14:paraId="51192B5E" w14:textId="4DC0C13E" w:rsidR="00196B22" w:rsidRPr="00D9175A" w:rsidRDefault="00D9175A" w:rsidP="00D9175A">
      <w:pPr>
        <w:pStyle w:val="enumlev1"/>
      </w:pPr>
      <w:r>
        <w:t>b)</w:t>
      </w:r>
      <w:r>
        <w:tab/>
      </w:r>
      <w:r w:rsidR="00196B22" w:rsidRPr="00D9175A">
        <w:t>contactar directamente con la entidad que parece implicada en la utilización indebida, de ser posible</w:t>
      </w:r>
      <w:r>
        <w:t>,</w:t>
      </w:r>
      <w:r w:rsidR="00196B22" w:rsidRPr="00D9175A">
        <w:t xml:space="preserve"> y</w:t>
      </w:r>
    </w:p>
    <w:p w14:paraId="4DA18373" w14:textId="1713446B" w:rsidR="00196B22" w:rsidRPr="00196B22" w:rsidRDefault="00D9175A" w:rsidP="00D9175A">
      <w:pPr>
        <w:pStyle w:val="enumlev1"/>
        <w:rPr>
          <w:lang w:val="es-ES"/>
        </w:rPr>
      </w:pPr>
      <w:r>
        <w:t>c)</w:t>
      </w:r>
      <w:r>
        <w:tab/>
      </w:r>
      <w:r w:rsidR="00196B22" w:rsidRPr="00D9175A">
        <w:t>ponerse</w:t>
      </w:r>
      <w:r w:rsidR="00196B22" w:rsidRPr="00196B22">
        <w:rPr>
          <w:lang w:val="es-ES"/>
        </w:rPr>
        <w:t xml:space="preserve"> en contacto con la Administración bajo cuya jurisdicción supuestamente se originó o detectó la utilización indebida.</w:t>
      </w:r>
    </w:p>
    <w:p w14:paraId="483CA57F" w14:textId="77777777" w:rsidR="00196B22" w:rsidRPr="00196B22" w:rsidRDefault="00196B22" w:rsidP="00196B22">
      <w:pPr>
        <w:rPr>
          <w:szCs w:val="24"/>
          <w:lang w:val="es-ES"/>
        </w:rPr>
      </w:pPr>
      <w:r w:rsidRPr="00196B22">
        <w:rPr>
          <w:szCs w:val="24"/>
          <w:lang w:val="es-ES"/>
        </w:rPr>
        <w:t>Además de lo anterior, una Administración o un operador (sea o no Miembro de la UIT) puede informar a la TSB de la presunta utilización indebida, como se ha resumido anteriormente.</w:t>
      </w:r>
    </w:p>
    <w:p w14:paraId="59A5E75B" w14:textId="77777777" w:rsidR="00196B22" w:rsidRPr="00196B22" w:rsidRDefault="00196B22" w:rsidP="00196B22">
      <w:pPr>
        <w:rPr>
          <w:szCs w:val="24"/>
          <w:lang w:val="es-ES"/>
        </w:rPr>
      </w:pPr>
      <w:r w:rsidRPr="00196B22">
        <w:rPr>
          <w:szCs w:val="24"/>
          <w:lang w:val="es-ES"/>
        </w:rPr>
        <w:t>A fin de aplicar las disposiciones de la presente Recomendación, se dispone de una lista de correo abierta únicamente a los Miembros de la UIT (</w:t>
      </w:r>
      <w:hyperlink r:id="rId15" w:history="1">
        <w:r w:rsidRPr="00196B22">
          <w:rPr>
            <w:rStyle w:val="Hyperlink"/>
            <w:szCs w:val="24"/>
            <w:lang w:val="es-ES"/>
          </w:rPr>
          <w:t>misusereports@lists.itu.int</w:t>
        </w:r>
      </w:hyperlink>
      <w:r w:rsidRPr="00196B22">
        <w:rPr>
          <w:szCs w:val="24"/>
          <w:lang w:val="es-ES"/>
        </w:rPr>
        <w:t xml:space="preserve">). Todos los casos de utilización indebida que se comuniquen a la TSB se incluirán en dicha lista de correo. Obsérvese que la lista de distribución de </w:t>
      </w:r>
      <w:hyperlink r:id="rId16" w:history="1">
        <w:r w:rsidRPr="00196B22">
          <w:rPr>
            <w:rStyle w:val="Hyperlink"/>
            <w:szCs w:val="24"/>
            <w:lang w:val="es-ES"/>
          </w:rPr>
          <w:t>misusereports@lists.itu.int</w:t>
        </w:r>
      </w:hyperlink>
      <w:r w:rsidRPr="00196B22">
        <w:rPr>
          <w:szCs w:val="24"/>
          <w:lang w:val="es-ES"/>
        </w:rPr>
        <w:t xml:space="preserve"> sólo distribuirá los mensajes enviados desde la TSB.</w:t>
      </w:r>
    </w:p>
    <w:p w14:paraId="4CA96F51" w14:textId="77777777" w:rsidR="00196B22" w:rsidRPr="00196B22" w:rsidRDefault="00196B22" w:rsidP="00D9175A">
      <w:pPr>
        <w:pStyle w:val="enumlev1"/>
        <w:rPr>
          <w:rFonts w:cstheme="minorHAnsi"/>
          <w:lang w:val="es-ES"/>
        </w:rPr>
      </w:pPr>
      <w:r w:rsidRPr="00196B22">
        <w:rPr>
          <w:rFonts w:cstheme="minorHAnsi"/>
          <w:lang w:val="es-ES"/>
        </w:rPr>
        <w:t>–</w:t>
      </w:r>
      <w:r w:rsidRPr="00196B22">
        <w:rPr>
          <w:rFonts w:cstheme="minorHAnsi"/>
          <w:lang w:val="es-ES"/>
        </w:rPr>
        <w:tab/>
        <w:t xml:space="preserve">Inscripción a la lista de distribución </w:t>
      </w:r>
      <w:hyperlink r:id="rId17" w:history="1">
        <w:r w:rsidRPr="00196B22">
          <w:rPr>
            <w:rStyle w:val="Hyperlink"/>
            <w:rFonts w:cstheme="minorHAnsi"/>
            <w:szCs w:val="24"/>
            <w:lang w:val="es-ES"/>
          </w:rPr>
          <w:t>aquí</w:t>
        </w:r>
      </w:hyperlink>
      <w:r w:rsidRPr="00196B22">
        <w:rPr>
          <w:rFonts w:cstheme="minorHAnsi"/>
          <w:lang w:val="es-ES"/>
        </w:rPr>
        <w:t>.</w:t>
      </w:r>
    </w:p>
    <w:p w14:paraId="1B20476D" w14:textId="77777777" w:rsidR="00196B22" w:rsidRPr="00196B22" w:rsidRDefault="00196B22" w:rsidP="00D9175A">
      <w:pPr>
        <w:pStyle w:val="enumlev1"/>
        <w:rPr>
          <w:rFonts w:cstheme="minorHAnsi"/>
          <w:lang w:val="es-ES"/>
        </w:rPr>
      </w:pPr>
      <w:r w:rsidRPr="00196B22">
        <w:rPr>
          <w:rFonts w:cstheme="minorHAnsi"/>
          <w:lang w:val="es-ES"/>
        </w:rPr>
        <w:t>–</w:t>
      </w:r>
      <w:r w:rsidRPr="00196B22">
        <w:rPr>
          <w:rFonts w:cstheme="minorHAnsi"/>
          <w:lang w:val="es-ES"/>
        </w:rPr>
        <w:tab/>
        <w:t xml:space="preserve">Archivo de lista de distribución disponible </w:t>
      </w:r>
      <w:hyperlink r:id="rId18" w:history="1">
        <w:r w:rsidRPr="00196B22">
          <w:rPr>
            <w:rStyle w:val="Hyperlink"/>
            <w:rFonts w:cstheme="minorHAnsi"/>
            <w:szCs w:val="24"/>
            <w:lang w:val="es-ES"/>
          </w:rPr>
          <w:t>aquí</w:t>
        </w:r>
      </w:hyperlink>
      <w:r w:rsidRPr="00196B22">
        <w:rPr>
          <w:rFonts w:cstheme="minorHAnsi"/>
          <w:lang w:val="es-ES"/>
        </w:rPr>
        <w:t>.</w:t>
      </w:r>
    </w:p>
    <w:p w14:paraId="4060E1A3" w14:textId="77777777" w:rsidR="00196B22" w:rsidRPr="00196B22" w:rsidRDefault="00196B22" w:rsidP="00196B22">
      <w:pPr>
        <w:rPr>
          <w:b/>
          <w:bCs/>
          <w:szCs w:val="24"/>
          <w:lang w:val="es-ES"/>
        </w:rPr>
      </w:pPr>
      <w:r w:rsidRPr="00196B22">
        <w:rPr>
          <w:szCs w:val="24"/>
          <w:lang w:val="es-ES"/>
        </w:rPr>
        <w:t xml:space="preserve">Además, de conformidad con la Recomendación UIT-T E.156, las Administraciones y operadores que son Miembros de la UIT deben notificar a la TSB el nombre del coordinador encargado de cuestiones de numeración en su organización. La información se publicará en una </w:t>
      </w:r>
      <w:hyperlink r:id="rId19" w:history="1">
        <w:r w:rsidRPr="00196B22">
          <w:rPr>
            <w:rStyle w:val="Hyperlink"/>
            <w:szCs w:val="24"/>
            <w:lang w:val="es-ES"/>
          </w:rPr>
          <w:t>página especial</w:t>
        </w:r>
      </w:hyperlink>
      <w:r w:rsidRPr="00196B22">
        <w:rPr>
          <w:szCs w:val="24"/>
          <w:lang w:val="es-ES"/>
        </w:rPr>
        <w:t xml:space="preserve"> del sitio web de la UIT, a menos que se exija confidencialidad, en cuyo caso los datos de contacto </w:t>
      </w:r>
      <w:r w:rsidRPr="00196B22">
        <w:rPr>
          <w:rFonts w:cstheme="minorHAnsi"/>
          <w:szCs w:val="24"/>
          <w:lang w:val="es-ES"/>
        </w:rPr>
        <w:t xml:space="preserve">permanecerán en la TSB. </w:t>
      </w:r>
      <w:r w:rsidRPr="00196B22">
        <w:rPr>
          <w:rFonts w:cstheme="minorHAnsi"/>
          <w:b/>
          <w:bCs/>
          <w:szCs w:val="24"/>
          <w:lang w:val="es-ES"/>
        </w:rPr>
        <w:t>Sírvase designar el coordinador encargado de la numeración de su organización, enviando a</w:t>
      </w:r>
      <w:r w:rsidRPr="00196B22">
        <w:rPr>
          <w:rFonts w:cstheme="minorHAnsi"/>
          <w:szCs w:val="24"/>
          <w:lang w:val="es-ES"/>
        </w:rPr>
        <w:t xml:space="preserve"> </w:t>
      </w:r>
      <w:hyperlink r:id="rId20" w:history="1">
        <w:r w:rsidRPr="00196B22">
          <w:rPr>
            <w:rStyle w:val="Hyperlink"/>
            <w:rFonts w:cstheme="minorHAnsi"/>
            <w:szCs w:val="24"/>
            <w:lang w:val="es-ES"/>
          </w:rPr>
          <w:t>numbering@itu.int</w:t>
        </w:r>
      </w:hyperlink>
      <w:r w:rsidRPr="00196B22">
        <w:rPr>
          <w:rFonts w:cstheme="minorHAnsi"/>
          <w:szCs w:val="24"/>
          <w:lang w:val="es-ES"/>
        </w:rPr>
        <w:t xml:space="preserve"> </w:t>
      </w:r>
      <w:r w:rsidRPr="00196B22">
        <w:rPr>
          <w:rFonts w:cstheme="minorHAnsi"/>
          <w:b/>
          <w:bCs/>
          <w:szCs w:val="24"/>
          <w:lang w:val="es-ES"/>
        </w:rPr>
        <w:t>la siguiente información:</w:t>
      </w:r>
    </w:p>
    <w:p w14:paraId="5FBCF72A" w14:textId="77777777" w:rsidR="00196B22" w:rsidRPr="00196B22" w:rsidRDefault="00196B22" w:rsidP="00D9175A">
      <w:pPr>
        <w:pStyle w:val="enumlev1"/>
        <w:rPr>
          <w:lang w:val="es-ES"/>
        </w:rPr>
      </w:pPr>
      <w:r w:rsidRPr="00196B22">
        <w:rPr>
          <w:lang w:val="es-ES"/>
        </w:rPr>
        <w:t>–</w:t>
      </w:r>
      <w:r w:rsidRPr="00196B22">
        <w:rPr>
          <w:lang w:val="es-ES"/>
        </w:rPr>
        <w:tab/>
        <w:t>Nombre, apellidos, dirección de correo electrónico y/o nombre de usuario de la cuenta de la UIT. En lugar de una dirección de correo electrónico personal, puede facilitar una dirección de correo electrónico específica para la utilización indebida de la numeración.</w:t>
      </w:r>
    </w:p>
    <w:p w14:paraId="6F62F500" w14:textId="77777777" w:rsidR="00196B22" w:rsidRPr="00196B22" w:rsidRDefault="00196B22" w:rsidP="00D9175A">
      <w:pPr>
        <w:pStyle w:val="enumlev1"/>
        <w:rPr>
          <w:lang w:val="es-ES"/>
        </w:rPr>
      </w:pPr>
      <w:r w:rsidRPr="00196B22">
        <w:rPr>
          <w:lang w:val="es-ES"/>
        </w:rPr>
        <w:t>–</w:t>
      </w:r>
      <w:r w:rsidRPr="00196B22">
        <w:rPr>
          <w:lang w:val="es-ES"/>
        </w:rPr>
        <w:tab/>
        <w:t>País y organización.</w:t>
      </w:r>
    </w:p>
    <w:p w14:paraId="425DECAC" w14:textId="77777777" w:rsidR="00196B22" w:rsidRPr="00196B22" w:rsidRDefault="00196B22" w:rsidP="00D9175A">
      <w:pPr>
        <w:pStyle w:val="enumlev1"/>
        <w:rPr>
          <w:lang w:val="es-ES"/>
        </w:rPr>
      </w:pPr>
      <w:r w:rsidRPr="00196B22">
        <w:rPr>
          <w:lang w:val="es-ES"/>
        </w:rPr>
        <w:t>–</w:t>
      </w:r>
      <w:r w:rsidRPr="00196B22">
        <w:rPr>
          <w:lang w:val="es-ES"/>
        </w:rPr>
        <w:tab/>
        <w:t>Si desea o no que estos datos de contacto sean de dominio público en el sitio web de la UIT.</w:t>
      </w:r>
    </w:p>
    <w:p w14:paraId="48438FED" w14:textId="77777777" w:rsidR="00DA27A8" w:rsidRDefault="00DA27A8">
      <w:pPr>
        <w:tabs>
          <w:tab w:val="clear" w:pos="794"/>
          <w:tab w:val="clear" w:pos="1191"/>
          <w:tab w:val="clear" w:pos="1588"/>
          <w:tab w:val="clear" w:pos="1985"/>
        </w:tabs>
        <w:overflowPunct/>
        <w:autoSpaceDE/>
        <w:autoSpaceDN/>
        <w:adjustRightInd/>
        <w:spacing w:before="0"/>
        <w:textAlignment w:val="auto"/>
        <w:rPr>
          <w:rFonts w:cstheme="minorHAnsi"/>
          <w:szCs w:val="24"/>
          <w:lang w:val="es-ES"/>
        </w:rPr>
      </w:pPr>
      <w:r>
        <w:rPr>
          <w:rFonts w:cstheme="minorHAnsi"/>
          <w:szCs w:val="24"/>
          <w:lang w:val="es-ES"/>
        </w:rPr>
        <w:br w:type="page"/>
      </w:r>
    </w:p>
    <w:p w14:paraId="4E7C7C79" w14:textId="0039E645" w:rsidR="00196B22" w:rsidRDefault="00196B22" w:rsidP="00196B22">
      <w:r w:rsidRPr="00196B22">
        <w:rPr>
          <w:rFonts w:cstheme="minorHAnsi"/>
          <w:szCs w:val="24"/>
          <w:lang w:val="es-ES"/>
        </w:rPr>
        <w:lastRenderedPageBreak/>
        <w:t xml:space="preserve">De no facilitarse información específica, o si no es posible ponerse en contacto con el coordinador encargado de la numeración, las cuestiones relativas a las notificaciones de utilización indebida se remitirán al contacto ADMIN principal de su organización, indicado en el </w:t>
      </w:r>
      <w:hyperlink r:id="rId21" w:history="1">
        <w:r w:rsidRPr="00196B22">
          <w:rPr>
            <w:rStyle w:val="Hyperlink"/>
            <w:rFonts w:cstheme="minorHAnsi"/>
            <w:szCs w:val="24"/>
            <w:lang w:val="es-ES"/>
          </w:rPr>
          <w:t>Directorio Global</w:t>
        </w:r>
      </w:hyperlink>
      <w:r w:rsidRPr="00196B22">
        <w:rPr>
          <w:rFonts w:cstheme="minorHAnsi"/>
          <w:szCs w:val="24"/>
          <w:lang w:val="es-ES"/>
        </w:rPr>
        <w:t>.</w:t>
      </w:r>
    </w:p>
    <w:p w14:paraId="1432D072" w14:textId="77777777" w:rsidR="007B6316" w:rsidRPr="00081FE5" w:rsidRDefault="007B6316" w:rsidP="007B6316">
      <w:r w:rsidRPr="00081FE5">
        <w:t>Atentamente,</w:t>
      </w:r>
    </w:p>
    <w:p w14:paraId="7C7361CE" w14:textId="77777777" w:rsidR="007B6316" w:rsidRPr="00081FE5" w:rsidRDefault="007B6316" w:rsidP="007B6316">
      <w:pPr>
        <w:spacing w:before="480" w:line="480" w:lineRule="auto"/>
        <w:rPr>
          <w:sz w:val="28"/>
          <w:szCs w:val="22"/>
        </w:rPr>
      </w:pPr>
      <w:r w:rsidRPr="00081FE5">
        <w:rPr>
          <w:i/>
          <w:iCs/>
          <w:szCs w:val="24"/>
        </w:rPr>
        <w:t>(firmado)</w:t>
      </w:r>
    </w:p>
    <w:p w14:paraId="717C051C" w14:textId="3398C8F1" w:rsidR="007B6316" w:rsidRPr="00081FE5" w:rsidRDefault="001350B9" w:rsidP="007B6316">
      <w:pPr>
        <w:spacing w:before="360"/>
      </w:pPr>
      <w:r w:rsidRPr="001350B9">
        <w:rPr>
          <w:rFonts w:cstheme="minorHAnsi"/>
          <w:szCs w:val="22"/>
          <w:lang w:val="es-ES"/>
        </w:rPr>
        <w:t>Seizo Onoe</w:t>
      </w:r>
      <w:r w:rsidR="007B6316" w:rsidRPr="00081FE5">
        <w:br/>
        <w:t>Director de la Oficina de</w:t>
      </w:r>
      <w:r w:rsidR="007B6316" w:rsidRPr="00081FE5">
        <w:br/>
        <w:t>Normalización de las Telecomunicaciones</w:t>
      </w:r>
    </w:p>
    <w:p w14:paraId="3DDCE4F4" w14:textId="77777777" w:rsidR="00401C20" w:rsidRPr="007B6316" w:rsidRDefault="00401C20" w:rsidP="007B6316">
      <w:pPr>
        <w:ind w:right="92"/>
        <w:rPr>
          <w:lang w:val="es-ES"/>
        </w:rPr>
      </w:pPr>
    </w:p>
    <w:sectPr w:rsidR="00401C20" w:rsidRPr="007B6316" w:rsidSect="00B87E9E">
      <w:headerReference w:type="default" r:id="rId22"/>
      <w:footerReference w:type="first" r:id="rId23"/>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E1ECE" w14:textId="77777777" w:rsidR="00196B22" w:rsidRDefault="00196B22">
      <w:r>
        <w:separator/>
      </w:r>
    </w:p>
  </w:endnote>
  <w:endnote w:type="continuationSeparator" w:id="0">
    <w:p w14:paraId="1FEA7132" w14:textId="77777777" w:rsidR="00196B22" w:rsidRDefault="0019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099D"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67077" w14:textId="77777777" w:rsidR="00196B22" w:rsidRDefault="00196B22">
      <w:r>
        <w:t>____________________</w:t>
      </w:r>
    </w:p>
  </w:footnote>
  <w:footnote w:type="continuationSeparator" w:id="0">
    <w:p w14:paraId="1F83E0D2" w14:textId="77777777" w:rsidR="00196B22" w:rsidRDefault="00196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5832" w14:textId="77777777" w:rsidR="006969B4" w:rsidRPr="00303D62" w:rsidRDefault="006969B4">
    <w:pPr>
      <w:pStyle w:val="Header"/>
      <w:rP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CFB"/>
    <w:multiLevelType w:val="hybridMultilevel"/>
    <w:tmpl w:val="139A78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1"/>
  </w:num>
  <w:num w:numId="2" w16cid:durableId="1345282128">
    <w:abstractNumId w:val="4"/>
  </w:num>
  <w:num w:numId="3" w16cid:durableId="1069613404">
    <w:abstractNumId w:val="3"/>
  </w:num>
  <w:num w:numId="4" w16cid:durableId="374936234">
    <w:abstractNumId w:val="2"/>
  </w:num>
  <w:num w:numId="5" w16cid:durableId="1884171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22"/>
    <w:rsid w:val="00002529"/>
    <w:rsid w:val="00085662"/>
    <w:rsid w:val="000C382F"/>
    <w:rsid w:val="001173CC"/>
    <w:rsid w:val="001350B9"/>
    <w:rsid w:val="0014464D"/>
    <w:rsid w:val="00196B22"/>
    <w:rsid w:val="001A54CC"/>
    <w:rsid w:val="00257FB4"/>
    <w:rsid w:val="002E496E"/>
    <w:rsid w:val="00303D62"/>
    <w:rsid w:val="00335367"/>
    <w:rsid w:val="00370C2D"/>
    <w:rsid w:val="003D1E8D"/>
    <w:rsid w:val="003D673B"/>
    <w:rsid w:val="003F2855"/>
    <w:rsid w:val="00401C20"/>
    <w:rsid w:val="004A7957"/>
    <w:rsid w:val="004C4144"/>
    <w:rsid w:val="0055719E"/>
    <w:rsid w:val="006969B4"/>
    <w:rsid w:val="006E4F7B"/>
    <w:rsid w:val="00781E2A"/>
    <w:rsid w:val="007933A2"/>
    <w:rsid w:val="007B6316"/>
    <w:rsid w:val="00814503"/>
    <w:rsid w:val="008258C2"/>
    <w:rsid w:val="008505BD"/>
    <w:rsid w:val="00850C78"/>
    <w:rsid w:val="00876165"/>
    <w:rsid w:val="00884D12"/>
    <w:rsid w:val="008C17AD"/>
    <w:rsid w:val="008D02CD"/>
    <w:rsid w:val="0091370C"/>
    <w:rsid w:val="0095172A"/>
    <w:rsid w:val="009A0BA0"/>
    <w:rsid w:val="00A54E47"/>
    <w:rsid w:val="00AB6E3A"/>
    <w:rsid w:val="00AE7093"/>
    <w:rsid w:val="00B422BC"/>
    <w:rsid w:val="00B43F77"/>
    <w:rsid w:val="00B55A3E"/>
    <w:rsid w:val="00B87E9E"/>
    <w:rsid w:val="00B95F0A"/>
    <w:rsid w:val="00B96180"/>
    <w:rsid w:val="00C116FE"/>
    <w:rsid w:val="00C17AC0"/>
    <w:rsid w:val="00C34772"/>
    <w:rsid w:val="00C5465A"/>
    <w:rsid w:val="00CB2981"/>
    <w:rsid w:val="00D54642"/>
    <w:rsid w:val="00D834E7"/>
    <w:rsid w:val="00D9175A"/>
    <w:rsid w:val="00DA27A8"/>
    <w:rsid w:val="00DD77C9"/>
    <w:rsid w:val="00DF3538"/>
    <w:rsid w:val="00E839B0"/>
    <w:rsid w:val="00E92C09"/>
    <w:rsid w:val="00F14380"/>
    <w:rsid w:val="00F6461F"/>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FA4BB"/>
  <w15:docId w15:val="{6B6038BB-46E8-433D-8642-156F4CDB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196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net/ITU-T/misuse/NForm.aspx" TargetMode="External"/><Relationship Id="rId18" Type="http://schemas.openxmlformats.org/officeDocument/2006/relationships/hyperlink" Target="https://www.itu.int/ml/lists/review/misusereports"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s://www.itu.int/hub/membership/our-members/" TargetMode="External"/><Relationship Id="rId7" Type="http://schemas.openxmlformats.org/officeDocument/2006/relationships/endnotes" Target="endnotes.xml"/><Relationship Id="rId12" Type="http://schemas.openxmlformats.org/officeDocument/2006/relationships/hyperlink" Target="https://www.itu.int/en/ITU-T/inr/misuse/Pages/default.aspx" TargetMode="External"/><Relationship Id="rId17" Type="http://schemas.openxmlformats.org/officeDocument/2006/relationships/hyperlink" Target="https://www.itu.int/net4/iwm?p0=0&amp;p11=ITU&amp;p12=ITU-SEP-ITU-T-SEP-Other%20Groups-SEP-misusereports&amp;p21=ITU&amp;p22=IT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isusereports@lists.itu.int" TargetMode="External"/><Relationship Id="rId20" Type="http://schemas.openxmlformats.org/officeDocument/2006/relationships/hyperlink" Target="mailto:numbering@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T-RES-T.20-2024/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isusereports@lists.itu.int" TargetMode="External"/><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hyperlink" Target="https://www.itu.int/rec/T-REC-E.156/es" TargetMode="External"/><Relationship Id="rId19" Type="http://schemas.openxmlformats.org/officeDocument/2006/relationships/hyperlink" Target="https://www.itu.int/en/ITU-T/inr/misuse/Pages/focal-points.aspx" TargetMode="External"/><Relationship Id="rId4" Type="http://schemas.openxmlformats.org/officeDocument/2006/relationships/settings" Target="settings.xml"/><Relationship Id="rId9" Type="http://schemas.openxmlformats.org/officeDocument/2006/relationships/hyperlink" Target="mailto:tsbsg2@itu.int" TargetMode="External"/><Relationship Id="rId14" Type="http://schemas.openxmlformats.org/officeDocument/2006/relationships/hyperlink" Target="https://www.itu.int/net/ITU-T/misuse/NForm.aspx" TargetMode="External"/><Relationship Id="rId22" Type="http://schemas.openxmlformats.org/officeDocument/2006/relationships/header" Target="header1.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c1552d0a7aa8702dfc2ec1fa38169586">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f9c16f1eeb69a4f78602752189340fa2"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customXml/itemProps2.xml><?xml version="1.0" encoding="utf-8"?>
<ds:datastoreItem xmlns:ds="http://schemas.openxmlformats.org/officeDocument/2006/customXml" ds:itemID="{F095301C-A98E-4C5A-AC70-C53CB27D0299}"/>
</file>

<file path=customXml/itemProps3.xml><?xml version="1.0" encoding="utf-8"?>
<ds:datastoreItem xmlns:ds="http://schemas.openxmlformats.org/officeDocument/2006/customXml" ds:itemID="{C5B8084A-5342-4CC5-9E1B-4FD22AC6C7AA}"/>
</file>

<file path=customXml/itemProps4.xml><?xml version="1.0" encoding="utf-8"?>
<ds:datastoreItem xmlns:ds="http://schemas.openxmlformats.org/officeDocument/2006/customXml" ds:itemID="{6E2A8D85-7269-46D7-991D-DDBBAAFA3036}"/>
</file>

<file path=docProps/app.xml><?xml version="1.0" encoding="utf-8"?>
<Properties xmlns="http://schemas.openxmlformats.org/officeDocument/2006/extended-properties" xmlns:vt="http://schemas.openxmlformats.org/officeDocument/2006/docPropsVTypes">
  <Template>PS_TSB_Circular_Letter.dotx</Template>
  <TotalTime>11</TotalTime>
  <Pages>3</Pages>
  <Words>1011</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7302</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Spanish</cp:lastModifiedBy>
  <cp:revision>3</cp:revision>
  <cp:lastPrinted>2011-04-15T08:24:00Z</cp:lastPrinted>
  <dcterms:created xsi:type="dcterms:W3CDTF">2025-12-11T09:12:00Z</dcterms:created>
  <dcterms:modified xsi:type="dcterms:W3CDTF">2025-12-11T09:23:00Z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